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752F7" w14:textId="4C6C7B95" w:rsidR="008E1C74" w:rsidRPr="004A47DC" w:rsidRDefault="008E1C74" w:rsidP="00712A76">
      <w:pPr>
        <w:ind w:firstLine="284"/>
        <w:jc w:val="center"/>
        <w:rPr>
          <w:rFonts w:ascii="Garamond" w:hAnsi="Garamond"/>
          <w:b/>
          <w:color w:val="000000" w:themeColor="text1"/>
        </w:rPr>
      </w:pPr>
      <w:r w:rsidRPr="004A47DC">
        <w:rPr>
          <w:rFonts w:ascii="Garamond" w:hAnsi="Garamond"/>
          <w:b/>
          <w:color w:val="000000" w:themeColor="text1"/>
        </w:rPr>
        <w:t>VENDIM</w:t>
      </w:r>
    </w:p>
    <w:p w14:paraId="3A7752F9" w14:textId="5769006C" w:rsidR="00E4626C" w:rsidRPr="004A47DC" w:rsidRDefault="00A95681" w:rsidP="00712A76">
      <w:pPr>
        <w:ind w:firstLine="284"/>
        <w:jc w:val="center"/>
        <w:rPr>
          <w:rFonts w:ascii="Garamond" w:hAnsi="Garamond"/>
          <w:b/>
          <w:color w:val="000000" w:themeColor="text1"/>
        </w:rPr>
      </w:pPr>
      <w:r w:rsidRPr="004A47DC">
        <w:rPr>
          <w:rFonts w:ascii="Garamond" w:hAnsi="Garamond"/>
          <w:b/>
          <w:color w:val="000000" w:themeColor="text1"/>
        </w:rPr>
        <w:t>Nr.</w:t>
      </w:r>
      <w:r w:rsidR="00712A76" w:rsidRPr="004A47DC">
        <w:rPr>
          <w:rFonts w:ascii="Garamond" w:hAnsi="Garamond"/>
          <w:b/>
          <w:color w:val="000000" w:themeColor="text1"/>
        </w:rPr>
        <w:t xml:space="preserve"> 390</w:t>
      </w:r>
      <w:r w:rsidRPr="004A47DC">
        <w:rPr>
          <w:rFonts w:ascii="Garamond" w:hAnsi="Garamond"/>
          <w:b/>
          <w:color w:val="000000" w:themeColor="text1"/>
        </w:rPr>
        <w:t>, datë</w:t>
      </w:r>
      <w:r w:rsidR="00712A76" w:rsidRPr="004A47DC">
        <w:rPr>
          <w:rFonts w:ascii="Garamond" w:hAnsi="Garamond"/>
          <w:b/>
          <w:color w:val="000000" w:themeColor="text1"/>
        </w:rPr>
        <w:t xml:space="preserve"> 12.6.2024</w:t>
      </w:r>
    </w:p>
    <w:p w14:paraId="32CF6315" w14:textId="77777777" w:rsidR="0085490A" w:rsidRPr="004A47DC" w:rsidRDefault="0085490A" w:rsidP="00712A76">
      <w:pPr>
        <w:ind w:firstLine="284"/>
        <w:jc w:val="center"/>
        <w:rPr>
          <w:rFonts w:ascii="Garamond" w:hAnsi="Garamond"/>
          <w:b/>
          <w:color w:val="000000" w:themeColor="text1"/>
        </w:rPr>
      </w:pPr>
    </w:p>
    <w:p w14:paraId="3A7752FD" w14:textId="05BCA5D4" w:rsidR="006E3EDC" w:rsidRPr="004A47DC" w:rsidRDefault="00E4626C" w:rsidP="00712A76">
      <w:pPr>
        <w:ind w:firstLine="284"/>
        <w:jc w:val="center"/>
        <w:rPr>
          <w:rFonts w:ascii="Garamond" w:hAnsi="Garamond"/>
          <w:b/>
          <w:color w:val="000000" w:themeColor="text1"/>
        </w:rPr>
      </w:pPr>
      <w:r w:rsidRPr="004A47DC">
        <w:rPr>
          <w:rFonts w:ascii="Garamond" w:hAnsi="Garamond"/>
          <w:b/>
          <w:color w:val="000000" w:themeColor="text1"/>
        </w:rPr>
        <w:t>PËR</w:t>
      </w:r>
      <w:r w:rsidR="00712A76" w:rsidRPr="004A47DC">
        <w:rPr>
          <w:rFonts w:ascii="Garamond" w:hAnsi="Garamond"/>
          <w:b/>
          <w:color w:val="000000" w:themeColor="text1"/>
        </w:rPr>
        <w:t xml:space="preserve"> </w:t>
      </w:r>
      <w:r w:rsidR="0085490A" w:rsidRPr="004A47DC">
        <w:rPr>
          <w:rFonts w:ascii="Garamond" w:hAnsi="Garamond"/>
          <w:b/>
          <w:color w:val="000000" w:themeColor="text1"/>
        </w:rPr>
        <w:t>MIRATIMIN E STRATEGJISË SEKTORIALE TË MENAXHIMIT TË FINANCAVE PUBLIKE 2023</w:t>
      </w:r>
      <w:r w:rsidR="008F1144" w:rsidRPr="004A47DC">
        <w:rPr>
          <w:rFonts w:ascii="Garamond" w:hAnsi="Garamond"/>
          <w:b/>
          <w:color w:val="000000" w:themeColor="text1"/>
        </w:rPr>
        <w:t>–</w:t>
      </w:r>
      <w:r w:rsidR="0085490A" w:rsidRPr="004A47DC">
        <w:rPr>
          <w:rFonts w:ascii="Garamond" w:hAnsi="Garamond"/>
          <w:b/>
          <w:color w:val="000000" w:themeColor="text1"/>
        </w:rPr>
        <w:t>2030</w:t>
      </w:r>
    </w:p>
    <w:p w14:paraId="3A7752FE" w14:textId="77777777" w:rsidR="002E485C" w:rsidRPr="004A47DC" w:rsidRDefault="002E485C" w:rsidP="00712A76">
      <w:pPr>
        <w:ind w:firstLine="284"/>
        <w:jc w:val="both"/>
        <w:rPr>
          <w:rFonts w:ascii="Garamond" w:hAnsi="Garamond"/>
          <w:color w:val="000000" w:themeColor="text1"/>
        </w:rPr>
      </w:pPr>
    </w:p>
    <w:p w14:paraId="3A7752FF" w14:textId="0336562E" w:rsidR="00736334" w:rsidRPr="004A47DC" w:rsidRDefault="002C5C37" w:rsidP="00712A76">
      <w:pPr>
        <w:ind w:firstLine="284"/>
        <w:jc w:val="both"/>
        <w:rPr>
          <w:rFonts w:ascii="Garamond" w:hAnsi="Garamond"/>
          <w:color w:val="000000" w:themeColor="text1"/>
        </w:rPr>
      </w:pPr>
      <w:r w:rsidRPr="004A47DC">
        <w:rPr>
          <w:rFonts w:ascii="Garamond" w:hAnsi="Garamond"/>
          <w:color w:val="000000" w:themeColor="text1"/>
        </w:rPr>
        <w:t xml:space="preserve">Në mbështetje të </w:t>
      </w:r>
      <w:r w:rsidR="00D2601B" w:rsidRPr="004A47DC">
        <w:rPr>
          <w:rFonts w:ascii="Garamond" w:hAnsi="Garamond"/>
          <w:color w:val="000000" w:themeColor="text1"/>
        </w:rPr>
        <w:t>nenit 100</w:t>
      </w:r>
      <w:r w:rsidR="00E4626C" w:rsidRPr="004A47DC">
        <w:rPr>
          <w:rFonts w:ascii="Garamond" w:hAnsi="Garamond"/>
          <w:color w:val="000000" w:themeColor="text1"/>
        </w:rPr>
        <w:t xml:space="preserve"> të Kushtetutës</w:t>
      </w:r>
      <w:r w:rsidR="008B3F18" w:rsidRPr="004A47DC">
        <w:rPr>
          <w:rFonts w:ascii="Garamond" w:hAnsi="Garamond"/>
          <w:color w:val="000000" w:themeColor="text1"/>
        </w:rPr>
        <w:t xml:space="preserve"> </w:t>
      </w:r>
      <w:r w:rsidR="00D2601B" w:rsidRPr="004A47DC">
        <w:rPr>
          <w:rFonts w:ascii="Garamond" w:hAnsi="Garamond"/>
          <w:color w:val="000000" w:themeColor="text1"/>
        </w:rPr>
        <w:t>dhe t</w:t>
      </w:r>
      <w:r w:rsidR="00C96D47" w:rsidRPr="004A47DC">
        <w:rPr>
          <w:rFonts w:ascii="Garamond" w:hAnsi="Garamond"/>
          <w:color w:val="000000" w:themeColor="text1"/>
        </w:rPr>
        <w:t>ë</w:t>
      </w:r>
      <w:r w:rsidR="00D2601B" w:rsidRPr="004A47DC">
        <w:rPr>
          <w:rFonts w:ascii="Garamond" w:hAnsi="Garamond"/>
          <w:color w:val="000000" w:themeColor="text1"/>
        </w:rPr>
        <w:t xml:space="preserve"> nenit </w:t>
      </w:r>
      <w:r w:rsidR="00E81D17" w:rsidRPr="004A47DC">
        <w:rPr>
          <w:rFonts w:ascii="Garamond" w:hAnsi="Garamond"/>
          <w:color w:val="000000" w:themeColor="text1"/>
        </w:rPr>
        <w:t>16</w:t>
      </w:r>
      <w:r w:rsidR="0085490A" w:rsidRPr="004A47DC">
        <w:rPr>
          <w:rFonts w:ascii="Garamond" w:hAnsi="Garamond"/>
          <w:color w:val="000000" w:themeColor="text1"/>
        </w:rPr>
        <w:t>,</w:t>
      </w:r>
      <w:r w:rsidR="008B3F18" w:rsidRPr="004A47DC">
        <w:rPr>
          <w:rFonts w:ascii="Garamond" w:hAnsi="Garamond"/>
          <w:color w:val="000000" w:themeColor="text1"/>
        </w:rPr>
        <w:t xml:space="preserve"> të </w:t>
      </w:r>
      <w:r w:rsidR="00736334" w:rsidRPr="004A47DC">
        <w:rPr>
          <w:rFonts w:ascii="Garamond" w:hAnsi="Garamond"/>
          <w:color w:val="000000" w:themeColor="text1"/>
        </w:rPr>
        <w:t>ligjit nr.</w:t>
      </w:r>
      <w:r w:rsidR="008F1144" w:rsidRPr="004A47DC">
        <w:rPr>
          <w:rFonts w:ascii="Garamond" w:hAnsi="Garamond"/>
          <w:color w:val="000000" w:themeColor="text1"/>
        </w:rPr>
        <w:t xml:space="preserve"> </w:t>
      </w:r>
      <w:r w:rsidR="00736334" w:rsidRPr="004A47DC">
        <w:rPr>
          <w:rFonts w:ascii="Garamond" w:hAnsi="Garamond"/>
          <w:color w:val="000000" w:themeColor="text1"/>
        </w:rPr>
        <w:t>9</w:t>
      </w:r>
      <w:r w:rsidR="00E81D17" w:rsidRPr="004A47DC">
        <w:rPr>
          <w:rFonts w:ascii="Garamond" w:hAnsi="Garamond"/>
          <w:color w:val="000000" w:themeColor="text1"/>
        </w:rPr>
        <w:t>936</w:t>
      </w:r>
      <w:r w:rsidR="00736334" w:rsidRPr="004A47DC">
        <w:rPr>
          <w:rFonts w:ascii="Garamond" w:hAnsi="Garamond"/>
          <w:color w:val="000000" w:themeColor="text1"/>
        </w:rPr>
        <w:t>,</w:t>
      </w:r>
      <w:r w:rsidR="00B2411C" w:rsidRPr="004A47DC">
        <w:rPr>
          <w:rFonts w:ascii="Garamond" w:hAnsi="Garamond"/>
          <w:color w:val="000000" w:themeColor="text1"/>
        </w:rPr>
        <w:t xml:space="preserve"> </w:t>
      </w:r>
      <w:r w:rsidR="00736334" w:rsidRPr="004A47DC">
        <w:rPr>
          <w:rFonts w:ascii="Garamond" w:hAnsi="Garamond"/>
          <w:color w:val="000000" w:themeColor="text1"/>
        </w:rPr>
        <w:t xml:space="preserve">datë </w:t>
      </w:r>
      <w:r w:rsidR="00E81D17" w:rsidRPr="004A47DC">
        <w:rPr>
          <w:rFonts w:ascii="Garamond" w:hAnsi="Garamond"/>
          <w:color w:val="000000" w:themeColor="text1"/>
        </w:rPr>
        <w:t>26.6.2008</w:t>
      </w:r>
      <w:r w:rsidR="002D1356" w:rsidRPr="004A47DC">
        <w:rPr>
          <w:rFonts w:ascii="Garamond" w:hAnsi="Garamond"/>
          <w:color w:val="000000" w:themeColor="text1"/>
        </w:rPr>
        <w:t>,</w:t>
      </w:r>
      <w:r w:rsidR="00736334" w:rsidRPr="004A47DC">
        <w:rPr>
          <w:rFonts w:ascii="Garamond" w:hAnsi="Garamond"/>
          <w:color w:val="000000" w:themeColor="text1"/>
        </w:rPr>
        <w:t xml:space="preserve"> </w:t>
      </w:r>
      <w:r w:rsidR="00E33A13" w:rsidRPr="004A47DC">
        <w:rPr>
          <w:rFonts w:ascii="Garamond" w:hAnsi="Garamond"/>
          <w:color w:val="000000" w:themeColor="text1"/>
        </w:rPr>
        <w:t>“</w:t>
      </w:r>
      <w:r w:rsidR="00736334" w:rsidRPr="004A47DC">
        <w:rPr>
          <w:rFonts w:ascii="Garamond" w:hAnsi="Garamond"/>
          <w:color w:val="000000" w:themeColor="text1"/>
        </w:rPr>
        <w:t xml:space="preserve">Për </w:t>
      </w:r>
      <w:r w:rsidR="00E81D17" w:rsidRPr="004A47DC">
        <w:rPr>
          <w:rFonts w:ascii="Garamond" w:hAnsi="Garamond"/>
          <w:color w:val="000000" w:themeColor="text1"/>
        </w:rPr>
        <w:t>menaxhimin e sistemit buxhetor në Republikën e Shqipërisë</w:t>
      </w:r>
      <w:r w:rsidR="00E33A13" w:rsidRPr="004A47DC">
        <w:rPr>
          <w:rFonts w:ascii="Garamond" w:hAnsi="Garamond"/>
          <w:color w:val="000000" w:themeColor="text1"/>
        </w:rPr>
        <w:t>”</w:t>
      </w:r>
      <w:r w:rsidR="00D2601B" w:rsidRPr="004A47DC">
        <w:rPr>
          <w:rFonts w:ascii="Garamond" w:hAnsi="Garamond"/>
          <w:color w:val="000000" w:themeColor="text1"/>
        </w:rPr>
        <w:t>,</w:t>
      </w:r>
      <w:r w:rsidR="00E81D17" w:rsidRPr="004A47DC">
        <w:rPr>
          <w:rFonts w:ascii="Garamond" w:hAnsi="Garamond"/>
          <w:color w:val="000000" w:themeColor="text1"/>
        </w:rPr>
        <w:t xml:space="preserve"> </w:t>
      </w:r>
      <w:r w:rsidR="0085490A" w:rsidRPr="004A47DC">
        <w:rPr>
          <w:rFonts w:ascii="Garamond" w:hAnsi="Garamond"/>
          <w:color w:val="000000" w:themeColor="text1"/>
        </w:rPr>
        <w:t>të</w:t>
      </w:r>
      <w:r w:rsidR="00E81D17" w:rsidRPr="004A47DC">
        <w:rPr>
          <w:rFonts w:ascii="Garamond" w:hAnsi="Garamond"/>
          <w:color w:val="000000" w:themeColor="text1"/>
        </w:rPr>
        <w:t xml:space="preserve"> ndryshuar</w:t>
      </w:r>
      <w:r w:rsidR="00875754" w:rsidRPr="004A47DC">
        <w:rPr>
          <w:rFonts w:ascii="Garamond" w:hAnsi="Garamond"/>
          <w:color w:val="000000" w:themeColor="text1"/>
        </w:rPr>
        <w:t>, me propozimin e ministrit të Financave, Këshilli i Ministrave</w:t>
      </w:r>
    </w:p>
    <w:p w14:paraId="3A775300" w14:textId="77777777" w:rsidR="002E485C" w:rsidRPr="004A47DC" w:rsidRDefault="002E485C" w:rsidP="00712A76">
      <w:pPr>
        <w:ind w:firstLine="284"/>
        <w:jc w:val="both"/>
        <w:rPr>
          <w:rFonts w:ascii="Garamond" w:hAnsi="Garamond"/>
          <w:color w:val="000000" w:themeColor="text1"/>
        </w:rPr>
      </w:pPr>
    </w:p>
    <w:p w14:paraId="3A775301" w14:textId="5142240B" w:rsidR="00736334" w:rsidRPr="004A47DC" w:rsidRDefault="00E94E4B" w:rsidP="00712A76">
      <w:pPr>
        <w:ind w:firstLine="284"/>
        <w:jc w:val="center"/>
        <w:rPr>
          <w:rFonts w:ascii="Garamond" w:hAnsi="Garamond"/>
          <w:color w:val="000000" w:themeColor="text1"/>
        </w:rPr>
      </w:pPr>
      <w:r w:rsidRPr="004A47DC">
        <w:rPr>
          <w:rFonts w:ascii="Garamond" w:hAnsi="Garamond"/>
          <w:color w:val="000000" w:themeColor="text1"/>
        </w:rPr>
        <w:t>VENDOSI</w:t>
      </w:r>
      <w:r w:rsidR="00736334" w:rsidRPr="004A47DC">
        <w:rPr>
          <w:rFonts w:ascii="Garamond" w:hAnsi="Garamond"/>
          <w:color w:val="000000" w:themeColor="text1"/>
        </w:rPr>
        <w:t>:</w:t>
      </w:r>
    </w:p>
    <w:p w14:paraId="3A775302" w14:textId="77777777" w:rsidR="00736334" w:rsidRPr="004A47DC" w:rsidRDefault="00736334" w:rsidP="00712A76">
      <w:pPr>
        <w:ind w:firstLine="284"/>
        <w:jc w:val="both"/>
        <w:rPr>
          <w:rFonts w:ascii="Garamond" w:hAnsi="Garamond"/>
          <w:color w:val="000000" w:themeColor="text1"/>
        </w:rPr>
      </w:pPr>
    </w:p>
    <w:p w14:paraId="3A775303" w14:textId="3BFBDC04" w:rsidR="0030660F" w:rsidRPr="004A47DC" w:rsidRDefault="00712A76" w:rsidP="00712A76">
      <w:pPr>
        <w:ind w:firstLine="284"/>
        <w:jc w:val="both"/>
        <w:rPr>
          <w:rFonts w:ascii="Garamond" w:hAnsi="Garamond"/>
          <w:color w:val="000000" w:themeColor="text1"/>
        </w:rPr>
      </w:pPr>
      <w:r w:rsidRPr="004A47DC">
        <w:rPr>
          <w:rFonts w:ascii="Garamond" w:hAnsi="Garamond"/>
          <w:color w:val="000000" w:themeColor="text1"/>
        </w:rPr>
        <w:t xml:space="preserve">1. </w:t>
      </w:r>
      <w:r w:rsidR="00E94E4B" w:rsidRPr="004A47DC">
        <w:rPr>
          <w:rFonts w:ascii="Garamond" w:hAnsi="Garamond"/>
          <w:color w:val="000000" w:themeColor="text1"/>
        </w:rPr>
        <w:t>Miratimin e Strategjis</w:t>
      </w:r>
      <w:r w:rsidR="00C96D47" w:rsidRPr="004A47DC">
        <w:rPr>
          <w:rFonts w:ascii="Garamond" w:hAnsi="Garamond"/>
          <w:color w:val="000000" w:themeColor="text1"/>
        </w:rPr>
        <w:t>ë</w:t>
      </w:r>
      <w:r w:rsidR="00E94E4B" w:rsidRPr="004A47DC">
        <w:rPr>
          <w:rFonts w:ascii="Garamond" w:hAnsi="Garamond"/>
          <w:color w:val="000000" w:themeColor="text1"/>
        </w:rPr>
        <w:t xml:space="preserve"> Sektoriale </w:t>
      </w:r>
      <w:r w:rsidR="00167037" w:rsidRPr="004A47DC">
        <w:rPr>
          <w:rFonts w:ascii="Garamond" w:hAnsi="Garamond"/>
          <w:color w:val="000000" w:themeColor="text1"/>
        </w:rPr>
        <w:t xml:space="preserve">të </w:t>
      </w:r>
      <w:r w:rsidR="00E94E4B" w:rsidRPr="004A47DC">
        <w:rPr>
          <w:rFonts w:ascii="Garamond" w:hAnsi="Garamond"/>
          <w:color w:val="000000" w:themeColor="text1"/>
        </w:rPr>
        <w:t>Menaxhimi</w:t>
      </w:r>
      <w:r w:rsidR="00167037" w:rsidRPr="004A47DC">
        <w:rPr>
          <w:rFonts w:ascii="Garamond" w:hAnsi="Garamond"/>
          <w:color w:val="000000" w:themeColor="text1"/>
        </w:rPr>
        <w:t>t</w:t>
      </w:r>
      <w:r w:rsidR="00E94E4B" w:rsidRPr="004A47DC">
        <w:rPr>
          <w:rFonts w:ascii="Garamond" w:hAnsi="Garamond"/>
          <w:color w:val="000000" w:themeColor="text1"/>
        </w:rPr>
        <w:t xml:space="preserve"> </w:t>
      </w:r>
      <w:r w:rsidR="00167037" w:rsidRPr="004A47DC">
        <w:rPr>
          <w:rFonts w:ascii="Garamond" w:hAnsi="Garamond"/>
          <w:color w:val="000000" w:themeColor="text1"/>
        </w:rPr>
        <w:t>të</w:t>
      </w:r>
      <w:r w:rsidR="00E94E4B" w:rsidRPr="004A47DC">
        <w:rPr>
          <w:rFonts w:ascii="Garamond" w:hAnsi="Garamond"/>
          <w:color w:val="000000" w:themeColor="text1"/>
        </w:rPr>
        <w:t xml:space="preserve"> Financave Publike 2023</w:t>
      </w:r>
      <w:r w:rsidR="008F1144" w:rsidRPr="004A47DC">
        <w:rPr>
          <w:rFonts w:ascii="Garamond" w:hAnsi="Garamond"/>
          <w:color w:val="000000" w:themeColor="text1"/>
        </w:rPr>
        <w:t>–</w:t>
      </w:r>
      <w:r w:rsidR="00E94E4B" w:rsidRPr="004A47DC">
        <w:rPr>
          <w:rFonts w:ascii="Garamond" w:hAnsi="Garamond"/>
          <w:color w:val="000000" w:themeColor="text1"/>
        </w:rPr>
        <w:t xml:space="preserve">2030, sipas </w:t>
      </w:r>
      <w:r w:rsidR="002F333A" w:rsidRPr="004A47DC">
        <w:rPr>
          <w:rFonts w:ascii="Garamond" w:hAnsi="Garamond"/>
          <w:color w:val="000000" w:themeColor="text1"/>
        </w:rPr>
        <w:t>tekstit</w:t>
      </w:r>
      <w:r w:rsidR="00E94E4B" w:rsidRPr="004A47DC">
        <w:rPr>
          <w:rFonts w:ascii="Garamond" w:hAnsi="Garamond"/>
          <w:color w:val="000000" w:themeColor="text1"/>
        </w:rPr>
        <w:t xml:space="preserve"> q</w:t>
      </w:r>
      <w:r w:rsidR="00C96D47" w:rsidRPr="004A47DC">
        <w:rPr>
          <w:rFonts w:ascii="Garamond" w:hAnsi="Garamond"/>
          <w:color w:val="000000" w:themeColor="text1"/>
        </w:rPr>
        <w:t>ë</w:t>
      </w:r>
      <w:r w:rsidR="00E94E4B" w:rsidRPr="004A47DC">
        <w:rPr>
          <w:rFonts w:ascii="Garamond" w:hAnsi="Garamond"/>
          <w:color w:val="000000" w:themeColor="text1"/>
        </w:rPr>
        <w:t xml:space="preserve"> i bashk</w:t>
      </w:r>
      <w:r w:rsidR="00C96D47" w:rsidRPr="004A47DC">
        <w:rPr>
          <w:rFonts w:ascii="Garamond" w:hAnsi="Garamond"/>
          <w:color w:val="000000" w:themeColor="text1"/>
        </w:rPr>
        <w:t>ë</w:t>
      </w:r>
      <w:r w:rsidR="0085490A" w:rsidRPr="004A47DC">
        <w:rPr>
          <w:rFonts w:ascii="Garamond" w:hAnsi="Garamond"/>
          <w:color w:val="000000" w:themeColor="text1"/>
        </w:rPr>
        <w:t xml:space="preserve">lidhet </w:t>
      </w:r>
      <w:r w:rsidR="00E94E4B" w:rsidRPr="004A47DC">
        <w:rPr>
          <w:rFonts w:ascii="Garamond" w:hAnsi="Garamond"/>
          <w:color w:val="000000" w:themeColor="text1"/>
        </w:rPr>
        <w:t>k</w:t>
      </w:r>
      <w:r w:rsidR="00C96D47" w:rsidRPr="004A47DC">
        <w:rPr>
          <w:rFonts w:ascii="Garamond" w:hAnsi="Garamond"/>
          <w:color w:val="000000" w:themeColor="text1"/>
        </w:rPr>
        <w:t>ë</w:t>
      </w:r>
      <w:r w:rsidR="0084680F" w:rsidRPr="004A47DC">
        <w:rPr>
          <w:rFonts w:ascii="Garamond" w:hAnsi="Garamond"/>
          <w:color w:val="000000" w:themeColor="text1"/>
        </w:rPr>
        <w:t>tij vendimi.</w:t>
      </w:r>
    </w:p>
    <w:p w14:paraId="3A775305" w14:textId="3B24CD06" w:rsidR="00121010" w:rsidRPr="004A47DC" w:rsidRDefault="00712A76" w:rsidP="00712A76">
      <w:pPr>
        <w:ind w:firstLine="284"/>
        <w:jc w:val="both"/>
        <w:rPr>
          <w:rFonts w:ascii="Garamond" w:hAnsi="Garamond"/>
          <w:color w:val="000000" w:themeColor="text1"/>
        </w:rPr>
      </w:pPr>
      <w:r w:rsidRPr="004A47DC">
        <w:rPr>
          <w:rFonts w:ascii="Garamond" w:hAnsi="Garamond"/>
          <w:color w:val="000000" w:themeColor="text1"/>
        </w:rPr>
        <w:t xml:space="preserve">2. </w:t>
      </w:r>
      <w:r w:rsidR="00E81D17" w:rsidRPr="004A47DC">
        <w:rPr>
          <w:rFonts w:ascii="Garamond" w:hAnsi="Garamond"/>
          <w:color w:val="000000" w:themeColor="text1"/>
        </w:rPr>
        <w:t>Vendimi nr.</w:t>
      </w:r>
      <w:r w:rsidR="008F1144" w:rsidRPr="004A47DC">
        <w:rPr>
          <w:rFonts w:ascii="Garamond" w:hAnsi="Garamond"/>
          <w:color w:val="000000" w:themeColor="text1"/>
        </w:rPr>
        <w:t xml:space="preserve"> </w:t>
      </w:r>
      <w:r w:rsidR="00E81D17" w:rsidRPr="004A47DC">
        <w:rPr>
          <w:rFonts w:ascii="Garamond" w:hAnsi="Garamond"/>
          <w:color w:val="000000" w:themeColor="text1"/>
        </w:rPr>
        <w:t>824, datë 18.12.2019</w:t>
      </w:r>
      <w:r w:rsidR="0085490A" w:rsidRPr="004A47DC">
        <w:rPr>
          <w:rFonts w:ascii="Garamond" w:hAnsi="Garamond"/>
          <w:color w:val="000000" w:themeColor="text1"/>
        </w:rPr>
        <w:t>,</w:t>
      </w:r>
      <w:r w:rsidR="00E81D17" w:rsidRPr="004A47DC">
        <w:rPr>
          <w:rFonts w:ascii="Garamond" w:hAnsi="Garamond"/>
          <w:color w:val="000000" w:themeColor="text1"/>
        </w:rPr>
        <w:t xml:space="preserve"> </w:t>
      </w:r>
      <w:r w:rsidR="0085490A" w:rsidRPr="004A47DC">
        <w:rPr>
          <w:rFonts w:ascii="Garamond" w:hAnsi="Garamond"/>
          <w:color w:val="000000" w:themeColor="text1"/>
        </w:rPr>
        <w:t xml:space="preserve">i Këshillit të Ministrave, </w:t>
      </w:r>
      <w:r w:rsidR="00E33A13" w:rsidRPr="004A47DC">
        <w:rPr>
          <w:rFonts w:ascii="Garamond" w:hAnsi="Garamond"/>
          <w:color w:val="000000" w:themeColor="text1"/>
        </w:rPr>
        <w:t>“</w:t>
      </w:r>
      <w:r w:rsidR="00E81D17" w:rsidRPr="004A47DC">
        <w:rPr>
          <w:rFonts w:ascii="Garamond" w:hAnsi="Garamond"/>
          <w:color w:val="000000" w:themeColor="text1"/>
        </w:rPr>
        <w:t>Për miratimin e Strategjisë Sektoriale të Menaxhimit të Financave Publike 2019</w:t>
      </w:r>
      <w:r w:rsidR="008F1144" w:rsidRPr="004A47DC">
        <w:rPr>
          <w:rFonts w:ascii="Garamond" w:hAnsi="Garamond"/>
          <w:color w:val="000000" w:themeColor="text1"/>
        </w:rPr>
        <w:t>–</w:t>
      </w:r>
      <w:r w:rsidR="00E81D17" w:rsidRPr="004A47DC">
        <w:rPr>
          <w:rFonts w:ascii="Garamond" w:hAnsi="Garamond"/>
          <w:color w:val="000000" w:themeColor="text1"/>
        </w:rPr>
        <w:t>2022</w:t>
      </w:r>
      <w:r w:rsidR="00E33A13" w:rsidRPr="004A47DC">
        <w:rPr>
          <w:rFonts w:ascii="Garamond" w:hAnsi="Garamond"/>
          <w:color w:val="000000" w:themeColor="text1"/>
        </w:rPr>
        <w:t>”</w:t>
      </w:r>
      <w:r w:rsidR="00E81D17" w:rsidRPr="004A47DC">
        <w:rPr>
          <w:rFonts w:ascii="Garamond" w:hAnsi="Garamond"/>
          <w:color w:val="000000" w:themeColor="text1"/>
        </w:rPr>
        <w:t>, shfuqizohet.</w:t>
      </w:r>
    </w:p>
    <w:p w14:paraId="48AE8C57" w14:textId="09E6183E" w:rsidR="0085490A" w:rsidRPr="004A47DC" w:rsidRDefault="00712A76" w:rsidP="00295719">
      <w:pPr>
        <w:pStyle w:val="TEKSTIII"/>
        <w:rPr>
          <w:color w:val="000000" w:themeColor="text1"/>
        </w:rPr>
      </w:pPr>
      <w:r w:rsidRPr="004A47DC">
        <w:rPr>
          <w:color w:val="000000" w:themeColor="text1"/>
        </w:rPr>
        <w:t xml:space="preserve">3. </w:t>
      </w:r>
      <w:r w:rsidR="0085490A" w:rsidRPr="004A47DC">
        <w:rPr>
          <w:color w:val="000000" w:themeColor="text1"/>
        </w:rPr>
        <w:t>Ngarkohen Ministria e Financave dhe institucionet përgjegjëse</w:t>
      </w:r>
      <w:r w:rsidR="002F333A" w:rsidRPr="004A47DC">
        <w:rPr>
          <w:color w:val="000000" w:themeColor="text1"/>
        </w:rPr>
        <w:t xml:space="preserve"> të përcaktuara</w:t>
      </w:r>
      <w:r w:rsidR="0085490A" w:rsidRPr="004A47DC">
        <w:rPr>
          <w:color w:val="000000" w:themeColor="text1"/>
        </w:rPr>
        <w:t xml:space="preserve"> </w:t>
      </w:r>
      <w:r w:rsidR="002F333A" w:rsidRPr="004A47DC">
        <w:rPr>
          <w:color w:val="000000" w:themeColor="text1"/>
        </w:rPr>
        <w:t xml:space="preserve">në </w:t>
      </w:r>
      <w:r w:rsidR="0085490A" w:rsidRPr="004A47DC">
        <w:rPr>
          <w:color w:val="000000" w:themeColor="text1"/>
        </w:rPr>
        <w:t>dokumenti</w:t>
      </w:r>
      <w:r w:rsidR="002F333A" w:rsidRPr="004A47DC">
        <w:rPr>
          <w:color w:val="000000" w:themeColor="text1"/>
        </w:rPr>
        <w:t>n</w:t>
      </w:r>
      <w:r w:rsidR="00E92FB5" w:rsidRPr="004A47DC">
        <w:rPr>
          <w:color w:val="000000" w:themeColor="text1"/>
        </w:rPr>
        <w:t xml:space="preserve"> e</w:t>
      </w:r>
      <w:r w:rsidR="0085490A" w:rsidRPr="004A47DC">
        <w:rPr>
          <w:color w:val="000000" w:themeColor="text1"/>
        </w:rPr>
        <w:t xml:space="preserve"> strategji</w:t>
      </w:r>
      <w:r w:rsidR="002F333A" w:rsidRPr="004A47DC">
        <w:rPr>
          <w:color w:val="000000" w:themeColor="text1"/>
        </w:rPr>
        <w:t>së</w:t>
      </w:r>
      <w:r w:rsidR="0085490A" w:rsidRPr="004A47DC">
        <w:rPr>
          <w:color w:val="000000" w:themeColor="text1"/>
        </w:rPr>
        <w:t xml:space="preserve"> dhe </w:t>
      </w:r>
      <w:r w:rsidR="002F333A" w:rsidRPr="004A47DC">
        <w:rPr>
          <w:color w:val="000000" w:themeColor="text1"/>
        </w:rPr>
        <w:t xml:space="preserve">të </w:t>
      </w:r>
      <w:r w:rsidR="0085490A" w:rsidRPr="004A47DC">
        <w:rPr>
          <w:color w:val="000000" w:themeColor="text1"/>
        </w:rPr>
        <w:t>planit të veprimit për zbatimin e këtij vendimi.</w:t>
      </w:r>
    </w:p>
    <w:p w14:paraId="3A775307" w14:textId="2DFB9889" w:rsidR="00642BE3" w:rsidRPr="004A47DC" w:rsidRDefault="00347410" w:rsidP="00295719">
      <w:pPr>
        <w:pStyle w:val="TEKSTIII"/>
        <w:rPr>
          <w:color w:val="000000" w:themeColor="text1"/>
        </w:rPr>
      </w:pPr>
      <w:r w:rsidRPr="004A47DC">
        <w:rPr>
          <w:color w:val="000000" w:themeColor="text1"/>
        </w:rPr>
        <w:t xml:space="preserve">Ky </w:t>
      </w:r>
      <w:r w:rsidR="00E94E4B" w:rsidRPr="004A47DC">
        <w:rPr>
          <w:color w:val="000000" w:themeColor="text1"/>
        </w:rPr>
        <w:t>vendim hyn n</w:t>
      </w:r>
      <w:r w:rsidR="00C96D47" w:rsidRPr="004A47DC">
        <w:rPr>
          <w:color w:val="000000" w:themeColor="text1"/>
        </w:rPr>
        <w:t>ë</w:t>
      </w:r>
      <w:r w:rsidR="00E94E4B" w:rsidRPr="004A47DC">
        <w:rPr>
          <w:color w:val="000000" w:themeColor="text1"/>
        </w:rPr>
        <w:t xml:space="preserve"> fuqi pas botimit n</w:t>
      </w:r>
      <w:r w:rsidR="00C96D47" w:rsidRPr="004A47DC">
        <w:rPr>
          <w:color w:val="000000" w:themeColor="text1"/>
        </w:rPr>
        <w:t>ë</w:t>
      </w:r>
      <w:r w:rsidR="00E94E4B" w:rsidRPr="004A47DC">
        <w:rPr>
          <w:color w:val="000000" w:themeColor="text1"/>
        </w:rPr>
        <w:t xml:space="preserve"> Fletoren </w:t>
      </w:r>
      <w:r w:rsidR="00712A76" w:rsidRPr="004A47DC">
        <w:rPr>
          <w:color w:val="000000" w:themeColor="text1"/>
        </w:rPr>
        <w:t>Zyrtare</w:t>
      </w:r>
      <w:r w:rsidRPr="004A47DC">
        <w:rPr>
          <w:color w:val="000000" w:themeColor="text1"/>
        </w:rPr>
        <w:t>.</w:t>
      </w:r>
    </w:p>
    <w:p w14:paraId="66A492A6" w14:textId="77777777" w:rsidR="00712A76" w:rsidRPr="004A47DC" w:rsidRDefault="00712A76" w:rsidP="00712A76">
      <w:pPr>
        <w:ind w:firstLine="284"/>
        <w:jc w:val="both"/>
        <w:rPr>
          <w:rFonts w:ascii="Garamond" w:hAnsi="Garamond"/>
          <w:color w:val="000000" w:themeColor="text1"/>
        </w:rPr>
      </w:pPr>
    </w:p>
    <w:p w14:paraId="3A77530A" w14:textId="1B151B0F" w:rsidR="00E4626C" w:rsidRPr="004A47DC" w:rsidRDefault="00712A76" w:rsidP="00712A76">
      <w:pPr>
        <w:ind w:firstLine="284"/>
        <w:jc w:val="right"/>
        <w:rPr>
          <w:rFonts w:ascii="Garamond" w:hAnsi="Garamond"/>
          <w:color w:val="000000" w:themeColor="text1"/>
        </w:rPr>
      </w:pPr>
      <w:r w:rsidRPr="004A47DC">
        <w:rPr>
          <w:rFonts w:ascii="Garamond" w:hAnsi="Garamond"/>
          <w:color w:val="000000" w:themeColor="text1"/>
        </w:rPr>
        <w:t>KRYEMINISTËR</w:t>
      </w:r>
    </w:p>
    <w:p w14:paraId="3A775310" w14:textId="088AC7B8" w:rsidR="00952495" w:rsidRPr="004A47DC" w:rsidRDefault="00712A76" w:rsidP="00712A76">
      <w:pPr>
        <w:ind w:firstLine="284"/>
        <w:jc w:val="right"/>
        <w:rPr>
          <w:rFonts w:ascii="Garamond" w:hAnsi="Garamond"/>
          <w:b/>
          <w:color w:val="000000" w:themeColor="text1"/>
        </w:rPr>
      </w:pPr>
      <w:r w:rsidRPr="004A47DC">
        <w:rPr>
          <w:rFonts w:ascii="Garamond" w:hAnsi="Garamond"/>
          <w:b/>
          <w:color w:val="000000" w:themeColor="text1"/>
        </w:rPr>
        <w:t>Edi Rama</w:t>
      </w:r>
    </w:p>
    <w:p w14:paraId="4F1C9524" w14:textId="169261DE" w:rsidR="00295719" w:rsidRPr="004A47DC" w:rsidRDefault="00295719" w:rsidP="00712A76">
      <w:pPr>
        <w:ind w:firstLine="284"/>
        <w:jc w:val="right"/>
        <w:rPr>
          <w:rFonts w:ascii="Garamond" w:hAnsi="Garamond"/>
          <w:b/>
          <w:color w:val="000000" w:themeColor="text1"/>
        </w:rPr>
      </w:pPr>
    </w:p>
    <w:p w14:paraId="336A81B4" w14:textId="77777777" w:rsidR="00CB3922" w:rsidRPr="004A47DC" w:rsidRDefault="00CB3922" w:rsidP="00CB3922">
      <w:pPr>
        <w:pStyle w:val="TEKSTIII"/>
        <w:rPr>
          <w:color w:val="000000" w:themeColor="text1"/>
        </w:rPr>
      </w:pPr>
    </w:p>
    <w:p w14:paraId="7DEAFA62" w14:textId="77777777" w:rsidR="00CB3922" w:rsidRPr="004A47DC" w:rsidRDefault="00CB3922" w:rsidP="00CB3922">
      <w:pPr>
        <w:pStyle w:val="TEKSTIII"/>
        <w:jc w:val="center"/>
        <w:rPr>
          <w:b/>
          <w:color w:val="000000" w:themeColor="text1"/>
        </w:rPr>
      </w:pPr>
      <w:r w:rsidRPr="004A47DC">
        <w:rPr>
          <w:b/>
          <w:color w:val="000000" w:themeColor="text1"/>
        </w:rPr>
        <w:t xml:space="preserve">STRATEGJIA SEKTORIALE </w:t>
      </w:r>
    </w:p>
    <w:p w14:paraId="1FE6E2AE" w14:textId="6D7876B0" w:rsidR="00CB3922" w:rsidRPr="004A47DC" w:rsidRDefault="00CB3922" w:rsidP="00CB3922">
      <w:pPr>
        <w:pStyle w:val="TEKSTIII"/>
        <w:jc w:val="center"/>
        <w:rPr>
          <w:color w:val="000000" w:themeColor="text1"/>
        </w:rPr>
      </w:pPr>
      <w:r w:rsidRPr="004A47DC">
        <w:rPr>
          <w:color w:val="000000" w:themeColor="text1"/>
        </w:rPr>
        <w:t>E MENAXHIMIT TË FINANCAVE PUBLIKE</w:t>
      </w:r>
    </w:p>
    <w:p w14:paraId="7792DE49" w14:textId="36F64A47" w:rsidR="00CB3922" w:rsidRPr="004A47DC" w:rsidRDefault="00CB3922" w:rsidP="00CB3922">
      <w:pPr>
        <w:pStyle w:val="TEKSTIII"/>
        <w:jc w:val="center"/>
        <w:rPr>
          <w:color w:val="000000" w:themeColor="text1"/>
        </w:rPr>
      </w:pPr>
      <w:r w:rsidRPr="004A47DC">
        <w:rPr>
          <w:color w:val="000000" w:themeColor="text1"/>
        </w:rPr>
        <w:t>2023</w:t>
      </w:r>
      <w:r w:rsidR="008F1144" w:rsidRPr="004A47DC">
        <w:rPr>
          <w:color w:val="000000" w:themeColor="text1"/>
        </w:rPr>
        <w:t>–</w:t>
      </w:r>
      <w:r w:rsidRPr="004A47DC">
        <w:rPr>
          <w:color w:val="000000" w:themeColor="text1"/>
        </w:rPr>
        <w:t>2030</w:t>
      </w:r>
    </w:p>
    <w:p w14:paraId="728BAAB5" w14:textId="1486F1B7" w:rsidR="00CB3922" w:rsidRPr="004A47DC" w:rsidRDefault="00CB3922" w:rsidP="00CB3922">
      <w:pPr>
        <w:pStyle w:val="TEKSTIII"/>
        <w:jc w:val="center"/>
        <w:rPr>
          <w:color w:val="000000" w:themeColor="text1"/>
        </w:rPr>
      </w:pPr>
      <w:r w:rsidRPr="004A47DC">
        <w:rPr>
          <w:color w:val="000000" w:themeColor="text1"/>
        </w:rPr>
        <w:t>DHE PLANI I VEPRIMIT</w:t>
      </w:r>
    </w:p>
    <w:p w14:paraId="08C148AF" w14:textId="2849DBD7" w:rsidR="00295719" w:rsidRPr="004A47DC" w:rsidRDefault="00CB3922" w:rsidP="00CB3922">
      <w:pPr>
        <w:pStyle w:val="TEKSTIII"/>
        <w:jc w:val="center"/>
        <w:rPr>
          <w:color w:val="000000" w:themeColor="text1"/>
        </w:rPr>
      </w:pPr>
      <w:r w:rsidRPr="004A47DC">
        <w:rPr>
          <w:color w:val="000000" w:themeColor="text1"/>
        </w:rPr>
        <w:t>2023</w:t>
      </w:r>
      <w:r w:rsidR="008F1144" w:rsidRPr="004A47DC">
        <w:rPr>
          <w:color w:val="000000" w:themeColor="text1"/>
        </w:rPr>
        <w:t>–</w:t>
      </w:r>
      <w:r w:rsidRPr="004A47DC">
        <w:rPr>
          <w:color w:val="000000" w:themeColor="text1"/>
        </w:rPr>
        <w:t>2026</w:t>
      </w:r>
    </w:p>
    <w:p w14:paraId="7E0B0B25" w14:textId="08B77764" w:rsidR="00731A47" w:rsidRPr="004A47DC" w:rsidRDefault="00731A47" w:rsidP="00CB3922">
      <w:pPr>
        <w:pStyle w:val="TEKSTIII"/>
        <w:jc w:val="center"/>
        <w:rPr>
          <w:color w:val="000000" w:themeColor="text1"/>
        </w:rPr>
      </w:pPr>
    </w:p>
    <w:p w14:paraId="3A8DB669" w14:textId="189ECF91" w:rsidR="00731A47" w:rsidRPr="004A47DC" w:rsidRDefault="00731A47" w:rsidP="00731A47">
      <w:pPr>
        <w:pStyle w:val="TEKSTIII"/>
        <w:rPr>
          <w:b/>
          <w:color w:val="000000" w:themeColor="text1"/>
        </w:rPr>
      </w:pPr>
      <w:r w:rsidRPr="004A47DC">
        <w:rPr>
          <w:b/>
          <w:color w:val="000000" w:themeColor="text1"/>
        </w:rPr>
        <w:t xml:space="preserve">Tabela e </w:t>
      </w:r>
      <w:r w:rsidR="008F1144" w:rsidRPr="004A47DC">
        <w:rPr>
          <w:b/>
          <w:color w:val="000000" w:themeColor="text1"/>
        </w:rPr>
        <w:t>p</w:t>
      </w:r>
      <w:r w:rsidRPr="004A47DC">
        <w:rPr>
          <w:b/>
          <w:color w:val="000000" w:themeColor="text1"/>
        </w:rPr>
        <w:t xml:space="preserve">ërmbajtjes </w:t>
      </w:r>
    </w:p>
    <w:p w14:paraId="1596B93F" w14:textId="0EE3EE6A" w:rsidR="00731A47" w:rsidRPr="004A47DC" w:rsidRDefault="00731A47" w:rsidP="00731A47">
      <w:pPr>
        <w:pStyle w:val="TEKSTIII"/>
        <w:rPr>
          <w:color w:val="000000" w:themeColor="text1"/>
        </w:rPr>
      </w:pPr>
      <w:r w:rsidRPr="004A47DC">
        <w:rPr>
          <w:color w:val="000000" w:themeColor="text1"/>
        </w:rPr>
        <w:t xml:space="preserve">Lista e </w:t>
      </w:r>
      <w:r w:rsidR="008F1144" w:rsidRPr="004A47DC">
        <w:rPr>
          <w:color w:val="000000" w:themeColor="text1"/>
        </w:rPr>
        <w:t>s</w:t>
      </w:r>
      <w:r w:rsidRPr="004A47DC">
        <w:rPr>
          <w:color w:val="000000" w:themeColor="text1"/>
        </w:rPr>
        <w:t>hkurtimeve</w:t>
      </w:r>
    </w:p>
    <w:p w14:paraId="524D6D38" w14:textId="68408966" w:rsidR="00731A47" w:rsidRPr="004A47DC" w:rsidRDefault="00731A47" w:rsidP="00731A47">
      <w:pPr>
        <w:pStyle w:val="TEKSTIII"/>
        <w:rPr>
          <w:color w:val="000000" w:themeColor="text1"/>
        </w:rPr>
      </w:pPr>
      <w:r w:rsidRPr="004A47DC">
        <w:rPr>
          <w:color w:val="000000" w:themeColor="text1"/>
        </w:rPr>
        <w:t>Përmbledhja ekzekutive</w:t>
      </w:r>
    </w:p>
    <w:p w14:paraId="7F63D42F" w14:textId="3FC2AD2A" w:rsidR="00731A47" w:rsidRPr="004A47DC" w:rsidRDefault="00731A47" w:rsidP="00731A47">
      <w:pPr>
        <w:pStyle w:val="TEKSTIII"/>
        <w:rPr>
          <w:color w:val="000000" w:themeColor="text1"/>
        </w:rPr>
      </w:pPr>
      <w:r w:rsidRPr="004A47DC">
        <w:rPr>
          <w:color w:val="000000" w:themeColor="text1"/>
        </w:rPr>
        <w:t>1</w:t>
      </w:r>
      <w:r w:rsidR="008F1144" w:rsidRPr="004A47DC">
        <w:rPr>
          <w:color w:val="000000" w:themeColor="text1"/>
        </w:rPr>
        <w:t>.</w:t>
      </w:r>
      <w:r w:rsidRPr="004A47DC">
        <w:rPr>
          <w:color w:val="000000" w:themeColor="text1"/>
        </w:rPr>
        <w:t xml:space="preserve"> Hyrje</w:t>
      </w:r>
    </w:p>
    <w:p w14:paraId="33CFFCEC" w14:textId="2A79ECB7" w:rsidR="00731A47" w:rsidRPr="004A47DC" w:rsidRDefault="00731A47" w:rsidP="00731A47">
      <w:pPr>
        <w:pStyle w:val="TEKSTIII"/>
        <w:rPr>
          <w:color w:val="000000" w:themeColor="text1"/>
        </w:rPr>
      </w:pPr>
      <w:r w:rsidRPr="004A47DC">
        <w:rPr>
          <w:color w:val="000000" w:themeColor="text1"/>
        </w:rPr>
        <w:t>1.1 Fusha dhe qëllimi</w:t>
      </w:r>
    </w:p>
    <w:p w14:paraId="4D26A84D" w14:textId="227AF4C2" w:rsidR="00731A47" w:rsidRPr="004A47DC" w:rsidRDefault="00731A47" w:rsidP="00731A47">
      <w:pPr>
        <w:pStyle w:val="TEKSTIII"/>
        <w:rPr>
          <w:color w:val="000000" w:themeColor="text1"/>
        </w:rPr>
      </w:pPr>
      <w:r w:rsidRPr="004A47DC">
        <w:rPr>
          <w:color w:val="000000" w:themeColor="text1"/>
        </w:rPr>
        <w:t>1.2 Përmbledhja e strategjisë sektoriale të MFP-së</w:t>
      </w:r>
    </w:p>
    <w:p w14:paraId="5F135F26" w14:textId="620C8CDE" w:rsidR="00731A47" w:rsidRPr="004A47DC" w:rsidRDefault="00731A47" w:rsidP="00731A47">
      <w:pPr>
        <w:pStyle w:val="TEKSTIII"/>
        <w:rPr>
          <w:color w:val="000000" w:themeColor="text1"/>
        </w:rPr>
      </w:pPr>
      <w:r w:rsidRPr="004A47DC">
        <w:rPr>
          <w:color w:val="000000" w:themeColor="text1"/>
        </w:rPr>
        <w:t>1.3 Përafrimi me Kuadrin Strategjik për Zhvillim Kombëtar, Integrimin Evropian, Reformat Ekonomike dhe Qeverisjen e Mirë</w:t>
      </w:r>
    </w:p>
    <w:p w14:paraId="05361218" w14:textId="16850B0D" w:rsidR="00731A47" w:rsidRPr="004A47DC" w:rsidRDefault="00731A47" w:rsidP="00731A47">
      <w:pPr>
        <w:pStyle w:val="TEKSTIII"/>
        <w:rPr>
          <w:color w:val="000000" w:themeColor="text1"/>
        </w:rPr>
      </w:pPr>
      <w:r w:rsidRPr="004A47DC">
        <w:rPr>
          <w:color w:val="000000" w:themeColor="text1"/>
        </w:rPr>
        <w:t>1.4 Strategjitë plotësuese të reformës së MFP-së</w:t>
      </w:r>
    </w:p>
    <w:p w14:paraId="0660DBAB" w14:textId="25D4FCCB" w:rsidR="00731A47" w:rsidRPr="004A47DC" w:rsidRDefault="00731A47" w:rsidP="00731A47">
      <w:pPr>
        <w:pStyle w:val="TEKSTIII"/>
        <w:rPr>
          <w:color w:val="000000" w:themeColor="text1"/>
        </w:rPr>
      </w:pPr>
      <w:r w:rsidRPr="004A47DC">
        <w:rPr>
          <w:color w:val="000000" w:themeColor="text1"/>
        </w:rPr>
        <w:t>2</w:t>
      </w:r>
      <w:r w:rsidR="008F1144" w:rsidRPr="004A47DC">
        <w:rPr>
          <w:color w:val="000000" w:themeColor="text1"/>
        </w:rPr>
        <w:t>.</w:t>
      </w:r>
      <w:r w:rsidRPr="004A47DC">
        <w:rPr>
          <w:color w:val="000000" w:themeColor="text1"/>
        </w:rPr>
        <w:t xml:space="preserve"> Shtylla 1:</w:t>
      </w:r>
      <w:r w:rsidR="00B2411C" w:rsidRPr="004A47DC">
        <w:rPr>
          <w:color w:val="000000" w:themeColor="text1"/>
        </w:rPr>
        <w:t xml:space="preserve"> </w:t>
      </w:r>
      <w:r w:rsidRPr="004A47DC">
        <w:rPr>
          <w:color w:val="000000" w:themeColor="text1"/>
        </w:rPr>
        <w:t xml:space="preserve">Programimi </w:t>
      </w:r>
      <w:r w:rsidR="00610D03" w:rsidRPr="004A47DC">
        <w:rPr>
          <w:color w:val="000000" w:themeColor="text1"/>
        </w:rPr>
        <w:t>Makroekonomik dhe Monitorimi i Riskut</w:t>
      </w:r>
    </w:p>
    <w:p w14:paraId="4CD7E465" w14:textId="546004DA" w:rsidR="00731A47" w:rsidRPr="004A47DC" w:rsidRDefault="00731A47" w:rsidP="00731A47">
      <w:pPr>
        <w:pStyle w:val="TEKSTIII"/>
        <w:rPr>
          <w:color w:val="000000" w:themeColor="text1"/>
        </w:rPr>
      </w:pPr>
      <w:r w:rsidRPr="004A47DC">
        <w:rPr>
          <w:color w:val="000000" w:themeColor="text1"/>
        </w:rPr>
        <w:t>2.1 Hyrje</w:t>
      </w:r>
    </w:p>
    <w:p w14:paraId="1161D627" w14:textId="7915E05E" w:rsidR="00731A47" w:rsidRPr="004A47DC" w:rsidRDefault="00731A47" w:rsidP="00731A47">
      <w:pPr>
        <w:pStyle w:val="TEKSTIII"/>
        <w:rPr>
          <w:color w:val="000000" w:themeColor="text1"/>
        </w:rPr>
      </w:pPr>
      <w:r w:rsidRPr="004A47DC">
        <w:rPr>
          <w:color w:val="000000" w:themeColor="text1"/>
        </w:rPr>
        <w:t>2.2 Komponenti 1.1</w:t>
      </w:r>
      <w:r w:rsidR="008F1144" w:rsidRPr="004A47DC">
        <w:rPr>
          <w:color w:val="000000" w:themeColor="text1"/>
        </w:rPr>
        <w:t>:</w:t>
      </w:r>
      <w:r w:rsidRPr="004A47DC">
        <w:rPr>
          <w:color w:val="000000" w:themeColor="text1"/>
        </w:rPr>
        <w:t xml:space="preserve"> Programimi </w:t>
      </w:r>
      <w:r w:rsidR="00F81BE4" w:rsidRPr="004A47DC">
        <w:rPr>
          <w:color w:val="000000" w:themeColor="text1"/>
        </w:rPr>
        <w:t>makroekonomik i matur dhe realist</w:t>
      </w:r>
    </w:p>
    <w:p w14:paraId="71615960" w14:textId="3BDD93D8" w:rsidR="00731A47" w:rsidRPr="004A47DC" w:rsidRDefault="00731A47" w:rsidP="00731A47">
      <w:pPr>
        <w:pStyle w:val="TEKSTIII"/>
        <w:rPr>
          <w:color w:val="000000" w:themeColor="text1"/>
        </w:rPr>
      </w:pPr>
      <w:r w:rsidRPr="004A47DC">
        <w:rPr>
          <w:color w:val="000000" w:themeColor="text1"/>
        </w:rPr>
        <w:t>2.3 Komponenti 1.2</w:t>
      </w:r>
      <w:r w:rsidR="008F1144" w:rsidRPr="004A47DC">
        <w:rPr>
          <w:color w:val="000000" w:themeColor="text1"/>
        </w:rPr>
        <w:t>:</w:t>
      </w:r>
      <w:r w:rsidRPr="004A47DC">
        <w:rPr>
          <w:color w:val="000000" w:themeColor="text1"/>
        </w:rPr>
        <w:t xml:space="preserve"> Krijimi i një </w:t>
      </w:r>
      <w:r w:rsidR="00F81BE4" w:rsidRPr="004A47DC">
        <w:rPr>
          <w:color w:val="000000" w:themeColor="text1"/>
        </w:rPr>
        <w:t>analize gjithëpërfshirëse të qëndrueshmërisë së borxhit</w:t>
      </w:r>
    </w:p>
    <w:p w14:paraId="3EAEB575" w14:textId="49C3B6E1" w:rsidR="00731A47" w:rsidRPr="004A47DC" w:rsidRDefault="00731A47" w:rsidP="00731A47">
      <w:pPr>
        <w:pStyle w:val="TEKSTIII"/>
        <w:rPr>
          <w:color w:val="000000" w:themeColor="text1"/>
        </w:rPr>
      </w:pPr>
      <w:r w:rsidRPr="004A47DC">
        <w:rPr>
          <w:color w:val="000000" w:themeColor="text1"/>
        </w:rPr>
        <w:t>2.4 Komponenti 1.3</w:t>
      </w:r>
      <w:r w:rsidR="008F1144" w:rsidRPr="004A47DC">
        <w:rPr>
          <w:color w:val="000000" w:themeColor="text1"/>
        </w:rPr>
        <w:t>:</w:t>
      </w:r>
      <w:r w:rsidRPr="004A47DC">
        <w:rPr>
          <w:color w:val="000000" w:themeColor="text1"/>
        </w:rPr>
        <w:t xml:space="preserve"> Menaxhimi i </w:t>
      </w:r>
      <w:r w:rsidR="00F81BE4" w:rsidRPr="004A47DC">
        <w:rPr>
          <w:color w:val="000000" w:themeColor="text1"/>
        </w:rPr>
        <w:t xml:space="preserve">risqeve fiskale </w:t>
      </w:r>
    </w:p>
    <w:p w14:paraId="4F740D77" w14:textId="42CBCC33" w:rsidR="00731A47" w:rsidRPr="004A47DC" w:rsidRDefault="00731A47" w:rsidP="00731A47">
      <w:pPr>
        <w:pStyle w:val="TEKSTIII"/>
        <w:rPr>
          <w:color w:val="000000" w:themeColor="text1"/>
        </w:rPr>
      </w:pPr>
      <w:r w:rsidRPr="004A47DC">
        <w:rPr>
          <w:color w:val="000000" w:themeColor="text1"/>
        </w:rPr>
        <w:t>2.5 Komponenti 1.4</w:t>
      </w:r>
      <w:r w:rsidR="008F1144" w:rsidRPr="004A47DC">
        <w:rPr>
          <w:color w:val="000000" w:themeColor="text1"/>
        </w:rPr>
        <w:t>:</w:t>
      </w:r>
      <w:r w:rsidRPr="004A47DC">
        <w:rPr>
          <w:color w:val="000000" w:themeColor="text1"/>
        </w:rPr>
        <w:t xml:space="preserve"> Këshilli </w:t>
      </w:r>
      <w:r w:rsidR="00473489" w:rsidRPr="004A47DC">
        <w:rPr>
          <w:color w:val="000000" w:themeColor="text1"/>
        </w:rPr>
        <w:t>Fiskal</w:t>
      </w:r>
    </w:p>
    <w:p w14:paraId="32355E68" w14:textId="7FD4F5C4" w:rsidR="00731A47" w:rsidRPr="004A47DC" w:rsidRDefault="00731A47" w:rsidP="00731A47">
      <w:pPr>
        <w:pStyle w:val="TEKSTIII"/>
        <w:rPr>
          <w:color w:val="000000" w:themeColor="text1"/>
        </w:rPr>
      </w:pPr>
      <w:r w:rsidRPr="004A47DC">
        <w:rPr>
          <w:color w:val="000000" w:themeColor="text1"/>
        </w:rPr>
        <w:t>3</w:t>
      </w:r>
      <w:r w:rsidR="008F1144" w:rsidRPr="004A47DC">
        <w:rPr>
          <w:color w:val="000000" w:themeColor="text1"/>
        </w:rPr>
        <w:t>.</w:t>
      </w:r>
      <w:r w:rsidRPr="004A47DC">
        <w:rPr>
          <w:color w:val="000000" w:themeColor="text1"/>
        </w:rPr>
        <w:t xml:space="preserve"> Shtylla 2</w:t>
      </w:r>
      <w:r w:rsidR="008F1144" w:rsidRPr="004A47DC">
        <w:rPr>
          <w:color w:val="000000" w:themeColor="text1"/>
        </w:rPr>
        <w:t>:</w:t>
      </w:r>
      <w:r w:rsidRPr="004A47DC">
        <w:rPr>
          <w:color w:val="000000" w:themeColor="text1"/>
        </w:rPr>
        <w:t xml:space="preserve"> Planifikimi i </w:t>
      </w:r>
      <w:r w:rsidR="00610D03" w:rsidRPr="004A47DC">
        <w:rPr>
          <w:color w:val="000000" w:themeColor="text1"/>
        </w:rPr>
        <w:t xml:space="preserve">Integruar Strategjik </w:t>
      </w:r>
      <w:r w:rsidRPr="004A47DC">
        <w:rPr>
          <w:color w:val="000000" w:themeColor="text1"/>
        </w:rPr>
        <w:t xml:space="preserve">dhe </w:t>
      </w:r>
      <w:r w:rsidR="00610D03" w:rsidRPr="004A47DC">
        <w:rPr>
          <w:color w:val="000000" w:themeColor="text1"/>
        </w:rPr>
        <w:t>Buxhetor</w:t>
      </w:r>
      <w:r w:rsidRPr="004A47DC">
        <w:rPr>
          <w:color w:val="000000" w:themeColor="text1"/>
        </w:rPr>
        <w:t xml:space="preserve">, </w:t>
      </w:r>
      <w:r w:rsidR="00610D03" w:rsidRPr="004A47DC">
        <w:rPr>
          <w:color w:val="000000" w:themeColor="text1"/>
        </w:rPr>
        <w:t xml:space="preserve">Monitorimi </w:t>
      </w:r>
      <w:r w:rsidRPr="004A47DC">
        <w:rPr>
          <w:color w:val="000000" w:themeColor="text1"/>
        </w:rPr>
        <w:t xml:space="preserve">dhe </w:t>
      </w:r>
      <w:r w:rsidR="00610D03" w:rsidRPr="004A47DC">
        <w:rPr>
          <w:color w:val="000000" w:themeColor="text1"/>
        </w:rPr>
        <w:t xml:space="preserve">Raportimi Transparent </w:t>
      </w:r>
    </w:p>
    <w:p w14:paraId="44737CE5" w14:textId="0B7B27C7" w:rsidR="00731A47" w:rsidRPr="004A47DC" w:rsidRDefault="00731A47" w:rsidP="00731A47">
      <w:pPr>
        <w:pStyle w:val="TEKSTIII"/>
        <w:rPr>
          <w:color w:val="000000" w:themeColor="text1"/>
        </w:rPr>
      </w:pPr>
      <w:r w:rsidRPr="004A47DC">
        <w:rPr>
          <w:color w:val="000000" w:themeColor="text1"/>
        </w:rPr>
        <w:t>3.1 Hyrje</w:t>
      </w:r>
    </w:p>
    <w:p w14:paraId="1D8B311D" w14:textId="17240D42" w:rsidR="00731A47" w:rsidRPr="004A47DC" w:rsidRDefault="00731A47" w:rsidP="00731A47">
      <w:pPr>
        <w:pStyle w:val="TEKSTIII"/>
        <w:rPr>
          <w:color w:val="000000" w:themeColor="text1"/>
        </w:rPr>
      </w:pPr>
      <w:r w:rsidRPr="004A47DC">
        <w:rPr>
          <w:color w:val="000000" w:themeColor="text1"/>
        </w:rPr>
        <w:t>3.2 Komponenti 2.1</w:t>
      </w:r>
      <w:r w:rsidR="008F1144" w:rsidRPr="004A47DC">
        <w:rPr>
          <w:color w:val="000000" w:themeColor="text1"/>
        </w:rPr>
        <w:t>:</w:t>
      </w:r>
      <w:r w:rsidRPr="004A47DC">
        <w:rPr>
          <w:color w:val="000000" w:themeColor="text1"/>
        </w:rPr>
        <w:t xml:space="preserve"> Planifikimi </w:t>
      </w:r>
      <w:r w:rsidR="00F81BE4" w:rsidRPr="004A47DC">
        <w:rPr>
          <w:color w:val="000000" w:themeColor="text1"/>
        </w:rPr>
        <w:t>strategjik i integruar</w:t>
      </w:r>
    </w:p>
    <w:p w14:paraId="7FE7E9CB" w14:textId="440C25EE" w:rsidR="00731A47" w:rsidRPr="004A47DC" w:rsidRDefault="00731A47" w:rsidP="00731A47">
      <w:pPr>
        <w:pStyle w:val="TEKSTIII"/>
        <w:rPr>
          <w:color w:val="000000" w:themeColor="text1"/>
        </w:rPr>
      </w:pPr>
      <w:r w:rsidRPr="004A47DC">
        <w:rPr>
          <w:color w:val="000000" w:themeColor="text1"/>
        </w:rPr>
        <w:t>3.3 Komponenti 2.2</w:t>
      </w:r>
      <w:r w:rsidR="008F1144" w:rsidRPr="004A47DC">
        <w:rPr>
          <w:color w:val="000000" w:themeColor="text1"/>
        </w:rPr>
        <w:t>:</w:t>
      </w:r>
      <w:r w:rsidRPr="004A47DC">
        <w:rPr>
          <w:color w:val="000000" w:themeColor="text1"/>
        </w:rPr>
        <w:t xml:space="preserve"> Planifikimi </w:t>
      </w:r>
      <w:r w:rsidR="00F81BE4" w:rsidRPr="004A47DC">
        <w:rPr>
          <w:color w:val="000000" w:themeColor="text1"/>
        </w:rPr>
        <w:t>buxhetor afatmesëm</w:t>
      </w:r>
    </w:p>
    <w:p w14:paraId="7F00FCCA" w14:textId="3A055B70" w:rsidR="00731A47" w:rsidRPr="004A47DC" w:rsidRDefault="00731A47" w:rsidP="00731A47">
      <w:pPr>
        <w:pStyle w:val="TEKSTIII"/>
        <w:rPr>
          <w:color w:val="000000" w:themeColor="text1"/>
        </w:rPr>
      </w:pPr>
      <w:r w:rsidRPr="004A47DC">
        <w:rPr>
          <w:color w:val="000000" w:themeColor="text1"/>
        </w:rPr>
        <w:t>3.4 Komponenti 2.3</w:t>
      </w:r>
      <w:r w:rsidR="008F1144" w:rsidRPr="004A47DC">
        <w:rPr>
          <w:color w:val="000000" w:themeColor="text1"/>
        </w:rPr>
        <w:t>:</w:t>
      </w:r>
      <w:r w:rsidRPr="004A47DC">
        <w:rPr>
          <w:color w:val="000000" w:themeColor="text1"/>
        </w:rPr>
        <w:t xml:space="preserve"> Menaxhimi i </w:t>
      </w:r>
      <w:r w:rsidR="00F81BE4" w:rsidRPr="004A47DC">
        <w:rPr>
          <w:color w:val="000000" w:themeColor="text1"/>
        </w:rPr>
        <w:t>investimeve publike</w:t>
      </w:r>
    </w:p>
    <w:p w14:paraId="63EECEE3" w14:textId="5557CE2B" w:rsidR="00731A47" w:rsidRPr="004A47DC" w:rsidRDefault="00731A47" w:rsidP="00731A47">
      <w:pPr>
        <w:pStyle w:val="TEKSTIII"/>
        <w:rPr>
          <w:color w:val="000000" w:themeColor="text1"/>
        </w:rPr>
      </w:pPr>
      <w:r w:rsidRPr="004A47DC">
        <w:rPr>
          <w:color w:val="000000" w:themeColor="text1"/>
        </w:rPr>
        <w:lastRenderedPageBreak/>
        <w:t>3.5 Komponenti 2.4</w:t>
      </w:r>
      <w:r w:rsidR="008F1144" w:rsidRPr="004A47DC">
        <w:rPr>
          <w:color w:val="000000" w:themeColor="text1"/>
        </w:rPr>
        <w:t>:</w:t>
      </w:r>
      <w:r w:rsidRPr="004A47DC">
        <w:rPr>
          <w:color w:val="000000" w:themeColor="text1"/>
        </w:rPr>
        <w:t xml:space="preserve"> Financat </w:t>
      </w:r>
      <w:r w:rsidR="00F81BE4" w:rsidRPr="004A47DC">
        <w:rPr>
          <w:color w:val="000000" w:themeColor="text1"/>
        </w:rPr>
        <w:t>vendore</w:t>
      </w:r>
    </w:p>
    <w:p w14:paraId="5B83BDE5" w14:textId="16E6A697" w:rsidR="00731A47" w:rsidRPr="004A47DC" w:rsidRDefault="00731A47" w:rsidP="00731A47">
      <w:pPr>
        <w:pStyle w:val="TEKSTIII"/>
        <w:rPr>
          <w:color w:val="000000" w:themeColor="text1"/>
        </w:rPr>
      </w:pPr>
      <w:r w:rsidRPr="004A47DC">
        <w:rPr>
          <w:color w:val="000000" w:themeColor="text1"/>
        </w:rPr>
        <w:t>3.6 Komponenti 2.5</w:t>
      </w:r>
      <w:r w:rsidR="008F1144" w:rsidRPr="004A47DC">
        <w:rPr>
          <w:color w:val="000000" w:themeColor="text1"/>
        </w:rPr>
        <w:t>:</w:t>
      </w:r>
      <w:r w:rsidRPr="004A47DC">
        <w:rPr>
          <w:color w:val="000000" w:themeColor="text1"/>
        </w:rPr>
        <w:t xml:space="preserve"> Raportimi dhe </w:t>
      </w:r>
      <w:r w:rsidR="00F81BE4" w:rsidRPr="004A47DC">
        <w:rPr>
          <w:color w:val="000000" w:themeColor="text1"/>
        </w:rPr>
        <w:t xml:space="preserve">monitorimi i zbatimit të buxhetit </w:t>
      </w:r>
    </w:p>
    <w:p w14:paraId="6818D574" w14:textId="60A6B5E3" w:rsidR="00731A47" w:rsidRPr="004A47DC" w:rsidRDefault="00731A47" w:rsidP="00731A47">
      <w:pPr>
        <w:pStyle w:val="TEKSTIII"/>
        <w:rPr>
          <w:color w:val="000000" w:themeColor="text1"/>
        </w:rPr>
      </w:pPr>
      <w:r w:rsidRPr="004A47DC">
        <w:rPr>
          <w:color w:val="000000" w:themeColor="text1"/>
        </w:rPr>
        <w:t>4</w:t>
      </w:r>
      <w:r w:rsidR="008F1144" w:rsidRPr="004A47DC">
        <w:rPr>
          <w:color w:val="000000" w:themeColor="text1"/>
        </w:rPr>
        <w:t>.</w:t>
      </w:r>
      <w:r w:rsidRPr="004A47DC">
        <w:rPr>
          <w:color w:val="000000" w:themeColor="text1"/>
        </w:rPr>
        <w:t xml:space="preserve"> Shtylla 3</w:t>
      </w:r>
      <w:r w:rsidR="008F1144" w:rsidRPr="004A47DC">
        <w:rPr>
          <w:color w:val="000000" w:themeColor="text1"/>
        </w:rPr>
        <w:t>:</w:t>
      </w:r>
      <w:r w:rsidRPr="004A47DC">
        <w:rPr>
          <w:color w:val="000000" w:themeColor="text1"/>
        </w:rPr>
        <w:t xml:space="preserve"> Menaxhimi dhe </w:t>
      </w:r>
      <w:r w:rsidR="00610D03" w:rsidRPr="004A47DC">
        <w:rPr>
          <w:color w:val="000000" w:themeColor="text1"/>
        </w:rPr>
        <w:t xml:space="preserve">Mobilizimi </w:t>
      </w:r>
      <w:r w:rsidRPr="004A47DC">
        <w:rPr>
          <w:color w:val="000000" w:themeColor="text1"/>
        </w:rPr>
        <w:t xml:space="preserve">i të </w:t>
      </w:r>
      <w:r w:rsidR="00610D03" w:rsidRPr="004A47DC">
        <w:rPr>
          <w:color w:val="000000" w:themeColor="text1"/>
        </w:rPr>
        <w:t xml:space="preserve">Ardhurave </w:t>
      </w:r>
    </w:p>
    <w:p w14:paraId="1BC1A620" w14:textId="5CAAE2AA" w:rsidR="00731A47" w:rsidRPr="004A47DC" w:rsidRDefault="00731A47" w:rsidP="00731A47">
      <w:pPr>
        <w:pStyle w:val="TEKSTIII"/>
        <w:rPr>
          <w:color w:val="000000" w:themeColor="text1"/>
        </w:rPr>
      </w:pPr>
      <w:r w:rsidRPr="004A47DC">
        <w:rPr>
          <w:color w:val="000000" w:themeColor="text1"/>
        </w:rPr>
        <w:t xml:space="preserve">4.1 Hyrje </w:t>
      </w:r>
    </w:p>
    <w:p w14:paraId="6F0ECB13" w14:textId="3BA00225" w:rsidR="00731A47" w:rsidRPr="004A47DC" w:rsidRDefault="00731A47" w:rsidP="00731A47">
      <w:pPr>
        <w:pStyle w:val="TEKSTIII"/>
        <w:rPr>
          <w:color w:val="000000" w:themeColor="text1"/>
        </w:rPr>
      </w:pPr>
      <w:r w:rsidRPr="004A47DC">
        <w:rPr>
          <w:color w:val="000000" w:themeColor="text1"/>
        </w:rPr>
        <w:t>4.2 Komponenti 3.1</w:t>
      </w:r>
      <w:r w:rsidR="008F1144" w:rsidRPr="004A47DC">
        <w:rPr>
          <w:color w:val="000000" w:themeColor="text1"/>
        </w:rPr>
        <w:t>:</w:t>
      </w:r>
      <w:r w:rsidRPr="004A47DC">
        <w:rPr>
          <w:color w:val="000000" w:themeColor="text1"/>
        </w:rPr>
        <w:t xml:space="preserve"> Menaxhimi i taksave </w:t>
      </w:r>
    </w:p>
    <w:p w14:paraId="2591939C" w14:textId="047F2222" w:rsidR="00731A47" w:rsidRPr="004A47DC" w:rsidRDefault="00731A47" w:rsidP="00731A47">
      <w:pPr>
        <w:pStyle w:val="TEKSTIII"/>
        <w:rPr>
          <w:color w:val="000000" w:themeColor="text1"/>
        </w:rPr>
      </w:pPr>
      <w:r w:rsidRPr="004A47DC">
        <w:rPr>
          <w:color w:val="000000" w:themeColor="text1"/>
        </w:rPr>
        <w:t>4.3 Komponenti 3.2</w:t>
      </w:r>
      <w:r w:rsidR="008F1144" w:rsidRPr="004A47DC">
        <w:rPr>
          <w:color w:val="000000" w:themeColor="text1"/>
        </w:rPr>
        <w:t>:</w:t>
      </w:r>
      <w:r w:rsidRPr="004A47DC">
        <w:rPr>
          <w:color w:val="000000" w:themeColor="text1"/>
        </w:rPr>
        <w:t xml:space="preserve"> Menaxhimi i taksës së pasurisë </w:t>
      </w:r>
    </w:p>
    <w:p w14:paraId="5CD89D50" w14:textId="1C70F0B3" w:rsidR="00731A47" w:rsidRPr="004A47DC" w:rsidRDefault="00731A47" w:rsidP="00731A47">
      <w:pPr>
        <w:pStyle w:val="TEKSTIII"/>
        <w:rPr>
          <w:color w:val="000000" w:themeColor="text1"/>
        </w:rPr>
      </w:pPr>
      <w:r w:rsidRPr="004A47DC">
        <w:rPr>
          <w:color w:val="000000" w:themeColor="text1"/>
        </w:rPr>
        <w:t>4.4 Komponenti 3.3</w:t>
      </w:r>
      <w:r w:rsidR="008F1144" w:rsidRPr="004A47DC">
        <w:rPr>
          <w:color w:val="000000" w:themeColor="text1"/>
        </w:rPr>
        <w:t>:</w:t>
      </w:r>
      <w:r w:rsidRPr="004A47DC">
        <w:rPr>
          <w:color w:val="000000" w:themeColor="text1"/>
        </w:rPr>
        <w:t xml:space="preserve"> Menaxhimi </w:t>
      </w:r>
      <w:r w:rsidR="00473489" w:rsidRPr="004A47DC">
        <w:rPr>
          <w:color w:val="000000" w:themeColor="text1"/>
        </w:rPr>
        <w:t xml:space="preserve">doganor </w:t>
      </w:r>
    </w:p>
    <w:p w14:paraId="7D17F780" w14:textId="093C1D8B" w:rsidR="00731A47" w:rsidRPr="004A47DC" w:rsidRDefault="00731A47" w:rsidP="00731A47">
      <w:pPr>
        <w:pStyle w:val="TEKSTIII"/>
        <w:rPr>
          <w:color w:val="000000" w:themeColor="text1"/>
        </w:rPr>
      </w:pPr>
      <w:r w:rsidRPr="004A47DC">
        <w:rPr>
          <w:color w:val="000000" w:themeColor="text1"/>
        </w:rPr>
        <w:t>5</w:t>
      </w:r>
      <w:r w:rsidR="008F1144" w:rsidRPr="004A47DC">
        <w:rPr>
          <w:color w:val="000000" w:themeColor="text1"/>
        </w:rPr>
        <w:t>.</w:t>
      </w:r>
      <w:r w:rsidRPr="004A47DC">
        <w:rPr>
          <w:color w:val="000000" w:themeColor="text1"/>
        </w:rPr>
        <w:t xml:space="preserve"> Shtylla 4</w:t>
      </w:r>
      <w:r w:rsidR="008F1144" w:rsidRPr="004A47DC">
        <w:rPr>
          <w:color w:val="000000" w:themeColor="text1"/>
        </w:rPr>
        <w:t>:</w:t>
      </w:r>
      <w:r w:rsidRPr="004A47DC">
        <w:rPr>
          <w:color w:val="000000" w:themeColor="text1"/>
        </w:rPr>
        <w:t xml:space="preserve"> Kontabiliteti dhe </w:t>
      </w:r>
      <w:r w:rsidR="00610D03" w:rsidRPr="004A47DC">
        <w:rPr>
          <w:color w:val="000000" w:themeColor="text1"/>
        </w:rPr>
        <w:t xml:space="preserve">Menaxhimi </w:t>
      </w:r>
      <w:r w:rsidR="008F1144" w:rsidRPr="004A47DC">
        <w:rPr>
          <w:color w:val="000000" w:themeColor="text1"/>
        </w:rPr>
        <w:t xml:space="preserve">i </w:t>
      </w:r>
      <w:r w:rsidR="00610D03" w:rsidRPr="004A47DC">
        <w:rPr>
          <w:color w:val="000000" w:themeColor="text1"/>
        </w:rPr>
        <w:t xml:space="preserve">Zbatimit </w:t>
      </w:r>
      <w:r w:rsidR="008F1144" w:rsidRPr="004A47DC">
        <w:rPr>
          <w:color w:val="000000" w:themeColor="text1"/>
        </w:rPr>
        <w:t xml:space="preserve">të </w:t>
      </w:r>
      <w:r w:rsidR="00610D03" w:rsidRPr="004A47DC">
        <w:rPr>
          <w:color w:val="000000" w:themeColor="text1"/>
        </w:rPr>
        <w:t xml:space="preserve">Buxhetit </w:t>
      </w:r>
    </w:p>
    <w:p w14:paraId="1B7EE9DB" w14:textId="3A344D06" w:rsidR="00731A47" w:rsidRPr="004A47DC" w:rsidRDefault="00731A47" w:rsidP="00731A47">
      <w:pPr>
        <w:pStyle w:val="TEKSTIII"/>
        <w:rPr>
          <w:color w:val="000000" w:themeColor="text1"/>
        </w:rPr>
      </w:pPr>
      <w:r w:rsidRPr="004A47DC">
        <w:rPr>
          <w:color w:val="000000" w:themeColor="text1"/>
        </w:rPr>
        <w:t>5.1 Hyrje</w:t>
      </w:r>
    </w:p>
    <w:p w14:paraId="6EDE2FE0" w14:textId="31ED6897" w:rsidR="00731A47" w:rsidRPr="004A47DC" w:rsidRDefault="00731A47" w:rsidP="00731A47">
      <w:pPr>
        <w:pStyle w:val="TEKSTIII"/>
        <w:rPr>
          <w:color w:val="000000" w:themeColor="text1"/>
        </w:rPr>
      </w:pPr>
      <w:r w:rsidRPr="004A47DC">
        <w:rPr>
          <w:color w:val="000000" w:themeColor="text1"/>
        </w:rPr>
        <w:t>5.2 Komponenti 4.1</w:t>
      </w:r>
      <w:r w:rsidR="008F1144" w:rsidRPr="004A47DC">
        <w:rPr>
          <w:color w:val="000000" w:themeColor="text1"/>
        </w:rPr>
        <w:t>:</w:t>
      </w:r>
      <w:r w:rsidRPr="004A47DC">
        <w:rPr>
          <w:color w:val="000000" w:themeColor="text1"/>
        </w:rPr>
        <w:t xml:space="preserve"> Llogaritë </w:t>
      </w:r>
      <w:r w:rsidR="008F1144" w:rsidRPr="004A47DC">
        <w:rPr>
          <w:color w:val="000000" w:themeColor="text1"/>
        </w:rPr>
        <w:t xml:space="preserve">kombëtare të qeverisë </w:t>
      </w:r>
    </w:p>
    <w:p w14:paraId="5CDFA2DA" w14:textId="3BD7AD9A" w:rsidR="00731A47" w:rsidRPr="004A47DC" w:rsidRDefault="00731A47" w:rsidP="00731A47">
      <w:pPr>
        <w:pStyle w:val="TEKSTIII"/>
        <w:rPr>
          <w:color w:val="000000" w:themeColor="text1"/>
        </w:rPr>
      </w:pPr>
      <w:r w:rsidRPr="004A47DC">
        <w:rPr>
          <w:color w:val="000000" w:themeColor="text1"/>
        </w:rPr>
        <w:t>5.3 Komponenti 4.2</w:t>
      </w:r>
      <w:r w:rsidR="008F1144" w:rsidRPr="004A47DC">
        <w:rPr>
          <w:color w:val="000000" w:themeColor="text1"/>
        </w:rPr>
        <w:t>:</w:t>
      </w:r>
      <w:r w:rsidRPr="004A47DC">
        <w:rPr>
          <w:color w:val="000000" w:themeColor="text1"/>
        </w:rPr>
        <w:t xml:space="preserve"> Kontabiliteti </w:t>
      </w:r>
    </w:p>
    <w:p w14:paraId="0A77766A" w14:textId="467F2918" w:rsidR="00731A47" w:rsidRPr="004A47DC" w:rsidRDefault="00731A47" w:rsidP="00731A47">
      <w:pPr>
        <w:pStyle w:val="TEKSTIII"/>
        <w:rPr>
          <w:color w:val="000000" w:themeColor="text1"/>
        </w:rPr>
      </w:pPr>
      <w:r w:rsidRPr="004A47DC">
        <w:rPr>
          <w:color w:val="000000" w:themeColor="text1"/>
        </w:rPr>
        <w:t>5.4 Komponenti 4.3</w:t>
      </w:r>
      <w:r w:rsidR="008F1144" w:rsidRPr="004A47DC">
        <w:rPr>
          <w:color w:val="000000" w:themeColor="text1"/>
        </w:rPr>
        <w:t>:</w:t>
      </w:r>
      <w:r w:rsidRPr="004A47DC">
        <w:rPr>
          <w:color w:val="000000" w:themeColor="text1"/>
        </w:rPr>
        <w:t xml:space="preserve"> Prokurimi </w:t>
      </w:r>
      <w:r w:rsidR="008F1144" w:rsidRPr="004A47DC">
        <w:rPr>
          <w:color w:val="000000" w:themeColor="text1"/>
        </w:rPr>
        <w:t xml:space="preserve">publik </w:t>
      </w:r>
    </w:p>
    <w:p w14:paraId="24068598" w14:textId="689E6F2C" w:rsidR="00731A47" w:rsidRPr="004A47DC" w:rsidRDefault="00731A47" w:rsidP="00731A47">
      <w:pPr>
        <w:pStyle w:val="TEKSTIII"/>
        <w:rPr>
          <w:color w:val="000000" w:themeColor="text1"/>
        </w:rPr>
      </w:pPr>
      <w:r w:rsidRPr="004A47DC">
        <w:rPr>
          <w:color w:val="000000" w:themeColor="text1"/>
        </w:rPr>
        <w:t>5.5 Komponenti 4.4</w:t>
      </w:r>
      <w:r w:rsidR="008F1144" w:rsidRPr="004A47DC">
        <w:rPr>
          <w:color w:val="000000" w:themeColor="text1"/>
        </w:rPr>
        <w:t>:</w:t>
      </w:r>
      <w:r w:rsidRPr="004A47DC">
        <w:rPr>
          <w:color w:val="000000" w:themeColor="text1"/>
        </w:rPr>
        <w:t xml:space="preserve"> Menaxhimi i </w:t>
      </w:r>
      <w:r w:rsidR="008F1144" w:rsidRPr="004A47DC">
        <w:rPr>
          <w:color w:val="000000" w:themeColor="text1"/>
        </w:rPr>
        <w:t xml:space="preserve">borxhit </w:t>
      </w:r>
    </w:p>
    <w:p w14:paraId="293FDDD4" w14:textId="74966911" w:rsidR="00731A47" w:rsidRPr="004A47DC" w:rsidRDefault="00731A47" w:rsidP="00731A47">
      <w:pPr>
        <w:pStyle w:val="TEKSTIII"/>
        <w:rPr>
          <w:color w:val="000000" w:themeColor="text1"/>
        </w:rPr>
      </w:pPr>
      <w:r w:rsidRPr="004A47DC">
        <w:rPr>
          <w:color w:val="000000" w:themeColor="text1"/>
        </w:rPr>
        <w:t>5.6 Komponenti 4.5</w:t>
      </w:r>
      <w:r w:rsidR="008F1144" w:rsidRPr="004A47DC">
        <w:rPr>
          <w:color w:val="000000" w:themeColor="text1"/>
        </w:rPr>
        <w:t>:</w:t>
      </w:r>
      <w:r w:rsidRPr="004A47DC">
        <w:rPr>
          <w:color w:val="000000" w:themeColor="text1"/>
        </w:rPr>
        <w:t xml:space="preserve"> Menaxhimi i likuiditetit </w:t>
      </w:r>
    </w:p>
    <w:p w14:paraId="122DDE0B" w14:textId="5BC03494" w:rsidR="00731A47" w:rsidRPr="004A47DC" w:rsidRDefault="00731A47" w:rsidP="00731A47">
      <w:pPr>
        <w:pStyle w:val="TEKSTIII"/>
        <w:rPr>
          <w:color w:val="000000" w:themeColor="text1"/>
        </w:rPr>
      </w:pPr>
      <w:r w:rsidRPr="004A47DC">
        <w:rPr>
          <w:color w:val="000000" w:themeColor="text1"/>
        </w:rPr>
        <w:t>5.7 Komponenti 4.6</w:t>
      </w:r>
      <w:r w:rsidR="008F1144" w:rsidRPr="004A47DC">
        <w:rPr>
          <w:color w:val="000000" w:themeColor="text1"/>
        </w:rPr>
        <w:t>:</w:t>
      </w:r>
      <w:r w:rsidRPr="004A47DC">
        <w:rPr>
          <w:color w:val="000000" w:themeColor="text1"/>
        </w:rPr>
        <w:t xml:space="preserve"> Menaxhimi i </w:t>
      </w:r>
      <w:r w:rsidR="008F1144" w:rsidRPr="004A47DC">
        <w:rPr>
          <w:color w:val="000000" w:themeColor="text1"/>
        </w:rPr>
        <w:t xml:space="preserve">aseteve </w:t>
      </w:r>
    </w:p>
    <w:p w14:paraId="04ABFF2D" w14:textId="5D9EF201" w:rsidR="00731A47" w:rsidRPr="004A47DC" w:rsidRDefault="00731A47" w:rsidP="00731A47">
      <w:pPr>
        <w:pStyle w:val="TEKSTIII"/>
        <w:rPr>
          <w:color w:val="000000" w:themeColor="text1"/>
        </w:rPr>
      </w:pPr>
      <w:r w:rsidRPr="004A47DC">
        <w:rPr>
          <w:color w:val="000000" w:themeColor="text1"/>
        </w:rPr>
        <w:t>6</w:t>
      </w:r>
      <w:r w:rsidR="008F1144" w:rsidRPr="004A47DC">
        <w:rPr>
          <w:color w:val="000000" w:themeColor="text1"/>
        </w:rPr>
        <w:t>.</w:t>
      </w:r>
      <w:r w:rsidRPr="004A47DC">
        <w:rPr>
          <w:color w:val="000000" w:themeColor="text1"/>
        </w:rPr>
        <w:t xml:space="preserve"> Shtylla 5</w:t>
      </w:r>
      <w:r w:rsidR="008F1144" w:rsidRPr="004A47DC">
        <w:rPr>
          <w:color w:val="000000" w:themeColor="text1"/>
        </w:rPr>
        <w:t>:</w:t>
      </w:r>
      <w:r w:rsidRPr="004A47DC">
        <w:rPr>
          <w:color w:val="000000" w:themeColor="text1"/>
        </w:rPr>
        <w:t xml:space="preserve"> Kontrolli i </w:t>
      </w:r>
      <w:r w:rsidR="009E0019" w:rsidRPr="004A47DC">
        <w:rPr>
          <w:color w:val="000000" w:themeColor="text1"/>
        </w:rPr>
        <w:t xml:space="preserve">Brendshëm Financiar Publik </w:t>
      </w:r>
    </w:p>
    <w:p w14:paraId="55691725" w14:textId="10337798" w:rsidR="00731A47" w:rsidRPr="004A47DC" w:rsidRDefault="00731A47" w:rsidP="00731A47">
      <w:pPr>
        <w:pStyle w:val="TEKSTIII"/>
        <w:rPr>
          <w:color w:val="000000" w:themeColor="text1"/>
        </w:rPr>
      </w:pPr>
      <w:r w:rsidRPr="004A47DC">
        <w:rPr>
          <w:color w:val="000000" w:themeColor="text1"/>
        </w:rPr>
        <w:t>6.1 Hyrje</w:t>
      </w:r>
    </w:p>
    <w:p w14:paraId="3BA9D051" w14:textId="7FC6DB6B" w:rsidR="00731A47" w:rsidRPr="004A47DC" w:rsidRDefault="00731A47" w:rsidP="00731A47">
      <w:pPr>
        <w:pStyle w:val="TEKSTIII"/>
        <w:rPr>
          <w:color w:val="000000" w:themeColor="text1"/>
        </w:rPr>
      </w:pPr>
      <w:r w:rsidRPr="004A47DC">
        <w:rPr>
          <w:color w:val="000000" w:themeColor="text1"/>
        </w:rPr>
        <w:t>6.2 Komponenti 5.1</w:t>
      </w:r>
      <w:r w:rsidR="008F1144" w:rsidRPr="004A47DC">
        <w:rPr>
          <w:color w:val="000000" w:themeColor="text1"/>
        </w:rPr>
        <w:t>:</w:t>
      </w:r>
      <w:r w:rsidRPr="004A47DC">
        <w:rPr>
          <w:color w:val="000000" w:themeColor="text1"/>
        </w:rPr>
        <w:t xml:space="preserve"> Menaxhimi </w:t>
      </w:r>
      <w:r w:rsidR="00F81BE4" w:rsidRPr="004A47DC">
        <w:rPr>
          <w:color w:val="000000" w:themeColor="text1"/>
        </w:rPr>
        <w:t xml:space="preserve">financiar dhe kontrolli </w:t>
      </w:r>
    </w:p>
    <w:p w14:paraId="7CA98026" w14:textId="773A64D3" w:rsidR="00731A47" w:rsidRPr="004A47DC" w:rsidRDefault="00731A47" w:rsidP="00731A47">
      <w:pPr>
        <w:pStyle w:val="TEKSTIII"/>
        <w:rPr>
          <w:color w:val="000000" w:themeColor="text1"/>
        </w:rPr>
      </w:pPr>
      <w:r w:rsidRPr="004A47DC">
        <w:rPr>
          <w:color w:val="000000" w:themeColor="text1"/>
        </w:rPr>
        <w:t>6.3 Komponenti 5.2</w:t>
      </w:r>
      <w:r w:rsidR="008F1144" w:rsidRPr="004A47DC">
        <w:rPr>
          <w:color w:val="000000" w:themeColor="text1"/>
        </w:rPr>
        <w:t>:</w:t>
      </w:r>
      <w:r w:rsidRPr="004A47DC">
        <w:rPr>
          <w:color w:val="000000" w:themeColor="text1"/>
        </w:rPr>
        <w:t xml:space="preserve"> Auditimi i </w:t>
      </w:r>
      <w:r w:rsidR="008F1144" w:rsidRPr="004A47DC">
        <w:rPr>
          <w:color w:val="000000" w:themeColor="text1"/>
        </w:rPr>
        <w:t>b</w:t>
      </w:r>
      <w:r w:rsidRPr="004A47DC">
        <w:rPr>
          <w:color w:val="000000" w:themeColor="text1"/>
        </w:rPr>
        <w:t xml:space="preserve">rendshëm </w:t>
      </w:r>
    </w:p>
    <w:p w14:paraId="0DA63203" w14:textId="2290DBF4" w:rsidR="00731A47" w:rsidRPr="004A47DC" w:rsidRDefault="00731A47" w:rsidP="00731A47">
      <w:pPr>
        <w:pStyle w:val="TEKSTIII"/>
        <w:rPr>
          <w:color w:val="000000" w:themeColor="text1"/>
        </w:rPr>
      </w:pPr>
      <w:r w:rsidRPr="004A47DC">
        <w:rPr>
          <w:color w:val="000000" w:themeColor="text1"/>
        </w:rPr>
        <w:t>6.4</w:t>
      </w:r>
      <w:r w:rsidR="008F1144" w:rsidRPr="004A47DC">
        <w:rPr>
          <w:color w:val="000000" w:themeColor="text1"/>
        </w:rPr>
        <w:t xml:space="preserve"> </w:t>
      </w:r>
      <w:r w:rsidRPr="004A47DC">
        <w:rPr>
          <w:color w:val="000000" w:themeColor="text1"/>
        </w:rPr>
        <w:t>Komponenti 5.3</w:t>
      </w:r>
      <w:r w:rsidR="008F1144" w:rsidRPr="004A47DC">
        <w:rPr>
          <w:color w:val="000000" w:themeColor="text1"/>
        </w:rPr>
        <w:t>:</w:t>
      </w:r>
      <w:r w:rsidRPr="004A47DC">
        <w:rPr>
          <w:color w:val="000000" w:themeColor="text1"/>
        </w:rPr>
        <w:t xml:space="preserve"> Inspektimi </w:t>
      </w:r>
      <w:r w:rsidR="008F1144" w:rsidRPr="004A47DC">
        <w:rPr>
          <w:color w:val="000000" w:themeColor="text1"/>
        </w:rPr>
        <w:t xml:space="preserve">financiar publik dhe shërbimet e koordinimit kundër mashtrimit </w:t>
      </w:r>
    </w:p>
    <w:p w14:paraId="3BD94879" w14:textId="4ACF85A6" w:rsidR="00731A47" w:rsidRPr="004A47DC" w:rsidRDefault="00731A47" w:rsidP="00731A47">
      <w:pPr>
        <w:pStyle w:val="TEKSTIII"/>
        <w:rPr>
          <w:color w:val="000000" w:themeColor="text1"/>
        </w:rPr>
      </w:pPr>
      <w:r w:rsidRPr="004A47DC">
        <w:rPr>
          <w:color w:val="000000" w:themeColor="text1"/>
        </w:rPr>
        <w:t>6.5 Komponent 5.4</w:t>
      </w:r>
      <w:r w:rsidR="008F1144" w:rsidRPr="004A47DC">
        <w:rPr>
          <w:color w:val="000000" w:themeColor="text1"/>
        </w:rPr>
        <w:t>:</w:t>
      </w:r>
      <w:r w:rsidRPr="004A47DC">
        <w:rPr>
          <w:color w:val="000000" w:themeColor="text1"/>
        </w:rPr>
        <w:t xml:space="preserve"> Menaxhimi i fondeve të BE-së</w:t>
      </w:r>
    </w:p>
    <w:p w14:paraId="19BE2A51" w14:textId="502AB0F1" w:rsidR="00731A47" w:rsidRPr="004A47DC" w:rsidRDefault="00731A47" w:rsidP="00731A47">
      <w:pPr>
        <w:pStyle w:val="TEKSTIII"/>
        <w:rPr>
          <w:color w:val="000000" w:themeColor="text1"/>
        </w:rPr>
      </w:pPr>
      <w:r w:rsidRPr="004A47DC">
        <w:rPr>
          <w:color w:val="000000" w:themeColor="text1"/>
        </w:rPr>
        <w:t>7</w:t>
      </w:r>
      <w:r w:rsidR="008F1144" w:rsidRPr="004A47DC">
        <w:rPr>
          <w:color w:val="000000" w:themeColor="text1"/>
        </w:rPr>
        <w:t>.</w:t>
      </w:r>
      <w:r w:rsidRPr="004A47DC">
        <w:rPr>
          <w:color w:val="000000" w:themeColor="text1"/>
        </w:rPr>
        <w:t xml:space="preserve"> Shtylla 6</w:t>
      </w:r>
      <w:r w:rsidR="008F1144" w:rsidRPr="004A47DC">
        <w:rPr>
          <w:color w:val="000000" w:themeColor="text1"/>
        </w:rPr>
        <w:t>:</w:t>
      </w:r>
      <w:r w:rsidRPr="004A47DC">
        <w:rPr>
          <w:color w:val="000000" w:themeColor="text1"/>
        </w:rPr>
        <w:t xml:space="preserve"> Mbikëqyrja e </w:t>
      </w:r>
      <w:r w:rsidR="00610D03" w:rsidRPr="004A47DC">
        <w:rPr>
          <w:color w:val="000000" w:themeColor="text1"/>
        </w:rPr>
        <w:t xml:space="preserve">Jashtme </w:t>
      </w:r>
    </w:p>
    <w:p w14:paraId="2F6A2F88" w14:textId="689242EB" w:rsidR="00731A47" w:rsidRPr="004A47DC" w:rsidRDefault="00731A47" w:rsidP="00731A47">
      <w:pPr>
        <w:pStyle w:val="TEKSTIII"/>
        <w:rPr>
          <w:color w:val="000000" w:themeColor="text1"/>
        </w:rPr>
      </w:pPr>
      <w:r w:rsidRPr="004A47DC">
        <w:rPr>
          <w:color w:val="000000" w:themeColor="text1"/>
        </w:rPr>
        <w:t xml:space="preserve">7.1 Hyrje </w:t>
      </w:r>
    </w:p>
    <w:p w14:paraId="17AE4089" w14:textId="3E407062" w:rsidR="00731A47" w:rsidRPr="004A47DC" w:rsidRDefault="00731A47" w:rsidP="00731A47">
      <w:pPr>
        <w:pStyle w:val="TEKSTIII"/>
        <w:rPr>
          <w:color w:val="000000" w:themeColor="text1"/>
        </w:rPr>
      </w:pPr>
      <w:r w:rsidRPr="004A47DC">
        <w:rPr>
          <w:color w:val="000000" w:themeColor="text1"/>
        </w:rPr>
        <w:t>7.2 Komponenti 6.1</w:t>
      </w:r>
      <w:r w:rsidR="008F1144" w:rsidRPr="004A47DC">
        <w:rPr>
          <w:color w:val="000000" w:themeColor="text1"/>
        </w:rPr>
        <w:t>:</w:t>
      </w:r>
      <w:r w:rsidRPr="004A47DC">
        <w:rPr>
          <w:color w:val="000000" w:themeColor="text1"/>
        </w:rPr>
        <w:t xml:space="preserve"> Auditimi i </w:t>
      </w:r>
      <w:r w:rsidR="008F1144" w:rsidRPr="004A47DC">
        <w:rPr>
          <w:color w:val="000000" w:themeColor="text1"/>
        </w:rPr>
        <w:t>j</w:t>
      </w:r>
      <w:r w:rsidRPr="004A47DC">
        <w:rPr>
          <w:color w:val="000000" w:themeColor="text1"/>
        </w:rPr>
        <w:t>ashtë</w:t>
      </w:r>
      <w:r w:rsidR="008F1144" w:rsidRPr="004A47DC">
        <w:rPr>
          <w:color w:val="000000" w:themeColor="text1"/>
        </w:rPr>
        <w:t>m</w:t>
      </w:r>
      <w:r w:rsidRPr="004A47DC">
        <w:rPr>
          <w:color w:val="000000" w:themeColor="text1"/>
        </w:rPr>
        <w:t xml:space="preserve"> </w:t>
      </w:r>
    </w:p>
    <w:p w14:paraId="12EE903A" w14:textId="492FD718" w:rsidR="00731A47" w:rsidRPr="004A47DC" w:rsidRDefault="00731A47" w:rsidP="00731A47">
      <w:pPr>
        <w:pStyle w:val="TEKSTIII"/>
        <w:rPr>
          <w:color w:val="000000" w:themeColor="text1"/>
        </w:rPr>
      </w:pPr>
      <w:r w:rsidRPr="004A47DC">
        <w:rPr>
          <w:color w:val="000000" w:themeColor="text1"/>
        </w:rPr>
        <w:t>7.3 Komponenti 6.2</w:t>
      </w:r>
      <w:r w:rsidR="008F1144" w:rsidRPr="004A47DC">
        <w:rPr>
          <w:color w:val="000000" w:themeColor="text1"/>
        </w:rPr>
        <w:t>:</w:t>
      </w:r>
      <w:r w:rsidRPr="004A47DC">
        <w:rPr>
          <w:color w:val="000000" w:themeColor="text1"/>
        </w:rPr>
        <w:t xml:space="preserve"> Mbikëqyrja </w:t>
      </w:r>
      <w:r w:rsidR="008F1144" w:rsidRPr="004A47DC">
        <w:rPr>
          <w:color w:val="000000" w:themeColor="text1"/>
        </w:rPr>
        <w:t>p</w:t>
      </w:r>
      <w:r w:rsidRPr="004A47DC">
        <w:rPr>
          <w:color w:val="000000" w:themeColor="text1"/>
        </w:rPr>
        <w:t xml:space="preserve">arlamentare </w:t>
      </w:r>
    </w:p>
    <w:p w14:paraId="651FCD58" w14:textId="4B5B9C51" w:rsidR="00731A47" w:rsidRPr="004A47DC" w:rsidRDefault="00731A47" w:rsidP="00731A47">
      <w:pPr>
        <w:pStyle w:val="TEKSTIII"/>
        <w:rPr>
          <w:color w:val="000000" w:themeColor="text1"/>
        </w:rPr>
      </w:pPr>
      <w:r w:rsidRPr="004A47DC">
        <w:rPr>
          <w:color w:val="000000" w:themeColor="text1"/>
        </w:rPr>
        <w:t>8</w:t>
      </w:r>
      <w:r w:rsidR="008F1144" w:rsidRPr="004A47DC">
        <w:rPr>
          <w:color w:val="000000" w:themeColor="text1"/>
        </w:rPr>
        <w:t>.</w:t>
      </w:r>
      <w:r w:rsidRPr="004A47DC">
        <w:rPr>
          <w:color w:val="000000" w:themeColor="text1"/>
        </w:rPr>
        <w:t xml:space="preserve"> Kuadri institucional për monitorimin dhe raportimin </w:t>
      </w:r>
    </w:p>
    <w:p w14:paraId="1015A5BA" w14:textId="4789B36C" w:rsidR="00731A47" w:rsidRPr="004A47DC" w:rsidRDefault="00731A47" w:rsidP="00731A47">
      <w:pPr>
        <w:pStyle w:val="TEKSTIII"/>
        <w:rPr>
          <w:color w:val="000000" w:themeColor="text1"/>
        </w:rPr>
      </w:pPr>
      <w:r w:rsidRPr="004A47DC">
        <w:rPr>
          <w:color w:val="000000" w:themeColor="text1"/>
        </w:rPr>
        <w:t>9</w:t>
      </w:r>
      <w:r w:rsidR="008F1144" w:rsidRPr="004A47DC">
        <w:rPr>
          <w:color w:val="000000" w:themeColor="text1"/>
        </w:rPr>
        <w:t>.</w:t>
      </w:r>
      <w:r w:rsidRPr="004A47DC">
        <w:rPr>
          <w:color w:val="000000" w:themeColor="text1"/>
        </w:rPr>
        <w:t xml:space="preserve"> Risqet dhe masat zbutëse</w:t>
      </w:r>
    </w:p>
    <w:p w14:paraId="2983949B" w14:textId="08B5055D" w:rsidR="00731A47" w:rsidRPr="004A47DC" w:rsidRDefault="00731A47" w:rsidP="00731A47">
      <w:pPr>
        <w:pStyle w:val="TEKSTIII"/>
        <w:rPr>
          <w:color w:val="000000" w:themeColor="text1"/>
        </w:rPr>
      </w:pPr>
      <w:r w:rsidRPr="004A47DC">
        <w:rPr>
          <w:color w:val="000000" w:themeColor="text1"/>
        </w:rPr>
        <w:t>10</w:t>
      </w:r>
      <w:r w:rsidR="008F1144" w:rsidRPr="004A47DC">
        <w:rPr>
          <w:color w:val="000000" w:themeColor="text1"/>
        </w:rPr>
        <w:t>.</w:t>
      </w:r>
      <w:r w:rsidRPr="004A47DC">
        <w:rPr>
          <w:color w:val="000000" w:themeColor="text1"/>
        </w:rPr>
        <w:t xml:space="preserve"> Vlerësimi i kostove dhe financimi</w:t>
      </w:r>
    </w:p>
    <w:p w14:paraId="37E8D573" w14:textId="424D96FA" w:rsidR="00731A47" w:rsidRPr="004A47DC" w:rsidRDefault="00731A47" w:rsidP="00731A47">
      <w:pPr>
        <w:pStyle w:val="TEKSTIII"/>
        <w:rPr>
          <w:color w:val="000000" w:themeColor="text1"/>
        </w:rPr>
      </w:pPr>
      <w:r w:rsidRPr="004A47DC">
        <w:rPr>
          <w:color w:val="000000" w:themeColor="text1"/>
        </w:rPr>
        <w:t>Shtojca 1</w:t>
      </w:r>
      <w:r w:rsidR="008F1144" w:rsidRPr="004A47DC">
        <w:rPr>
          <w:color w:val="000000" w:themeColor="text1"/>
        </w:rPr>
        <w:t>.</w:t>
      </w:r>
      <w:r w:rsidRPr="004A47DC">
        <w:rPr>
          <w:color w:val="000000" w:themeColor="text1"/>
        </w:rPr>
        <w:t xml:space="preserve"> Palët e interesuara për reformën e MFP</w:t>
      </w:r>
      <w:r w:rsidR="008F1144" w:rsidRPr="004A47DC">
        <w:rPr>
          <w:color w:val="000000" w:themeColor="text1"/>
        </w:rPr>
        <w:t>-së</w:t>
      </w:r>
    </w:p>
    <w:p w14:paraId="7A518021" w14:textId="35A5C572" w:rsidR="00731A47" w:rsidRPr="004A47DC" w:rsidRDefault="00731A47" w:rsidP="00731A47">
      <w:pPr>
        <w:pStyle w:val="TEKSTIII"/>
        <w:rPr>
          <w:color w:val="000000" w:themeColor="text1"/>
        </w:rPr>
      </w:pPr>
      <w:r w:rsidRPr="004A47DC">
        <w:rPr>
          <w:color w:val="000000" w:themeColor="text1"/>
        </w:rPr>
        <w:t>Shtojca 2</w:t>
      </w:r>
      <w:r w:rsidR="008F1144" w:rsidRPr="004A47DC">
        <w:rPr>
          <w:color w:val="000000" w:themeColor="text1"/>
        </w:rPr>
        <w:t>.</w:t>
      </w:r>
      <w:r w:rsidRPr="004A47DC">
        <w:rPr>
          <w:color w:val="000000" w:themeColor="text1"/>
        </w:rPr>
        <w:t xml:space="preserve"> Vështrim i përgjithshëm i mbështetjes së vazhdueshme dhe të planifikuar nga partnerët e zhvillimit</w:t>
      </w:r>
    </w:p>
    <w:p w14:paraId="23AD6CA6" w14:textId="33946AF9" w:rsidR="00731A47" w:rsidRPr="004A47DC" w:rsidRDefault="00731A47" w:rsidP="00731A47">
      <w:pPr>
        <w:pStyle w:val="TEKSTIII"/>
        <w:rPr>
          <w:color w:val="000000" w:themeColor="text1"/>
        </w:rPr>
      </w:pPr>
      <w:r w:rsidRPr="004A47DC">
        <w:rPr>
          <w:color w:val="000000" w:themeColor="text1"/>
        </w:rPr>
        <w:t>Shtojca 3</w:t>
      </w:r>
      <w:r w:rsidR="008F1144" w:rsidRPr="004A47DC">
        <w:rPr>
          <w:color w:val="000000" w:themeColor="text1"/>
        </w:rPr>
        <w:t>.</w:t>
      </w:r>
      <w:r w:rsidRPr="004A47DC">
        <w:rPr>
          <w:color w:val="000000" w:themeColor="text1"/>
        </w:rPr>
        <w:t xml:space="preserve"> Vlerësimi i kostove dhe financimi sipas objektivave specifikë (komponentëve)</w:t>
      </w:r>
    </w:p>
    <w:p w14:paraId="4F2DDD1E" w14:textId="041052A7" w:rsidR="00731A47" w:rsidRPr="004A47DC" w:rsidRDefault="00731A47" w:rsidP="00731A47">
      <w:pPr>
        <w:pStyle w:val="TEKSTIII"/>
        <w:rPr>
          <w:color w:val="000000" w:themeColor="text1"/>
        </w:rPr>
      </w:pPr>
      <w:r w:rsidRPr="004A47DC">
        <w:rPr>
          <w:color w:val="000000" w:themeColor="text1"/>
        </w:rPr>
        <w:t>Shtojca 4</w:t>
      </w:r>
      <w:r w:rsidR="008F1144" w:rsidRPr="004A47DC">
        <w:rPr>
          <w:color w:val="000000" w:themeColor="text1"/>
        </w:rPr>
        <w:t>.</w:t>
      </w:r>
      <w:r w:rsidRPr="004A47DC">
        <w:rPr>
          <w:color w:val="000000" w:themeColor="text1"/>
        </w:rPr>
        <w:t xml:space="preserve"> Plani i Veprimit </w:t>
      </w:r>
      <w:r w:rsidR="001C5313" w:rsidRPr="004A47DC">
        <w:rPr>
          <w:color w:val="000000" w:themeColor="text1"/>
        </w:rPr>
        <w:t>të</w:t>
      </w:r>
      <w:r w:rsidRPr="004A47DC">
        <w:rPr>
          <w:color w:val="000000" w:themeColor="text1"/>
        </w:rPr>
        <w:t xml:space="preserve"> Strategjisë së Menaxhimit të Financave Publike 2023–2026</w:t>
      </w:r>
    </w:p>
    <w:p w14:paraId="2D88A64F" w14:textId="625C3DF8" w:rsidR="00731A47" w:rsidRPr="004A47DC" w:rsidRDefault="00731A47" w:rsidP="00731A47">
      <w:pPr>
        <w:pStyle w:val="TEKSTIII"/>
        <w:rPr>
          <w:color w:val="000000" w:themeColor="text1"/>
        </w:rPr>
      </w:pPr>
      <w:r w:rsidRPr="004A47DC">
        <w:rPr>
          <w:color w:val="000000" w:themeColor="text1"/>
        </w:rPr>
        <w:t>Shtojca 5</w:t>
      </w:r>
      <w:r w:rsidR="008F1144" w:rsidRPr="004A47DC">
        <w:rPr>
          <w:color w:val="000000" w:themeColor="text1"/>
        </w:rPr>
        <w:t>.</w:t>
      </w:r>
      <w:r w:rsidRPr="004A47DC">
        <w:rPr>
          <w:color w:val="000000" w:themeColor="text1"/>
        </w:rPr>
        <w:t xml:space="preserve"> Pasaporta e Treguesve të Strategjisë së Menaxhimit të Financave Publike 2023–2026 </w:t>
      </w:r>
    </w:p>
    <w:p w14:paraId="016BEF01" w14:textId="6EC9DCBF" w:rsidR="00731A47" w:rsidRPr="004A47DC" w:rsidRDefault="00731A47" w:rsidP="00731A47">
      <w:pPr>
        <w:pStyle w:val="TEKSTIII"/>
        <w:rPr>
          <w:color w:val="000000" w:themeColor="text1"/>
        </w:rPr>
      </w:pPr>
    </w:p>
    <w:p w14:paraId="4B9CC5F8" w14:textId="404B1299" w:rsidR="00165A28" w:rsidRPr="004A47DC" w:rsidRDefault="00165A28" w:rsidP="00165A28">
      <w:pPr>
        <w:pStyle w:val="TEKSTIII"/>
        <w:rPr>
          <w:rStyle w:val="IntenseReference"/>
          <w:rFonts w:ascii="Garamond" w:eastAsia="Calibri" w:hAnsi="Garamond" w:cs="Times New Roman"/>
          <w:b/>
          <w:i w:val="0"/>
          <w:color w:val="000000" w:themeColor="text1"/>
          <w:sz w:val="24"/>
          <w:szCs w:val="24"/>
        </w:rPr>
      </w:pPr>
      <w:bookmarkStart w:id="0" w:name="_Toc168918663"/>
      <w:r w:rsidRPr="004A47DC">
        <w:rPr>
          <w:rStyle w:val="IntenseReference"/>
          <w:rFonts w:ascii="Garamond" w:eastAsia="Calibri" w:hAnsi="Garamond" w:cs="Times New Roman"/>
          <w:b/>
          <w:i w:val="0"/>
          <w:color w:val="000000" w:themeColor="text1"/>
          <w:sz w:val="24"/>
          <w:szCs w:val="24"/>
        </w:rPr>
        <w:t xml:space="preserve">Lista e </w:t>
      </w:r>
      <w:r w:rsidR="008F1144" w:rsidRPr="004A47DC">
        <w:rPr>
          <w:rStyle w:val="IntenseReference"/>
          <w:rFonts w:ascii="Garamond" w:eastAsia="Calibri" w:hAnsi="Garamond" w:cs="Times New Roman"/>
          <w:b/>
          <w:i w:val="0"/>
          <w:color w:val="000000" w:themeColor="text1"/>
          <w:sz w:val="24"/>
          <w:szCs w:val="24"/>
        </w:rPr>
        <w:t>s</w:t>
      </w:r>
      <w:r w:rsidRPr="004A47DC">
        <w:rPr>
          <w:rStyle w:val="IntenseReference"/>
          <w:rFonts w:ascii="Garamond" w:eastAsia="Calibri" w:hAnsi="Garamond" w:cs="Times New Roman"/>
          <w:b/>
          <w:i w:val="0"/>
          <w:color w:val="000000" w:themeColor="text1"/>
          <w:sz w:val="24"/>
          <w:szCs w:val="24"/>
        </w:rPr>
        <w:t>hkurtimeve</w:t>
      </w:r>
      <w:bookmarkEnd w:id="0"/>
    </w:p>
    <w:p w14:paraId="5863A125" w14:textId="77777777" w:rsidR="00165A28" w:rsidRPr="004A47DC" w:rsidRDefault="00165A28" w:rsidP="00165A28">
      <w:pPr>
        <w:pStyle w:val="TEKSTIII"/>
        <w:rPr>
          <w:color w:val="000000" w:themeColor="text1"/>
        </w:rPr>
      </w:pPr>
    </w:p>
    <w:tbl>
      <w:tblPr>
        <w:tblStyle w:val="TableGridIDEA6"/>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1265"/>
        <w:gridCol w:w="7267"/>
      </w:tblGrid>
      <w:tr w:rsidR="004719D2" w:rsidRPr="004A47DC" w14:paraId="6B0DED51" w14:textId="77777777" w:rsidTr="003F3A47">
        <w:tc>
          <w:tcPr>
            <w:tcW w:w="1265" w:type="dxa"/>
            <w:hideMark/>
          </w:tcPr>
          <w:p w14:paraId="0129F16C"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AE</w:t>
            </w:r>
          </w:p>
        </w:tc>
        <w:tc>
          <w:tcPr>
            <w:tcW w:w="7267" w:type="dxa"/>
            <w:vAlign w:val="center"/>
            <w:hideMark/>
          </w:tcPr>
          <w:p w14:paraId="411F5BB4" w14:textId="5E203626"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Arkiv</w:t>
            </w:r>
            <w:r w:rsidR="001C5313" w:rsidRPr="004A47DC">
              <w:rPr>
                <w:rFonts w:ascii="Garamond" w:hAnsi="Garamond"/>
                <w:color w:val="000000" w:themeColor="text1"/>
                <w:lang w:val="sq-AL"/>
              </w:rPr>
              <w:t>i</w:t>
            </w:r>
            <w:r w:rsidRPr="004A47DC">
              <w:rPr>
                <w:rFonts w:ascii="Garamond" w:hAnsi="Garamond"/>
                <w:color w:val="000000" w:themeColor="text1"/>
                <w:lang w:val="sq-AL"/>
              </w:rPr>
              <w:t xml:space="preserve"> Elektronik</w:t>
            </w:r>
          </w:p>
        </w:tc>
      </w:tr>
      <w:tr w:rsidR="004719D2" w:rsidRPr="004A47DC" w14:paraId="510845E7" w14:textId="77777777" w:rsidTr="003F3A47">
        <w:tc>
          <w:tcPr>
            <w:tcW w:w="1265" w:type="dxa"/>
          </w:tcPr>
          <w:p w14:paraId="10563B6F"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AKSHI</w:t>
            </w:r>
          </w:p>
        </w:tc>
        <w:tc>
          <w:tcPr>
            <w:tcW w:w="7267" w:type="dxa"/>
            <w:vAlign w:val="center"/>
          </w:tcPr>
          <w:p w14:paraId="5732C04E"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Agjencia Kombëtare e Shoqërisë së Informacionit</w:t>
            </w:r>
          </w:p>
        </w:tc>
      </w:tr>
      <w:tr w:rsidR="004719D2" w:rsidRPr="004A47DC" w14:paraId="6862FAEB" w14:textId="77777777" w:rsidTr="003F3A47">
        <w:tc>
          <w:tcPr>
            <w:tcW w:w="1265" w:type="dxa"/>
            <w:hideMark/>
          </w:tcPr>
          <w:p w14:paraId="456E9964"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APP</w:t>
            </w:r>
          </w:p>
        </w:tc>
        <w:tc>
          <w:tcPr>
            <w:tcW w:w="7267" w:type="dxa"/>
            <w:vAlign w:val="center"/>
            <w:hideMark/>
          </w:tcPr>
          <w:p w14:paraId="3EFF6F70"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Agjencia e Prokurimit Publik</w:t>
            </w:r>
          </w:p>
        </w:tc>
      </w:tr>
      <w:tr w:rsidR="004719D2" w:rsidRPr="004A47DC" w14:paraId="4FA90DD6" w14:textId="77777777" w:rsidTr="003F3A47">
        <w:tc>
          <w:tcPr>
            <w:tcW w:w="1265" w:type="dxa"/>
            <w:hideMark/>
          </w:tcPr>
          <w:p w14:paraId="38410467"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ATRAKO</w:t>
            </w:r>
          </w:p>
        </w:tc>
        <w:tc>
          <w:tcPr>
            <w:tcW w:w="7267" w:type="dxa"/>
            <w:vAlign w:val="center"/>
            <w:hideMark/>
          </w:tcPr>
          <w:p w14:paraId="3152C700"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Agjencia e Trajtimit të Koncesioneve</w:t>
            </w:r>
          </w:p>
        </w:tc>
      </w:tr>
      <w:tr w:rsidR="004719D2" w:rsidRPr="004A47DC" w14:paraId="05F3BD8E" w14:textId="77777777" w:rsidTr="003F3A47">
        <w:tc>
          <w:tcPr>
            <w:tcW w:w="1265" w:type="dxa"/>
            <w:hideMark/>
          </w:tcPr>
          <w:p w14:paraId="2384A57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BE</w:t>
            </w:r>
          </w:p>
        </w:tc>
        <w:tc>
          <w:tcPr>
            <w:tcW w:w="7267" w:type="dxa"/>
            <w:vAlign w:val="center"/>
            <w:hideMark/>
          </w:tcPr>
          <w:p w14:paraId="32CD384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Bashkimi Evropian</w:t>
            </w:r>
          </w:p>
        </w:tc>
      </w:tr>
      <w:tr w:rsidR="004719D2" w:rsidRPr="004A47DC" w14:paraId="3F16E1E6" w14:textId="77777777" w:rsidTr="003F3A47">
        <w:tc>
          <w:tcPr>
            <w:tcW w:w="1265" w:type="dxa"/>
            <w:hideMark/>
          </w:tcPr>
          <w:p w14:paraId="72BB9CF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BPGJ</w:t>
            </w:r>
          </w:p>
        </w:tc>
        <w:tc>
          <w:tcPr>
            <w:tcW w:w="7267" w:type="dxa"/>
            <w:vAlign w:val="center"/>
            <w:hideMark/>
          </w:tcPr>
          <w:p w14:paraId="2280B7C6"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Buxhetimi i Përgjegjshëm Gjinor</w:t>
            </w:r>
          </w:p>
        </w:tc>
      </w:tr>
      <w:tr w:rsidR="004719D2" w:rsidRPr="004A47DC" w14:paraId="19C813FC" w14:textId="77777777" w:rsidTr="003F3A47">
        <w:tc>
          <w:tcPr>
            <w:tcW w:w="1265" w:type="dxa"/>
          </w:tcPr>
          <w:p w14:paraId="6BE50C8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BSH</w:t>
            </w:r>
          </w:p>
        </w:tc>
        <w:tc>
          <w:tcPr>
            <w:tcW w:w="7267" w:type="dxa"/>
            <w:vAlign w:val="center"/>
          </w:tcPr>
          <w:p w14:paraId="4D1E2D9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Banka e Shqipërisë</w:t>
            </w:r>
          </w:p>
        </w:tc>
      </w:tr>
      <w:tr w:rsidR="004719D2" w:rsidRPr="004A47DC" w14:paraId="55F23C0D" w14:textId="77777777" w:rsidTr="003F3A47">
        <w:tc>
          <w:tcPr>
            <w:tcW w:w="1265" w:type="dxa"/>
          </w:tcPr>
          <w:p w14:paraId="2BB3766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DAPB</w:t>
            </w:r>
          </w:p>
        </w:tc>
        <w:tc>
          <w:tcPr>
            <w:tcW w:w="7267" w:type="dxa"/>
            <w:vAlign w:val="center"/>
          </w:tcPr>
          <w:p w14:paraId="1ED113D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Analizës dhe Programimit Buxhetor</w:t>
            </w:r>
          </w:p>
        </w:tc>
      </w:tr>
      <w:tr w:rsidR="004719D2" w:rsidRPr="004A47DC" w14:paraId="635D5927" w14:textId="77777777" w:rsidTr="003F3A47">
        <w:tc>
          <w:tcPr>
            <w:tcW w:w="1265" w:type="dxa"/>
          </w:tcPr>
          <w:p w14:paraId="48F6939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DFV</w:t>
            </w:r>
          </w:p>
        </w:tc>
        <w:tc>
          <w:tcPr>
            <w:tcW w:w="7267" w:type="dxa"/>
            <w:vAlign w:val="center"/>
          </w:tcPr>
          <w:p w14:paraId="3689E68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Financave Vendore</w:t>
            </w:r>
          </w:p>
        </w:tc>
      </w:tr>
      <w:tr w:rsidR="004719D2" w:rsidRPr="004A47DC" w14:paraId="1933B27F" w14:textId="77777777" w:rsidTr="003F3A47">
        <w:tc>
          <w:tcPr>
            <w:tcW w:w="1265" w:type="dxa"/>
          </w:tcPr>
          <w:p w14:paraId="0F32090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DMB</w:t>
            </w:r>
          </w:p>
        </w:tc>
        <w:tc>
          <w:tcPr>
            <w:tcW w:w="7267" w:type="dxa"/>
            <w:vAlign w:val="center"/>
          </w:tcPr>
          <w:p w14:paraId="0D9145E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Menaxhimit të Buxhetit</w:t>
            </w:r>
          </w:p>
        </w:tc>
      </w:tr>
      <w:tr w:rsidR="004719D2" w:rsidRPr="004A47DC" w14:paraId="13F6F87C" w14:textId="77777777" w:rsidTr="003F3A47">
        <w:tc>
          <w:tcPr>
            <w:tcW w:w="1265" w:type="dxa"/>
          </w:tcPr>
          <w:p w14:paraId="6F53641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lastRenderedPageBreak/>
              <w:t>DHMFKK</w:t>
            </w:r>
          </w:p>
        </w:tc>
        <w:tc>
          <w:tcPr>
            <w:tcW w:w="7267" w:type="dxa"/>
            <w:vAlign w:val="center"/>
          </w:tcPr>
          <w:p w14:paraId="6D348C4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Harmonizimit të Menaxhimit Financiar, Kontrollit dhe Kontabilitetit</w:t>
            </w:r>
          </w:p>
        </w:tc>
      </w:tr>
      <w:tr w:rsidR="004719D2" w:rsidRPr="004A47DC" w14:paraId="66C82385" w14:textId="77777777" w:rsidTr="003F3A47">
        <w:tc>
          <w:tcPr>
            <w:tcW w:w="1265" w:type="dxa"/>
          </w:tcPr>
          <w:p w14:paraId="04A75B6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DPB</w:t>
            </w:r>
          </w:p>
        </w:tc>
        <w:tc>
          <w:tcPr>
            <w:tcW w:w="7267" w:type="dxa"/>
            <w:vAlign w:val="center"/>
          </w:tcPr>
          <w:p w14:paraId="236B4F26"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Buxhetit</w:t>
            </w:r>
          </w:p>
        </w:tc>
      </w:tr>
      <w:tr w:rsidR="004719D2" w:rsidRPr="004A47DC" w14:paraId="7D1CF36B" w14:textId="77777777" w:rsidTr="003F3A47">
        <w:tc>
          <w:tcPr>
            <w:tcW w:w="1265" w:type="dxa"/>
          </w:tcPr>
          <w:p w14:paraId="2707806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DPBSH</w:t>
            </w:r>
          </w:p>
        </w:tc>
        <w:tc>
          <w:tcPr>
            <w:tcW w:w="7267" w:type="dxa"/>
            <w:vAlign w:val="center"/>
          </w:tcPr>
          <w:p w14:paraId="65D6D10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Borxhit Shtetëror</w:t>
            </w:r>
          </w:p>
        </w:tc>
      </w:tr>
      <w:tr w:rsidR="004719D2" w:rsidRPr="004A47DC" w14:paraId="64AB5E50" w14:textId="77777777" w:rsidTr="003F3A47">
        <w:tc>
          <w:tcPr>
            <w:tcW w:w="1265" w:type="dxa"/>
          </w:tcPr>
          <w:p w14:paraId="5AB34AD4"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DPD </w:t>
            </w:r>
          </w:p>
        </w:tc>
        <w:tc>
          <w:tcPr>
            <w:tcW w:w="7267" w:type="dxa"/>
            <w:vAlign w:val="center"/>
          </w:tcPr>
          <w:p w14:paraId="2B4A83B4"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Doganave</w:t>
            </w:r>
          </w:p>
        </w:tc>
      </w:tr>
      <w:tr w:rsidR="004719D2" w:rsidRPr="004A47DC" w14:paraId="7EBF9682" w14:textId="77777777" w:rsidTr="003F3A47">
        <w:tc>
          <w:tcPr>
            <w:tcW w:w="1265" w:type="dxa"/>
          </w:tcPr>
          <w:p w14:paraId="1D4E1FA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DPP</w:t>
            </w:r>
          </w:p>
        </w:tc>
        <w:tc>
          <w:tcPr>
            <w:tcW w:w="7267" w:type="dxa"/>
            <w:vAlign w:val="center"/>
          </w:tcPr>
          <w:p w14:paraId="5921BF9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Dokumenti i Politikave Prioritare</w:t>
            </w:r>
          </w:p>
        </w:tc>
      </w:tr>
      <w:tr w:rsidR="004719D2" w:rsidRPr="004A47DC" w14:paraId="09A3FF74" w14:textId="77777777" w:rsidTr="003F3A47">
        <w:tc>
          <w:tcPr>
            <w:tcW w:w="1265" w:type="dxa"/>
            <w:hideMark/>
          </w:tcPr>
          <w:p w14:paraId="16FE023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DPPMF</w:t>
            </w:r>
          </w:p>
        </w:tc>
        <w:tc>
          <w:tcPr>
            <w:tcW w:w="7267" w:type="dxa"/>
            <w:vAlign w:val="center"/>
            <w:hideMark/>
          </w:tcPr>
          <w:p w14:paraId="29A7138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Programimit Makroekonomik dhe Fiskal</w:t>
            </w:r>
          </w:p>
        </w:tc>
      </w:tr>
      <w:tr w:rsidR="004719D2" w:rsidRPr="004A47DC" w14:paraId="37293BE5" w14:textId="77777777" w:rsidTr="003F3A47">
        <w:tc>
          <w:tcPr>
            <w:tcW w:w="1265" w:type="dxa"/>
          </w:tcPr>
          <w:p w14:paraId="738BB27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DPPT</w:t>
            </w:r>
          </w:p>
        </w:tc>
        <w:tc>
          <w:tcPr>
            <w:tcW w:w="7267" w:type="dxa"/>
            <w:vAlign w:val="center"/>
          </w:tcPr>
          <w:p w14:paraId="514AA1A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Politikave Tatimore</w:t>
            </w:r>
          </w:p>
        </w:tc>
      </w:tr>
      <w:tr w:rsidR="004719D2" w:rsidRPr="004A47DC" w14:paraId="59EC78F3" w14:textId="77777777" w:rsidTr="003F3A47">
        <w:tc>
          <w:tcPr>
            <w:tcW w:w="1265" w:type="dxa"/>
            <w:hideMark/>
          </w:tcPr>
          <w:p w14:paraId="43EB960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DPT</w:t>
            </w:r>
          </w:p>
        </w:tc>
        <w:tc>
          <w:tcPr>
            <w:tcW w:w="7267" w:type="dxa"/>
            <w:vAlign w:val="center"/>
            <w:hideMark/>
          </w:tcPr>
          <w:p w14:paraId="3FE89D6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Tatimeve</w:t>
            </w:r>
          </w:p>
        </w:tc>
      </w:tr>
      <w:tr w:rsidR="004719D2" w:rsidRPr="004A47DC" w14:paraId="7FDB945E" w14:textId="77777777" w:rsidTr="003F3A47">
        <w:tc>
          <w:tcPr>
            <w:tcW w:w="1265" w:type="dxa"/>
          </w:tcPr>
          <w:p w14:paraId="5FE8E30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DPTH</w:t>
            </w:r>
          </w:p>
        </w:tc>
        <w:tc>
          <w:tcPr>
            <w:tcW w:w="7267" w:type="dxa"/>
            <w:vAlign w:val="center"/>
          </w:tcPr>
          <w:p w14:paraId="0459B0A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Thesarit</w:t>
            </w:r>
          </w:p>
        </w:tc>
      </w:tr>
      <w:tr w:rsidR="004719D2" w:rsidRPr="004A47DC" w14:paraId="68B9D02B" w14:textId="77777777" w:rsidTr="003F3A47">
        <w:tc>
          <w:tcPr>
            <w:tcW w:w="1265" w:type="dxa"/>
          </w:tcPr>
          <w:p w14:paraId="25D7CAD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DPTP</w:t>
            </w:r>
          </w:p>
        </w:tc>
        <w:tc>
          <w:tcPr>
            <w:tcW w:w="7267" w:type="dxa"/>
            <w:vAlign w:val="center"/>
          </w:tcPr>
          <w:p w14:paraId="628D7B2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Përgjithshme e Taksës së Pasurisë</w:t>
            </w:r>
          </w:p>
        </w:tc>
      </w:tr>
      <w:tr w:rsidR="004719D2" w:rsidRPr="004A47DC" w14:paraId="230718B2" w14:textId="77777777" w:rsidTr="003F3A47">
        <w:tc>
          <w:tcPr>
            <w:tcW w:w="1265" w:type="dxa"/>
          </w:tcPr>
          <w:p w14:paraId="3B73F56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DRF</w:t>
            </w:r>
          </w:p>
        </w:tc>
        <w:tc>
          <w:tcPr>
            <w:tcW w:w="7267" w:type="dxa"/>
            <w:vAlign w:val="center"/>
          </w:tcPr>
          <w:p w14:paraId="6A99A2CA"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Drejtoria e Risqeve Fiskale</w:t>
            </w:r>
          </w:p>
        </w:tc>
      </w:tr>
      <w:tr w:rsidR="004719D2" w:rsidRPr="004A47DC" w14:paraId="773336DF" w14:textId="77777777" w:rsidTr="003F3A47">
        <w:tc>
          <w:tcPr>
            <w:tcW w:w="1265" w:type="dxa"/>
            <w:hideMark/>
          </w:tcPr>
          <w:p w14:paraId="624B1B0F" w14:textId="77777777" w:rsidR="00165A28" w:rsidRPr="004A47DC" w:rsidRDefault="00165A28" w:rsidP="00165A28">
            <w:pPr>
              <w:rPr>
                <w:rFonts w:ascii="Garamond" w:eastAsia="Times New Roman" w:hAnsi="Garamond"/>
                <w:color w:val="000000" w:themeColor="text1"/>
                <w:lang w:val="sq-AL"/>
              </w:rPr>
            </w:pPr>
            <w:r w:rsidRPr="004A47DC">
              <w:rPr>
                <w:rFonts w:ascii="Garamond" w:hAnsi="Garamond"/>
                <w:color w:val="000000" w:themeColor="text1"/>
                <w:lang w:val="sq-AL"/>
              </w:rPr>
              <w:t>FMN</w:t>
            </w:r>
          </w:p>
        </w:tc>
        <w:tc>
          <w:tcPr>
            <w:tcW w:w="7267" w:type="dxa"/>
            <w:vAlign w:val="center"/>
            <w:hideMark/>
          </w:tcPr>
          <w:p w14:paraId="765A09B4"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Fondi Monetar Ndërkombëtar</w:t>
            </w:r>
          </w:p>
        </w:tc>
      </w:tr>
      <w:tr w:rsidR="004719D2" w:rsidRPr="004A47DC" w14:paraId="16AACF8F" w14:textId="77777777" w:rsidTr="003F3A47">
        <w:tc>
          <w:tcPr>
            <w:tcW w:w="1265" w:type="dxa"/>
          </w:tcPr>
          <w:p w14:paraId="02CD0C37"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GMIP</w:t>
            </w:r>
          </w:p>
        </w:tc>
        <w:tc>
          <w:tcPr>
            <w:tcW w:w="7267" w:type="dxa"/>
            <w:vAlign w:val="center"/>
          </w:tcPr>
          <w:p w14:paraId="0F5A4F8F"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Grupi i Menaxhimit të Integruar të Politikave</w:t>
            </w:r>
          </w:p>
        </w:tc>
      </w:tr>
      <w:tr w:rsidR="004719D2" w:rsidRPr="004A47DC" w14:paraId="576028FB" w14:textId="77777777" w:rsidTr="003F3A47">
        <w:tc>
          <w:tcPr>
            <w:tcW w:w="1265" w:type="dxa"/>
          </w:tcPr>
          <w:p w14:paraId="31E96AAE"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IB</w:t>
            </w:r>
          </w:p>
        </w:tc>
        <w:tc>
          <w:tcPr>
            <w:tcW w:w="7267" w:type="dxa"/>
            <w:vAlign w:val="center"/>
          </w:tcPr>
          <w:p w14:paraId="62AE64DC"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Institucion Buxhetor</w:t>
            </w:r>
          </w:p>
        </w:tc>
      </w:tr>
      <w:tr w:rsidR="004719D2" w:rsidRPr="004A47DC" w14:paraId="7A18C920" w14:textId="77777777" w:rsidTr="003F3A47">
        <w:tc>
          <w:tcPr>
            <w:tcW w:w="1265" w:type="dxa"/>
          </w:tcPr>
          <w:p w14:paraId="1F1115F4"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INSTAT</w:t>
            </w:r>
          </w:p>
        </w:tc>
        <w:tc>
          <w:tcPr>
            <w:tcW w:w="7267" w:type="dxa"/>
            <w:vAlign w:val="center"/>
          </w:tcPr>
          <w:p w14:paraId="6D83F346"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Instituti i Statistikave</w:t>
            </w:r>
          </w:p>
        </w:tc>
      </w:tr>
      <w:tr w:rsidR="004719D2" w:rsidRPr="004A47DC" w14:paraId="6FF9B8B0" w14:textId="77777777" w:rsidTr="003F3A47">
        <w:tc>
          <w:tcPr>
            <w:tcW w:w="1265" w:type="dxa"/>
            <w:hideMark/>
          </w:tcPr>
          <w:p w14:paraId="23E8C4D7" w14:textId="77777777" w:rsidR="00165A28" w:rsidRPr="004A47DC" w:rsidRDefault="00165A28" w:rsidP="00165A28">
            <w:pPr>
              <w:rPr>
                <w:rFonts w:ascii="Garamond" w:eastAsia="Times New Roman" w:hAnsi="Garamond"/>
                <w:color w:val="000000" w:themeColor="text1"/>
                <w:lang w:val="sq-AL"/>
              </w:rPr>
            </w:pPr>
            <w:r w:rsidRPr="004A47DC">
              <w:rPr>
                <w:rFonts w:ascii="Garamond" w:hAnsi="Garamond"/>
                <w:color w:val="000000" w:themeColor="text1"/>
                <w:lang w:val="sq-AL"/>
              </w:rPr>
              <w:t>IPA</w:t>
            </w:r>
          </w:p>
        </w:tc>
        <w:tc>
          <w:tcPr>
            <w:tcW w:w="7267" w:type="dxa"/>
            <w:vAlign w:val="center"/>
            <w:hideMark/>
          </w:tcPr>
          <w:p w14:paraId="33D43B75"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Instrumenti i Asistencës së Para-Aderimit</w:t>
            </w:r>
          </w:p>
        </w:tc>
      </w:tr>
      <w:tr w:rsidR="004719D2" w:rsidRPr="004A47DC" w14:paraId="2012DF7B" w14:textId="77777777" w:rsidTr="003F3A47">
        <w:tc>
          <w:tcPr>
            <w:tcW w:w="1265" w:type="dxa"/>
            <w:hideMark/>
          </w:tcPr>
          <w:p w14:paraId="5A2F3930" w14:textId="77777777"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KD</w:t>
            </w:r>
          </w:p>
        </w:tc>
        <w:tc>
          <w:tcPr>
            <w:tcW w:w="7267" w:type="dxa"/>
            <w:vAlign w:val="center"/>
            <w:hideMark/>
          </w:tcPr>
          <w:p w14:paraId="60B1CD03" w14:textId="4576F35D" w:rsidR="00165A28" w:rsidRPr="004A47DC" w:rsidRDefault="00165A28" w:rsidP="00165A28">
            <w:pPr>
              <w:rPr>
                <w:rFonts w:ascii="Garamond" w:hAnsi="Garamond"/>
                <w:color w:val="000000" w:themeColor="text1"/>
                <w:lang w:val="sq-AL"/>
              </w:rPr>
            </w:pPr>
            <w:r w:rsidRPr="004A47DC">
              <w:rPr>
                <w:rFonts w:ascii="Garamond" w:hAnsi="Garamond"/>
                <w:color w:val="000000" w:themeColor="text1"/>
                <w:lang w:val="sq-AL"/>
              </w:rPr>
              <w:t>Komitet</w:t>
            </w:r>
            <w:r w:rsidR="003F3A47" w:rsidRPr="004A47DC">
              <w:rPr>
                <w:rFonts w:ascii="Garamond" w:hAnsi="Garamond"/>
                <w:color w:val="000000" w:themeColor="text1"/>
                <w:lang w:val="sq-AL"/>
              </w:rPr>
              <w:t>i</w:t>
            </w:r>
            <w:r w:rsidRPr="004A47DC">
              <w:rPr>
                <w:rFonts w:ascii="Garamond" w:hAnsi="Garamond"/>
                <w:color w:val="000000" w:themeColor="text1"/>
                <w:lang w:val="sq-AL"/>
              </w:rPr>
              <w:t xml:space="preserve"> Drejtues</w:t>
            </w:r>
          </w:p>
        </w:tc>
      </w:tr>
      <w:tr w:rsidR="004719D2" w:rsidRPr="004A47DC" w14:paraId="50FDDE64" w14:textId="77777777" w:rsidTr="003F3A47">
        <w:tc>
          <w:tcPr>
            <w:tcW w:w="1265" w:type="dxa"/>
            <w:hideMark/>
          </w:tcPr>
          <w:p w14:paraId="0F14410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KLSH</w:t>
            </w:r>
          </w:p>
        </w:tc>
        <w:tc>
          <w:tcPr>
            <w:tcW w:w="7267" w:type="dxa"/>
            <w:vAlign w:val="center"/>
            <w:hideMark/>
          </w:tcPr>
          <w:p w14:paraId="170FB776"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Kontrolli i Lartë i Shtetit</w:t>
            </w:r>
          </w:p>
        </w:tc>
      </w:tr>
      <w:tr w:rsidR="004719D2" w:rsidRPr="004A47DC" w14:paraId="7DC3B127" w14:textId="77777777" w:rsidTr="003F3A47">
        <w:tc>
          <w:tcPr>
            <w:tcW w:w="1265" w:type="dxa"/>
            <w:hideMark/>
          </w:tcPr>
          <w:p w14:paraId="364988D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KPP</w:t>
            </w:r>
          </w:p>
        </w:tc>
        <w:tc>
          <w:tcPr>
            <w:tcW w:w="7267" w:type="dxa"/>
            <w:vAlign w:val="center"/>
            <w:hideMark/>
          </w:tcPr>
          <w:p w14:paraId="3E13197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Komisioni i Prokurimit Publik</w:t>
            </w:r>
          </w:p>
        </w:tc>
      </w:tr>
      <w:tr w:rsidR="004719D2" w:rsidRPr="004A47DC" w14:paraId="325287E0" w14:textId="77777777" w:rsidTr="003F3A47">
        <w:tc>
          <w:tcPr>
            <w:tcW w:w="1265" w:type="dxa"/>
          </w:tcPr>
          <w:p w14:paraId="577032B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KPS</w:t>
            </w:r>
          </w:p>
        </w:tc>
        <w:tc>
          <w:tcPr>
            <w:tcW w:w="7267" w:type="dxa"/>
            <w:vAlign w:val="center"/>
          </w:tcPr>
          <w:p w14:paraId="0656283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Komiteti i Planifikimit Strategjik</w:t>
            </w:r>
          </w:p>
        </w:tc>
      </w:tr>
      <w:tr w:rsidR="004719D2" w:rsidRPr="004A47DC" w14:paraId="0EEDAEAC" w14:textId="77777777" w:rsidTr="003F3A47">
        <w:tc>
          <w:tcPr>
            <w:tcW w:w="1265" w:type="dxa"/>
            <w:hideMark/>
          </w:tcPr>
          <w:p w14:paraId="23335C7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KT</w:t>
            </w:r>
          </w:p>
        </w:tc>
        <w:tc>
          <w:tcPr>
            <w:tcW w:w="7267" w:type="dxa"/>
            <w:vAlign w:val="center"/>
            <w:hideMark/>
          </w:tcPr>
          <w:p w14:paraId="046E1A25" w14:textId="674E649E"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Komitet</w:t>
            </w:r>
            <w:r w:rsidR="003F3A47" w:rsidRPr="004A47DC">
              <w:rPr>
                <w:rFonts w:ascii="Garamond" w:eastAsia="Times New Roman" w:hAnsi="Garamond"/>
                <w:color w:val="000000" w:themeColor="text1"/>
                <w:lang w:val="sq-AL"/>
              </w:rPr>
              <w:t>i</w:t>
            </w:r>
            <w:r w:rsidRPr="004A47DC">
              <w:rPr>
                <w:rFonts w:ascii="Garamond" w:eastAsia="Times New Roman" w:hAnsi="Garamond"/>
                <w:color w:val="000000" w:themeColor="text1"/>
                <w:lang w:val="sq-AL"/>
              </w:rPr>
              <w:t xml:space="preserve"> Teknik</w:t>
            </w:r>
          </w:p>
        </w:tc>
      </w:tr>
      <w:tr w:rsidR="004719D2" w:rsidRPr="004A47DC" w14:paraId="45C8E21B" w14:textId="77777777" w:rsidTr="003F3A47">
        <w:tc>
          <w:tcPr>
            <w:tcW w:w="1265" w:type="dxa"/>
            <w:hideMark/>
          </w:tcPr>
          <w:p w14:paraId="4F52BCE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LOB</w:t>
            </w:r>
          </w:p>
        </w:tc>
        <w:tc>
          <w:tcPr>
            <w:tcW w:w="7267" w:type="dxa"/>
            <w:vAlign w:val="center"/>
            <w:hideMark/>
          </w:tcPr>
          <w:p w14:paraId="34268BA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Ligji Organik i Buxhetit</w:t>
            </w:r>
          </w:p>
        </w:tc>
      </w:tr>
      <w:tr w:rsidR="004719D2" w:rsidRPr="004A47DC" w14:paraId="0270BA91" w14:textId="77777777" w:rsidTr="003F3A47">
        <w:tc>
          <w:tcPr>
            <w:tcW w:w="1265" w:type="dxa"/>
            <w:hideMark/>
          </w:tcPr>
          <w:p w14:paraId="46970E7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MEKI</w:t>
            </w:r>
          </w:p>
        </w:tc>
        <w:tc>
          <w:tcPr>
            <w:tcW w:w="7267" w:type="dxa"/>
            <w:vAlign w:val="center"/>
            <w:hideMark/>
          </w:tcPr>
          <w:p w14:paraId="2C137B5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Ministria e Ekonomisë, Kulturës dhe Inovacionit</w:t>
            </w:r>
          </w:p>
        </w:tc>
      </w:tr>
      <w:tr w:rsidR="004719D2" w:rsidRPr="004A47DC" w14:paraId="02D0602B" w14:textId="77777777" w:rsidTr="003F3A47">
        <w:tc>
          <w:tcPr>
            <w:tcW w:w="1265" w:type="dxa"/>
            <w:hideMark/>
          </w:tcPr>
          <w:p w14:paraId="39B1F1F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MF</w:t>
            </w:r>
          </w:p>
        </w:tc>
        <w:tc>
          <w:tcPr>
            <w:tcW w:w="7267" w:type="dxa"/>
            <w:vAlign w:val="center"/>
            <w:hideMark/>
          </w:tcPr>
          <w:p w14:paraId="7A9D624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Ministria e Financave</w:t>
            </w:r>
          </w:p>
        </w:tc>
      </w:tr>
      <w:tr w:rsidR="004719D2" w:rsidRPr="004A47DC" w14:paraId="701006EF" w14:textId="77777777" w:rsidTr="003F3A47">
        <w:tc>
          <w:tcPr>
            <w:tcW w:w="1265" w:type="dxa"/>
            <w:hideMark/>
          </w:tcPr>
          <w:p w14:paraId="0F05F66A"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MFP</w:t>
            </w:r>
          </w:p>
        </w:tc>
        <w:tc>
          <w:tcPr>
            <w:tcW w:w="7267" w:type="dxa"/>
            <w:vAlign w:val="center"/>
            <w:hideMark/>
          </w:tcPr>
          <w:p w14:paraId="72CAFB1A"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Menaxhimi i Financave Publike</w:t>
            </w:r>
          </w:p>
        </w:tc>
      </w:tr>
      <w:tr w:rsidR="004719D2" w:rsidRPr="004A47DC" w14:paraId="07E6DD9C" w14:textId="77777777" w:rsidTr="003F3A47">
        <w:tc>
          <w:tcPr>
            <w:tcW w:w="1265" w:type="dxa"/>
            <w:hideMark/>
          </w:tcPr>
          <w:p w14:paraId="31E6EDA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MFK</w:t>
            </w:r>
          </w:p>
        </w:tc>
        <w:tc>
          <w:tcPr>
            <w:tcW w:w="7267" w:type="dxa"/>
            <w:vAlign w:val="center"/>
            <w:hideMark/>
          </w:tcPr>
          <w:p w14:paraId="03379F4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Menaxhimi Financiar dhe Kontrolli</w:t>
            </w:r>
          </w:p>
        </w:tc>
      </w:tr>
      <w:tr w:rsidR="004719D2" w:rsidRPr="004A47DC" w14:paraId="3EA783D8" w14:textId="77777777" w:rsidTr="003F3A47">
        <w:tc>
          <w:tcPr>
            <w:tcW w:w="1265" w:type="dxa"/>
            <w:hideMark/>
          </w:tcPr>
          <w:p w14:paraId="3ED0699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MIP</w:t>
            </w:r>
          </w:p>
        </w:tc>
        <w:tc>
          <w:tcPr>
            <w:tcW w:w="7267" w:type="dxa"/>
            <w:vAlign w:val="center"/>
            <w:hideMark/>
          </w:tcPr>
          <w:p w14:paraId="5C6F8E0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Menaxhimi i Investimeve Publike</w:t>
            </w:r>
          </w:p>
        </w:tc>
      </w:tr>
      <w:tr w:rsidR="004719D2" w:rsidRPr="004A47DC" w14:paraId="119F08F1" w14:textId="77777777" w:rsidTr="003F3A47">
        <w:tc>
          <w:tcPr>
            <w:tcW w:w="1265" w:type="dxa"/>
            <w:hideMark/>
          </w:tcPr>
          <w:p w14:paraId="3B79DA3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ML</w:t>
            </w:r>
          </w:p>
        </w:tc>
        <w:tc>
          <w:tcPr>
            <w:tcW w:w="7267" w:type="dxa"/>
            <w:vAlign w:val="center"/>
            <w:hideMark/>
          </w:tcPr>
          <w:p w14:paraId="4CB6887D" w14:textId="3D049B30"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Ministri </w:t>
            </w:r>
            <w:r w:rsidR="003F3A47" w:rsidRPr="004A47DC">
              <w:rPr>
                <w:rFonts w:ascii="Garamond" w:eastAsia="Times New Roman" w:hAnsi="Garamond"/>
                <w:color w:val="000000" w:themeColor="text1"/>
                <w:lang w:val="sq-AL"/>
              </w:rPr>
              <w:t>l</w:t>
            </w:r>
            <w:r w:rsidRPr="004A47DC">
              <w:rPr>
                <w:rFonts w:ascii="Garamond" w:eastAsia="Times New Roman" w:hAnsi="Garamond"/>
                <w:color w:val="000000" w:themeColor="text1"/>
                <w:lang w:val="sq-AL"/>
              </w:rPr>
              <w:t>inje</w:t>
            </w:r>
          </w:p>
        </w:tc>
      </w:tr>
      <w:tr w:rsidR="004719D2" w:rsidRPr="004A47DC" w14:paraId="22630D7C" w14:textId="77777777" w:rsidTr="003F3A47">
        <w:tc>
          <w:tcPr>
            <w:tcW w:w="1265" w:type="dxa"/>
            <w:hideMark/>
          </w:tcPr>
          <w:p w14:paraId="1D26BDC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NJRF</w:t>
            </w:r>
          </w:p>
        </w:tc>
        <w:tc>
          <w:tcPr>
            <w:tcW w:w="7267" w:type="dxa"/>
            <w:vAlign w:val="center"/>
            <w:hideMark/>
          </w:tcPr>
          <w:p w14:paraId="724A2B1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Njësia e Risqeve Fiskale</w:t>
            </w:r>
          </w:p>
        </w:tc>
      </w:tr>
      <w:tr w:rsidR="004719D2" w:rsidRPr="004A47DC" w14:paraId="2502DB98" w14:textId="77777777" w:rsidTr="003F3A47">
        <w:tc>
          <w:tcPr>
            <w:tcW w:w="1265" w:type="dxa"/>
            <w:hideMark/>
          </w:tcPr>
          <w:p w14:paraId="4D090D8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NJVQV</w:t>
            </w:r>
          </w:p>
        </w:tc>
        <w:tc>
          <w:tcPr>
            <w:tcW w:w="7267" w:type="dxa"/>
            <w:vAlign w:val="center"/>
            <w:hideMark/>
          </w:tcPr>
          <w:p w14:paraId="6F582EA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Njësia e Vetëqeverisjes Vendore</w:t>
            </w:r>
          </w:p>
        </w:tc>
      </w:tr>
      <w:tr w:rsidR="004719D2" w:rsidRPr="004A47DC" w14:paraId="091500FC" w14:textId="77777777" w:rsidTr="003F3A47">
        <w:tc>
          <w:tcPr>
            <w:tcW w:w="1265" w:type="dxa"/>
            <w:hideMark/>
          </w:tcPr>
          <w:p w14:paraId="79AF13B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NSH</w:t>
            </w:r>
          </w:p>
        </w:tc>
        <w:tc>
          <w:tcPr>
            <w:tcW w:w="7267" w:type="dxa"/>
            <w:vAlign w:val="center"/>
            <w:hideMark/>
          </w:tcPr>
          <w:p w14:paraId="4C94F201" w14:textId="1816E991"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Ndërmarrje </w:t>
            </w:r>
            <w:r w:rsidR="003F3A47" w:rsidRPr="004A47DC">
              <w:rPr>
                <w:rFonts w:ascii="Garamond" w:eastAsia="Times New Roman" w:hAnsi="Garamond"/>
                <w:color w:val="000000" w:themeColor="text1"/>
                <w:lang w:val="sq-AL"/>
              </w:rPr>
              <w:t>s</w:t>
            </w:r>
            <w:r w:rsidRPr="004A47DC">
              <w:rPr>
                <w:rFonts w:ascii="Garamond" w:eastAsia="Times New Roman" w:hAnsi="Garamond"/>
                <w:color w:val="000000" w:themeColor="text1"/>
                <w:lang w:val="sq-AL"/>
              </w:rPr>
              <w:t>htetërore</w:t>
            </w:r>
          </w:p>
        </w:tc>
      </w:tr>
      <w:tr w:rsidR="004719D2" w:rsidRPr="004A47DC" w14:paraId="3E09AC42" w14:textId="77777777" w:rsidTr="003F3A47">
        <w:tc>
          <w:tcPr>
            <w:tcW w:w="1265" w:type="dxa"/>
            <w:hideMark/>
          </w:tcPr>
          <w:p w14:paraId="05D3774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OECD</w:t>
            </w:r>
          </w:p>
        </w:tc>
        <w:tc>
          <w:tcPr>
            <w:tcW w:w="7267" w:type="dxa"/>
            <w:vAlign w:val="center"/>
            <w:hideMark/>
          </w:tcPr>
          <w:p w14:paraId="1C92927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Organizata për Bashkëpunim dhe Zhvillim Ekonomik</w:t>
            </w:r>
          </w:p>
        </w:tc>
      </w:tr>
      <w:tr w:rsidR="004719D2" w:rsidRPr="004A47DC" w14:paraId="52D05647" w14:textId="77777777" w:rsidTr="003F3A47">
        <w:tc>
          <w:tcPr>
            <w:tcW w:w="1265" w:type="dxa"/>
            <w:hideMark/>
          </w:tcPr>
          <w:p w14:paraId="14222F54"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OEISA</w:t>
            </w:r>
          </w:p>
        </w:tc>
        <w:tc>
          <w:tcPr>
            <w:tcW w:w="7267" w:type="dxa"/>
            <w:vAlign w:val="center"/>
            <w:hideMark/>
          </w:tcPr>
          <w:p w14:paraId="7E7E6AB3" w14:textId="77777777" w:rsidR="00165A28" w:rsidRPr="004A47DC" w:rsidRDefault="00165A28" w:rsidP="00165A28">
            <w:pPr>
              <w:rPr>
                <w:rFonts w:ascii="Garamond" w:eastAsia="Times New Roman" w:hAnsi="Garamond"/>
                <w:color w:val="000000" w:themeColor="text1"/>
                <w:lang w:val="sq-AL"/>
              </w:rPr>
            </w:pPr>
            <w:r w:rsidRPr="004A47DC">
              <w:rPr>
                <w:rFonts w:ascii="Garamond" w:hAnsi="Garamond"/>
                <w:color w:val="000000" w:themeColor="text1"/>
                <w:lang w:val="sq-AL"/>
              </w:rPr>
              <w:t>Organizata Evropiane e Institucioneve Supreme të Auditimit</w:t>
            </w:r>
          </w:p>
        </w:tc>
      </w:tr>
      <w:tr w:rsidR="004719D2" w:rsidRPr="004A47DC" w14:paraId="56E8CA7B" w14:textId="77777777" w:rsidTr="003F3A47">
        <w:tc>
          <w:tcPr>
            <w:tcW w:w="1265" w:type="dxa"/>
            <w:hideMark/>
          </w:tcPr>
          <w:p w14:paraId="1D8AC85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ONISA</w:t>
            </w:r>
          </w:p>
        </w:tc>
        <w:tc>
          <w:tcPr>
            <w:tcW w:w="7267" w:type="dxa"/>
            <w:vAlign w:val="center"/>
            <w:hideMark/>
          </w:tcPr>
          <w:p w14:paraId="7035B18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Organizata Ndërkombëtare e Institucioneve Supreme të Auditimit</w:t>
            </w:r>
          </w:p>
        </w:tc>
      </w:tr>
      <w:tr w:rsidR="004719D2" w:rsidRPr="004A47DC" w14:paraId="44E179F8" w14:textId="77777777" w:rsidTr="003F3A47">
        <w:tc>
          <w:tcPr>
            <w:tcW w:w="1265" w:type="dxa"/>
            <w:hideMark/>
          </w:tcPr>
          <w:p w14:paraId="3BACB84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OSHC</w:t>
            </w:r>
          </w:p>
        </w:tc>
        <w:tc>
          <w:tcPr>
            <w:tcW w:w="7267" w:type="dxa"/>
            <w:vAlign w:val="center"/>
            <w:hideMark/>
          </w:tcPr>
          <w:p w14:paraId="6C27908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Organizata të Shoqërive Civile</w:t>
            </w:r>
          </w:p>
        </w:tc>
      </w:tr>
      <w:tr w:rsidR="004719D2" w:rsidRPr="004A47DC" w14:paraId="4E4ABBBC" w14:textId="77777777" w:rsidTr="003F3A47">
        <w:tc>
          <w:tcPr>
            <w:tcW w:w="1265" w:type="dxa"/>
            <w:hideMark/>
          </w:tcPr>
          <w:p w14:paraId="1910E59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OZHQ</w:t>
            </w:r>
          </w:p>
        </w:tc>
        <w:tc>
          <w:tcPr>
            <w:tcW w:w="7267" w:type="dxa"/>
            <w:vAlign w:val="center"/>
            <w:hideMark/>
          </w:tcPr>
          <w:p w14:paraId="38451BD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Objektivat e Zhvillimit të Qëndrueshëm</w:t>
            </w:r>
          </w:p>
        </w:tc>
      </w:tr>
      <w:tr w:rsidR="004719D2" w:rsidRPr="004A47DC" w14:paraId="73448067" w14:textId="77777777" w:rsidTr="003F3A47">
        <w:tc>
          <w:tcPr>
            <w:tcW w:w="1265" w:type="dxa"/>
            <w:hideMark/>
          </w:tcPr>
          <w:p w14:paraId="2410FBF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PBA</w:t>
            </w:r>
          </w:p>
        </w:tc>
        <w:tc>
          <w:tcPr>
            <w:tcW w:w="7267" w:type="dxa"/>
            <w:vAlign w:val="center"/>
            <w:hideMark/>
          </w:tcPr>
          <w:p w14:paraId="3A9EA59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Programi Buxhetor Afatmesëm</w:t>
            </w:r>
          </w:p>
        </w:tc>
      </w:tr>
      <w:tr w:rsidR="004719D2" w:rsidRPr="004A47DC" w14:paraId="723B42C3" w14:textId="77777777" w:rsidTr="003F3A47">
        <w:tc>
          <w:tcPr>
            <w:tcW w:w="1265" w:type="dxa"/>
            <w:hideMark/>
          </w:tcPr>
          <w:p w14:paraId="25FEDFB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PBB</w:t>
            </w:r>
          </w:p>
        </w:tc>
        <w:tc>
          <w:tcPr>
            <w:tcW w:w="7267" w:type="dxa"/>
            <w:vAlign w:val="center"/>
            <w:hideMark/>
          </w:tcPr>
          <w:p w14:paraId="3DDA13E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Produkti i Brendshëm Bruto</w:t>
            </w:r>
          </w:p>
        </w:tc>
      </w:tr>
      <w:tr w:rsidR="004719D2" w:rsidRPr="004A47DC" w14:paraId="115EDE48" w14:textId="77777777" w:rsidTr="003F3A47">
        <w:tc>
          <w:tcPr>
            <w:tcW w:w="1265" w:type="dxa"/>
            <w:hideMark/>
          </w:tcPr>
          <w:p w14:paraId="667D209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PDT</w:t>
            </w:r>
          </w:p>
        </w:tc>
        <w:tc>
          <w:tcPr>
            <w:tcW w:w="7267" w:type="dxa"/>
            <w:vAlign w:val="center"/>
            <w:hideMark/>
          </w:tcPr>
          <w:p w14:paraId="6958DE8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Procedura e Deficitit të Tepruar</w:t>
            </w:r>
          </w:p>
        </w:tc>
      </w:tr>
      <w:tr w:rsidR="004719D2" w:rsidRPr="004A47DC" w14:paraId="2196D6BA" w14:textId="77777777" w:rsidTr="003F3A47">
        <w:tc>
          <w:tcPr>
            <w:tcW w:w="1265" w:type="dxa"/>
            <w:hideMark/>
          </w:tcPr>
          <w:p w14:paraId="7F822AD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PEFA</w:t>
            </w:r>
          </w:p>
        </w:tc>
        <w:tc>
          <w:tcPr>
            <w:tcW w:w="7267" w:type="dxa"/>
            <w:vAlign w:val="center"/>
            <w:hideMark/>
          </w:tcPr>
          <w:p w14:paraId="3FB1C31C"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Shpenzimet Publike dhe Llogaridhënia Financiare</w:t>
            </w:r>
          </w:p>
        </w:tc>
      </w:tr>
      <w:tr w:rsidR="004719D2" w:rsidRPr="004A47DC" w14:paraId="020FA169" w14:textId="77777777" w:rsidTr="003F3A47">
        <w:tc>
          <w:tcPr>
            <w:tcW w:w="1265" w:type="dxa"/>
            <w:hideMark/>
          </w:tcPr>
          <w:p w14:paraId="32B850F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PIMA </w:t>
            </w:r>
          </w:p>
        </w:tc>
        <w:tc>
          <w:tcPr>
            <w:tcW w:w="7267" w:type="dxa"/>
            <w:vAlign w:val="center"/>
            <w:hideMark/>
          </w:tcPr>
          <w:p w14:paraId="64072B2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Vlerësimi i Menaxhimit të Investimeve Publike</w:t>
            </w:r>
          </w:p>
        </w:tc>
      </w:tr>
      <w:tr w:rsidR="004719D2" w:rsidRPr="004A47DC" w14:paraId="0745A137" w14:textId="77777777" w:rsidTr="003F3A47">
        <w:tc>
          <w:tcPr>
            <w:tcW w:w="1265" w:type="dxa"/>
            <w:hideMark/>
          </w:tcPr>
          <w:p w14:paraId="2CAFE0A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PKIE</w:t>
            </w:r>
          </w:p>
        </w:tc>
        <w:tc>
          <w:tcPr>
            <w:tcW w:w="7267" w:type="dxa"/>
            <w:vAlign w:val="center"/>
            <w:hideMark/>
          </w:tcPr>
          <w:p w14:paraId="7249762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Programi Kombëtar i Integrimit Evropian</w:t>
            </w:r>
          </w:p>
        </w:tc>
      </w:tr>
      <w:tr w:rsidR="004719D2" w:rsidRPr="004A47DC" w14:paraId="55AB256C" w14:textId="77777777" w:rsidTr="003F3A47">
        <w:tc>
          <w:tcPr>
            <w:tcW w:w="1265" w:type="dxa"/>
            <w:hideMark/>
          </w:tcPr>
          <w:p w14:paraId="15466A9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lastRenderedPageBreak/>
              <w:t>PPP</w:t>
            </w:r>
          </w:p>
        </w:tc>
        <w:tc>
          <w:tcPr>
            <w:tcW w:w="7267" w:type="dxa"/>
            <w:vAlign w:val="center"/>
            <w:hideMark/>
          </w:tcPr>
          <w:p w14:paraId="4972D6E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Partneriteti Publik Privat</w:t>
            </w:r>
          </w:p>
        </w:tc>
      </w:tr>
      <w:tr w:rsidR="004719D2" w:rsidRPr="004A47DC" w14:paraId="5C6E8C2F" w14:textId="77777777" w:rsidTr="003F3A47">
        <w:tc>
          <w:tcPr>
            <w:tcW w:w="1265" w:type="dxa"/>
            <w:hideMark/>
          </w:tcPr>
          <w:p w14:paraId="21C7815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PRE</w:t>
            </w:r>
          </w:p>
        </w:tc>
        <w:tc>
          <w:tcPr>
            <w:tcW w:w="7267" w:type="dxa"/>
            <w:vAlign w:val="center"/>
            <w:hideMark/>
          </w:tcPr>
          <w:p w14:paraId="7DB9D00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Programi i Reformave Ekonomike</w:t>
            </w:r>
          </w:p>
        </w:tc>
      </w:tr>
      <w:tr w:rsidR="004719D2" w:rsidRPr="004A47DC" w14:paraId="37E41A4D" w14:textId="77777777" w:rsidTr="003F3A47">
        <w:tc>
          <w:tcPr>
            <w:tcW w:w="1265" w:type="dxa"/>
            <w:hideMark/>
          </w:tcPr>
          <w:p w14:paraId="1804D9C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PSZ</w:t>
            </w:r>
          </w:p>
        </w:tc>
        <w:tc>
          <w:tcPr>
            <w:tcW w:w="7267" w:type="dxa"/>
            <w:vAlign w:val="center"/>
            <w:hideMark/>
          </w:tcPr>
          <w:p w14:paraId="0D23F7BF"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Programi i Statistika Zyrtare</w:t>
            </w:r>
          </w:p>
        </w:tc>
      </w:tr>
      <w:tr w:rsidR="004719D2" w:rsidRPr="004A47DC" w14:paraId="05192A94" w14:textId="77777777" w:rsidTr="003F3A47">
        <w:tc>
          <w:tcPr>
            <w:tcW w:w="1265" w:type="dxa"/>
            <w:hideMark/>
          </w:tcPr>
          <w:p w14:paraId="44D1D37D"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QSH</w:t>
            </w:r>
          </w:p>
        </w:tc>
        <w:tc>
          <w:tcPr>
            <w:tcW w:w="7267" w:type="dxa"/>
            <w:vAlign w:val="center"/>
            <w:hideMark/>
          </w:tcPr>
          <w:p w14:paraId="40AB423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Qeveria e Shqipërisë</w:t>
            </w:r>
          </w:p>
        </w:tc>
      </w:tr>
      <w:tr w:rsidR="004719D2" w:rsidRPr="004A47DC" w14:paraId="0BA18C79" w14:textId="77777777" w:rsidTr="003F3A47">
        <w:tc>
          <w:tcPr>
            <w:tcW w:w="1265" w:type="dxa"/>
            <w:hideMark/>
          </w:tcPr>
          <w:p w14:paraId="3183326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RAP</w:t>
            </w:r>
          </w:p>
        </w:tc>
        <w:tc>
          <w:tcPr>
            <w:tcW w:w="7267" w:type="dxa"/>
            <w:vAlign w:val="center"/>
            <w:hideMark/>
          </w:tcPr>
          <w:p w14:paraId="1130791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Reforma e Administratës Publike</w:t>
            </w:r>
          </w:p>
        </w:tc>
      </w:tr>
      <w:tr w:rsidR="004719D2" w:rsidRPr="004A47DC" w14:paraId="5479E881" w14:textId="77777777" w:rsidTr="003F3A47">
        <w:tc>
          <w:tcPr>
            <w:tcW w:w="1265" w:type="dxa"/>
            <w:hideMark/>
          </w:tcPr>
          <w:p w14:paraId="4F96A4C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SAA</w:t>
            </w:r>
          </w:p>
        </w:tc>
        <w:tc>
          <w:tcPr>
            <w:tcW w:w="7267" w:type="dxa"/>
            <w:vAlign w:val="center"/>
            <w:hideMark/>
          </w:tcPr>
          <w:p w14:paraId="613BF6DA"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Strategjia Afatmesme e të Ardhurave</w:t>
            </w:r>
          </w:p>
        </w:tc>
      </w:tr>
      <w:tr w:rsidR="004719D2" w:rsidRPr="004A47DC" w14:paraId="331B9194" w14:textId="77777777" w:rsidTr="003F3A47">
        <w:tc>
          <w:tcPr>
            <w:tcW w:w="1265" w:type="dxa"/>
            <w:hideMark/>
          </w:tcPr>
          <w:p w14:paraId="63D9788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SASPAC</w:t>
            </w:r>
          </w:p>
        </w:tc>
        <w:tc>
          <w:tcPr>
            <w:tcW w:w="7267" w:type="dxa"/>
            <w:vAlign w:val="center"/>
            <w:hideMark/>
          </w:tcPr>
          <w:p w14:paraId="28F0A5F6" w14:textId="77777777" w:rsidR="00165A28" w:rsidRPr="004A47DC" w:rsidRDefault="00165A28" w:rsidP="00165A28">
            <w:pPr>
              <w:rPr>
                <w:rFonts w:ascii="Garamond" w:eastAsia="MingLiU-ExtB" w:hAnsi="Garamond" w:cs="MingLiU-ExtB"/>
                <w:color w:val="000000" w:themeColor="text1"/>
                <w:lang w:val="sq-AL"/>
              </w:rPr>
            </w:pPr>
            <w:r w:rsidRPr="004A47DC">
              <w:rPr>
                <w:rFonts w:ascii="Garamond" w:eastAsia="Times New Roman" w:hAnsi="Garamond"/>
                <w:color w:val="000000" w:themeColor="text1"/>
                <w:lang w:val="sq-AL"/>
              </w:rPr>
              <w:t>Agjencia Shtetërore e Programimit Strategjik dhe Koordinimit të Ndihmës</w:t>
            </w:r>
          </w:p>
        </w:tc>
      </w:tr>
      <w:tr w:rsidR="004719D2" w:rsidRPr="004A47DC" w14:paraId="2CC94F67" w14:textId="77777777" w:rsidTr="003F3A47">
        <w:tc>
          <w:tcPr>
            <w:tcW w:w="1265" w:type="dxa"/>
            <w:hideMark/>
          </w:tcPr>
          <w:p w14:paraId="43ACB1F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SELL 2010</w:t>
            </w:r>
          </w:p>
        </w:tc>
        <w:tc>
          <w:tcPr>
            <w:tcW w:w="7267" w:type="dxa"/>
            <w:vAlign w:val="center"/>
            <w:hideMark/>
          </w:tcPr>
          <w:p w14:paraId="5334D48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Evropian i Llogarive</w:t>
            </w:r>
          </w:p>
        </w:tc>
      </w:tr>
      <w:tr w:rsidR="004719D2" w:rsidRPr="004A47DC" w14:paraId="0F3FD6C7" w14:textId="77777777" w:rsidTr="003F3A47">
        <w:tc>
          <w:tcPr>
            <w:tcW w:w="1265" w:type="dxa"/>
            <w:hideMark/>
          </w:tcPr>
          <w:p w14:paraId="41F7E38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SFQ</w:t>
            </w:r>
          </w:p>
        </w:tc>
        <w:tc>
          <w:tcPr>
            <w:tcW w:w="7267" w:type="dxa"/>
            <w:vAlign w:val="center"/>
            <w:hideMark/>
          </w:tcPr>
          <w:p w14:paraId="5DE0AC5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Statistikat Financiare të Qeverisë</w:t>
            </w:r>
          </w:p>
        </w:tc>
      </w:tr>
      <w:tr w:rsidR="004719D2" w:rsidRPr="004A47DC" w14:paraId="703AB6FA" w14:textId="77777777" w:rsidTr="003F3A47">
        <w:tc>
          <w:tcPr>
            <w:tcW w:w="1265" w:type="dxa"/>
          </w:tcPr>
          <w:p w14:paraId="1F1F55F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SGBP</w:t>
            </w:r>
          </w:p>
        </w:tc>
        <w:tc>
          <w:tcPr>
            <w:tcW w:w="7267" w:type="dxa"/>
            <w:vAlign w:val="center"/>
          </w:tcPr>
          <w:p w14:paraId="10322ED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Skema e Granteve të Bazuara në Performancë</w:t>
            </w:r>
          </w:p>
        </w:tc>
      </w:tr>
      <w:tr w:rsidR="004719D2" w:rsidRPr="004A47DC" w14:paraId="710CC084" w14:textId="77777777" w:rsidTr="003F3A47">
        <w:tc>
          <w:tcPr>
            <w:tcW w:w="1265" w:type="dxa"/>
            <w:hideMark/>
          </w:tcPr>
          <w:p w14:paraId="178A97B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SIFQ</w:t>
            </w:r>
          </w:p>
        </w:tc>
        <w:tc>
          <w:tcPr>
            <w:tcW w:w="7267" w:type="dxa"/>
            <w:vAlign w:val="center"/>
            <w:hideMark/>
          </w:tcPr>
          <w:p w14:paraId="3AEB544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Informativ Financiar Qeveritar</w:t>
            </w:r>
          </w:p>
        </w:tc>
      </w:tr>
      <w:tr w:rsidR="004719D2" w:rsidRPr="004A47DC" w14:paraId="7331736E" w14:textId="77777777" w:rsidTr="003F3A47">
        <w:tc>
          <w:tcPr>
            <w:tcW w:w="1265" w:type="dxa"/>
          </w:tcPr>
          <w:p w14:paraId="114285E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SIFK</w:t>
            </w:r>
          </w:p>
        </w:tc>
        <w:tc>
          <w:tcPr>
            <w:tcW w:w="7267" w:type="dxa"/>
            <w:vAlign w:val="center"/>
          </w:tcPr>
          <w:p w14:paraId="4017FC2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Informativ i Kadastrës Fiskale</w:t>
            </w:r>
          </w:p>
        </w:tc>
      </w:tr>
      <w:tr w:rsidR="004719D2" w:rsidRPr="004A47DC" w14:paraId="71C94214" w14:textId="77777777" w:rsidTr="003F3A47">
        <w:tc>
          <w:tcPr>
            <w:tcW w:w="1265" w:type="dxa"/>
            <w:hideMark/>
          </w:tcPr>
          <w:p w14:paraId="4B262830"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SIMAJ</w:t>
            </w:r>
          </w:p>
        </w:tc>
        <w:tc>
          <w:tcPr>
            <w:tcW w:w="7267" w:type="dxa"/>
            <w:vAlign w:val="center"/>
            <w:hideMark/>
          </w:tcPr>
          <w:p w14:paraId="11E0A29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Informatik i Menaxhimit të Asistencës së Jashtme</w:t>
            </w:r>
          </w:p>
        </w:tc>
      </w:tr>
      <w:tr w:rsidR="004719D2" w:rsidRPr="004A47DC" w14:paraId="107C9BD0" w14:textId="77777777" w:rsidTr="003F3A47">
        <w:tc>
          <w:tcPr>
            <w:tcW w:w="1265" w:type="dxa"/>
          </w:tcPr>
          <w:p w14:paraId="50F8FC5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SIMBNJ</w:t>
            </w:r>
          </w:p>
        </w:tc>
        <w:tc>
          <w:tcPr>
            <w:tcW w:w="7267" w:type="dxa"/>
            <w:vAlign w:val="center"/>
          </w:tcPr>
          <w:p w14:paraId="7AF47D6C" w14:textId="1AAD92A1"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Informativ i Menaxhimit të Burimeve Njerëzore</w:t>
            </w:r>
          </w:p>
        </w:tc>
      </w:tr>
      <w:tr w:rsidR="004719D2" w:rsidRPr="004A47DC" w14:paraId="786DCEE9" w14:textId="77777777" w:rsidTr="003F3A47">
        <w:tc>
          <w:tcPr>
            <w:tcW w:w="1265" w:type="dxa"/>
            <w:hideMark/>
          </w:tcPr>
          <w:p w14:paraId="17722C8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SIMFSH</w:t>
            </w:r>
          </w:p>
        </w:tc>
        <w:tc>
          <w:tcPr>
            <w:tcW w:w="7267" w:type="dxa"/>
            <w:vAlign w:val="center"/>
            <w:hideMark/>
          </w:tcPr>
          <w:p w14:paraId="122389E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Informativ i Menaxhimit Financiar Shqiptar</w:t>
            </w:r>
          </w:p>
        </w:tc>
      </w:tr>
      <w:tr w:rsidR="004719D2" w:rsidRPr="004A47DC" w14:paraId="18AEB223" w14:textId="77777777" w:rsidTr="003F3A47">
        <w:tc>
          <w:tcPr>
            <w:tcW w:w="1265" w:type="dxa"/>
          </w:tcPr>
          <w:p w14:paraId="27A7ADB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SIMT</w:t>
            </w:r>
          </w:p>
        </w:tc>
        <w:tc>
          <w:tcPr>
            <w:tcW w:w="7267" w:type="dxa"/>
            <w:vAlign w:val="center"/>
          </w:tcPr>
          <w:p w14:paraId="66C1177B" w14:textId="737A83F6"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Sistemi i Integruar </w:t>
            </w:r>
            <w:r w:rsidR="003F3A47" w:rsidRPr="004A47DC">
              <w:rPr>
                <w:rFonts w:ascii="Garamond" w:eastAsia="Times New Roman" w:hAnsi="Garamond"/>
                <w:color w:val="000000" w:themeColor="text1"/>
                <w:lang w:val="sq-AL"/>
              </w:rPr>
              <w:t>i</w:t>
            </w:r>
            <w:r w:rsidRPr="004A47DC">
              <w:rPr>
                <w:rFonts w:ascii="Garamond" w:eastAsia="Times New Roman" w:hAnsi="Garamond"/>
                <w:color w:val="000000" w:themeColor="text1"/>
                <w:lang w:val="sq-AL"/>
              </w:rPr>
              <w:t xml:space="preserve"> Menaxhimit të Tarifave</w:t>
            </w:r>
          </w:p>
        </w:tc>
      </w:tr>
      <w:tr w:rsidR="004719D2" w:rsidRPr="004A47DC" w14:paraId="53EA34C2" w14:textId="77777777" w:rsidTr="003F3A47">
        <w:tc>
          <w:tcPr>
            <w:tcW w:w="1265" w:type="dxa"/>
            <w:hideMark/>
          </w:tcPr>
          <w:p w14:paraId="00F4A42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SKZHIE</w:t>
            </w:r>
          </w:p>
        </w:tc>
        <w:tc>
          <w:tcPr>
            <w:tcW w:w="7267" w:type="dxa"/>
            <w:vAlign w:val="center"/>
            <w:hideMark/>
          </w:tcPr>
          <w:p w14:paraId="444987C4"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Strategjia Kombëtare për Zhvillim dhe Integrim Evropian</w:t>
            </w:r>
          </w:p>
        </w:tc>
      </w:tr>
      <w:tr w:rsidR="004719D2" w:rsidRPr="004A47DC" w14:paraId="5F3F87B8" w14:textId="77777777" w:rsidTr="003F3A47">
        <w:tc>
          <w:tcPr>
            <w:tcW w:w="1265" w:type="dxa"/>
          </w:tcPr>
          <w:p w14:paraId="5AF6D18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SMB</w:t>
            </w:r>
          </w:p>
        </w:tc>
        <w:tc>
          <w:tcPr>
            <w:tcW w:w="7267" w:type="dxa"/>
            <w:vAlign w:val="center"/>
          </w:tcPr>
          <w:p w14:paraId="49D0830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Strategjia e Menaxhimit të Borxhit</w:t>
            </w:r>
          </w:p>
        </w:tc>
      </w:tr>
      <w:tr w:rsidR="004719D2" w:rsidRPr="004A47DC" w14:paraId="03487A80" w14:textId="77777777" w:rsidTr="003F3A47">
        <w:tc>
          <w:tcPr>
            <w:tcW w:w="1265" w:type="dxa"/>
            <w:hideMark/>
          </w:tcPr>
          <w:p w14:paraId="2346986E"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SMBV</w:t>
            </w:r>
          </w:p>
        </w:tc>
        <w:tc>
          <w:tcPr>
            <w:tcW w:w="7267" w:type="dxa"/>
            <w:vAlign w:val="center"/>
            <w:hideMark/>
          </w:tcPr>
          <w:p w14:paraId="66526DBB"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 Menaxhimit të Buxhetit Vendor</w:t>
            </w:r>
          </w:p>
        </w:tc>
      </w:tr>
      <w:tr w:rsidR="004719D2" w:rsidRPr="004A47DC" w14:paraId="23FF9323" w14:textId="77777777" w:rsidTr="003F3A47">
        <w:tc>
          <w:tcPr>
            <w:tcW w:w="1265" w:type="dxa"/>
            <w:hideMark/>
          </w:tcPr>
          <w:p w14:paraId="0E9032A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SNKSP</w:t>
            </w:r>
          </w:p>
        </w:tc>
        <w:tc>
          <w:tcPr>
            <w:tcW w:w="7267" w:type="dxa"/>
            <w:vAlign w:val="center"/>
            <w:hideMark/>
          </w:tcPr>
          <w:p w14:paraId="4CF311D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Standardet Ndërkombëtare të Kontabilitetit në Sektorin Publik</w:t>
            </w:r>
          </w:p>
        </w:tc>
      </w:tr>
      <w:tr w:rsidR="004719D2" w:rsidRPr="004A47DC" w14:paraId="6A472562" w14:textId="77777777" w:rsidTr="003F3A47">
        <w:tc>
          <w:tcPr>
            <w:tcW w:w="1265" w:type="dxa"/>
            <w:hideMark/>
          </w:tcPr>
          <w:p w14:paraId="1EBC6422"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SIPI/IPSIS</w:t>
            </w:r>
          </w:p>
        </w:tc>
        <w:tc>
          <w:tcPr>
            <w:tcW w:w="7267" w:type="dxa"/>
            <w:vAlign w:val="center"/>
            <w:hideMark/>
          </w:tcPr>
          <w:p w14:paraId="3C5A2B9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Informatik i Planifikimit të Integruar</w:t>
            </w:r>
          </w:p>
        </w:tc>
      </w:tr>
      <w:tr w:rsidR="004719D2" w:rsidRPr="004A47DC" w14:paraId="7DDAABB4" w14:textId="77777777" w:rsidTr="003F3A47">
        <w:tc>
          <w:tcPr>
            <w:tcW w:w="1265" w:type="dxa"/>
            <w:hideMark/>
          </w:tcPr>
          <w:p w14:paraId="4671FF2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SKS</w:t>
            </w:r>
          </w:p>
        </w:tc>
        <w:tc>
          <w:tcPr>
            <w:tcW w:w="7267" w:type="dxa"/>
            <w:vAlign w:val="center"/>
            <w:hideMark/>
          </w:tcPr>
          <w:p w14:paraId="1E56AA94"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Kombëtar Statistikor</w:t>
            </w:r>
          </w:p>
        </w:tc>
      </w:tr>
      <w:tr w:rsidR="004719D2" w:rsidRPr="004A47DC" w14:paraId="03C72299" w14:textId="77777777" w:rsidTr="003F3A47">
        <w:tc>
          <w:tcPr>
            <w:tcW w:w="1265" w:type="dxa"/>
          </w:tcPr>
          <w:p w14:paraId="48FA249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SPE</w:t>
            </w:r>
          </w:p>
        </w:tc>
        <w:tc>
          <w:tcPr>
            <w:tcW w:w="7267" w:type="dxa"/>
            <w:vAlign w:val="center"/>
          </w:tcPr>
          <w:p w14:paraId="3F5A3C46"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 Prokurimit Elektronik</w:t>
            </w:r>
          </w:p>
        </w:tc>
      </w:tr>
      <w:tr w:rsidR="004719D2" w:rsidRPr="004A47DC" w14:paraId="2CCF0220" w14:textId="77777777" w:rsidTr="003F3A47">
        <w:tc>
          <w:tcPr>
            <w:tcW w:w="1265" w:type="dxa"/>
            <w:hideMark/>
          </w:tcPr>
          <w:p w14:paraId="098700E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SPI</w:t>
            </w:r>
          </w:p>
        </w:tc>
        <w:tc>
          <w:tcPr>
            <w:tcW w:w="7267" w:type="dxa"/>
            <w:vAlign w:val="center"/>
            <w:hideMark/>
          </w:tcPr>
          <w:p w14:paraId="1B3A7609"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Sistemi i Planifikimit të Integruar</w:t>
            </w:r>
          </w:p>
        </w:tc>
      </w:tr>
      <w:tr w:rsidR="004719D2" w:rsidRPr="004A47DC" w14:paraId="520BC898" w14:textId="77777777" w:rsidTr="003F3A47">
        <w:tc>
          <w:tcPr>
            <w:tcW w:w="1265" w:type="dxa"/>
          </w:tcPr>
          <w:p w14:paraId="1C914AB6"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SRKT</w:t>
            </w:r>
          </w:p>
        </w:tc>
        <w:tc>
          <w:tcPr>
            <w:tcW w:w="7267" w:type="dxa"/>
            <w:vAlign w:val="center"/>
          </w:tcPr>
          <w:p w14:paraId="0CEBEDBB" w14:textId="3BB410DB"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Sistemi i </w:t>
            </w:r>
            <w:r w:rsidR="003F3A47" w:rsidRPr="004A47DC">
              <w:rPr>
                <w:rFonts w:ascii="Garamond" w:eastAsia="Times New Roman" w:hAnsi="Garamond"/>
                <w:color w:val="000000" w:themeColor="text1"/>
                <w:lang w:val="sq-AL"/>
              </w:rPr>
              <w:t>r</w:t>
            </w:r>
            <w:r w:rsidRPr="004A47DC">
              <w:rPr>
                <w:rFonts w:ascii="Garamond" w:eastAsia="Times New Roman" w:hAnsi="Garamond"/>
                <w:color w:val="000000" w:themeColor="text1"/>
                <w:lang w:val="sq-AL"/>
              </w:rPr>
              <w:t>i i Kompjuterizuar i Transitit</w:t>
            </w:r>
          </w:p>
        </w:tc>
      </w:tr>
      <w:tr w:rsidR="004719D2" w:rsidRPr="004A47DC" w14:paraId="55485516" w14:textId="77777777" w:rsidTr="003F3A47">
        <w:tc>
          <w:tcPr>
            <w:tcW w:w="1265" w:type="dxa"/>
          </w:tcPr>
          <w:p w14:paraId="291B48C3"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TEMF</w:t>
            </w:r>
          </w:p>
        </w:tc>
        <w:tc>
          <w:tcPr>
            <w:tcW w:w="7267" w:type="dxa"/>
            <w:vAlign w:val="center"/>
          </w:tcPr>
          <w:p w14:paraId="16C316A4" w14:textId="01F26D7B"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 xml:space="preserve">Tender Ekonomikisht </w:t>
            </w:r>
            <w:r w:rsidR="003F3A47" w:rsidRPr="004A47DC">
              <w:rPr>
                <w:rFonts w:ascii="Garamond" w:eastAsia="Times New Roman" w:hAnsi="Garamond"/>
                <w:color w:val="000000" w:themeColor="text1"/>
                <w:lang w:val="sq-AL"/>
              </w:rPr>
              <w:t>m</w:t>
            </w:r>
            <w:r w:rsidRPr="004A47DC">
              <w:rPr>
                <w:rFonts w:ascii="Garamond" w:eastAsia="Times New Roman" w:hAnsi="Garamond"/>
                <w:color w:val="000000" w:themeColor="text1"/>
                <w:lang w:val="sq-AL"/>
              </w:rPr>
              <w:t>ë i Favorshëm</w:t>
            </w:r>
          </w:p>
        </w:tc>
      </w:tr>
      <w:tr w:rsidR="004719D2" w:rsidRPr="004A47DC" w14:paraId="4ADE9044" w14:textId="77777777" w:rsidTr="003F3A47">
        <w:tc>
          <w:tcPr>
            <w:tcW w:w="1265" w:type="dxa"/>
            <w:hideMark/>
          </w:tcPr>
          <w:p w14:paraId="52F5201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TI</w:t>
            </w:r>
          </w:p>
        </w:tc>
        <w:tc>
          <w:tcPr>
            <w:tcW w:w="7267" w:type="dxa"/>
            <w:vAlign w:val="center"/>
            <w:hideMark/>
          </w:tcPr>
          <w:p w14:paraId="20DC9F7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Teknologjia e Informacionit</w:t>
            </w:r>
          </w:p>
        </w:tc>
      </w:tr>
      <w:tr w:rsidR="004719D2" w:rsidRPr="004A47DC" w14:paraId="239BC7AB" w14:textId="77777777" w:rsidTr="003F3A47">
        <w:tc>
          <w:tcPr>
            <w:tcW w:w="1265" w:type="dxa"/>
          </w:tcPr>
          <w:p w14:paraId="57515A17"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TKP</w:t>
            </w:r>
          </w:p>
        </w:tc>
        <w:tc>
          <w:tcPr>
            <w:tcW w:w="7267" w:type="dxa"/>
            <w:vAlign w:val="center"/>
          </w:tcPr>
          <w:p w14:paraId="66FA18F1"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Treguesit Kryesorë të Performancës</w:t>
            </w:r>
          </w:p>
        </w:tc>
      </w:tr>
      <w:tr w:rsidR="004719D2" w:rsidRPr="004A47DC" w14:paraId="153F4A41" w14:textId="77777777" w:rsidTr="003F3A47">
        <w:tc>
          <w:tcPr>
            <w:tcW w:w="1265" w:type="dxa"/>
            <w:hideMark/>
          </w:tcPr>
          <w:p w14:paraId="2A47B71A"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TVSH</w:t>
            </w:r>
          </w:p>
        </w:tc>
        <w:tc>
          <w:tcPr>
            <w:tcW w:w="7267" w:type="dxa"/>
            <w:vAlign w:val="center"/>
            <w:hideMark/>
          </w:tcPr>
          <w:p w14:paraId="1C481AF8"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Tatimi mbi Vlerën e Shtuar</w:t>
            </w:r>
          </w:p>
        </w:tc>
      </w:tr>
      <w:tr w:rsidR="004719D2" w:rsidRPr="004A47DC" w14:paraId="39BF9B0E" w14:textId="77777777" w:rsidTr="003F3A47">
        <w:tc>
          <w:tcPr>
            <w:tcW w:w="1265" w:type="dxa"/>
          </w:tcPr>
          <w:p w14:paraId="38104EE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ZHPV</w:t>
            </w:r>
          </w:p>
        </w:tc>
        <w:tc>
          <w:tcPr>
            <w:tcW w:w="7267" w:type="dxa"/>
            <w:vAlign w:val="center"/>
          </w:tcPr>
          <w:p w14:paraId="64AF7245" w14:textId="77777777" w:rsidR="00165A28" w:rsidRPr="004A47DC" w:rsidRDefault="00165A28" w:rsidP="00165A28">
            <w:pPr>
              <w:rPr>
                <w:rFonts w:ascii="Garamond" w:eastAsia="Times New Roman" w:hAnsi="Garamond"/>
                <w:color w:val="000000" w:themeColor="text1"/>
                <w:lang w:val="sq-AL"/>
              </w:rPr>
            </w:pPr>
            <w:r w:rsidRPr="004A47DC">
              <w:rPr>
                <w:rFonts w:ascii="Garamond" w:eastAsia="Times New Roman" w:hAnsi="Garamond"/>
                <w:color w:val="000000" w:themeColor="text1"/>
                <w:lang w:val="sq-AL"/>
              </w:rPr>
              <w:t>Zhvillimi Profesional i Vazhdueshëm</w:t>
            </w:r>
          </w:p>
        </w:tc>
      </w:tr>
    </w:tbl>
    <w:p w14:paraId="5126767F" w14:textId="38BD8086" w:rsidR="00165A28" w:rsidRPr="004A47DC" w:rsidRDefault="00165A28" w:rsidP="00731A47">
      <w:pPr>
        <w:pStyle w:val="TEKSTIII"/>
        <w:rPr>
          <w:color w:val="000000" w:themeColor="text1"/>
        </w:rPr>
      </w:pPr>
    </w:p>
    <w:p w14:paraId="542F5C51" w14:textId="77777777" w:rsidR="00EB5098" w:rsidRPr="004A47DC" w:rsidRDefault="00EB5098" w:rsidP="00EB5098">
      <w:pPr>
        <w:pStyle w:val="Heading1"/>
        <w:keepNext w:val="0"/>
        <w:keepLines w:val="0"/>
        <w:spacing w:before="0"/>
        <w:ind w:firstLine="284"/>
        <w:rPr>
          <w:rFonts w:ascii="Garamond" w:hAnsi="Garamond" w:cs="Arial"/>
          <w:b/>
          <w:iCs/>
          <w:color w:val="000000" w:themeColor="text1"/>
          <w:sz w:val="24"/>
          <w:szCs w:val="24"/>
        </w:rPr>
      </w:pPr>
      <w:r w:rsidRPr="004A47DC">
        <w:rPr>
          <w:rFonts w:ascii="Garamond" w:hAnsi="Garamond" w:cs="Arial"/>
          <w:b/>
          <w:iCs/>
          <w:color w:val="000000" w:themeColor="text1"/>
          <w:sz w:val="24"/>
          <w:szCs w:val="24"/>
        </w:rPr>
        <w:t>Përmbledhja ekzekutive</w:t>
      </w:r>
    </w:p>
    <w:p w14:paraId="6054FF06" w14:textId="4C5EBF21" w:rsidR="00EB5098" w:rsidRPr="004A47DC" w:rsidRDefault="00EB5098" w:rsidP="00EB5098">
      <w:pPr>
        <w:ind w:firstLine="284"/>
        <w:jc w:val="both"/>
        <w:rPr>
          <w:rFonts w:ascii="Garamond" w:hAnsi="Garamond"/>
          <w:color w:val="000000" w:themeColor="text1"/>
        </w:rPr>
      </w:pPr>
      <w:r w:rsidRPr="004A47DC">
        <w:rPr>
          <w:rFonts w:ascii="Garamond" w:hAnsi="Garamond"/>
          <w:color w:val="000000" w:themeColor="text1"/>
        </w:rPr>
        <w:t>Kjo strategji sektoriale e Menaxhimit të Financave Publike (MFP) 2023</w:t>
      </w:r>
      <w:r w:rsidR="008F1144" w:rsidRPr="004A47DC">
        <w:rPr>
          <w:rFonts w:ascii="Garamond" w:hAnsi="Garamond"/>
          <w:color w:val="000000" w:themeColor="text1"/>
        </w:rPr>
        <w:t>–</w:t>
      </w:r>
      <w:r w:rsidRPr="004A47DC">
        <w:rPr>
          <w:rFonts w:ascii="Garamond" w:hAnsi="Garamond"/>
          <w:color w:val="000000" w:themeColor="text1"/>
        </w:rPr>
        <w:t>2030 dhe plani i veprimit për periudhën 2023</w:t>
      </w:r>
      <w:r w:rsidR="008F1144" w:rsidRPr="004A47DC">
        <w:rPr>
          <w:rFonts w:ascii="Garamond" w:hAnsi="Garamond"/>
          <w:color w:val="000000" w:themeColor="text1"/>
        </w:rPr>
        <w:t>–</w:t>
      </w:r>
      <w:r w:rsidRPr="004A47DC">
        <w:rPr>
          <w:rFonts w:ascii="Garamond" w:hAnsi="Garamond"/>
          <w:color w:val="000000" w:themeColor="text1"/>
        </w:rPr>
        <w:t>2026</w:t>
      </w:r>
      <w:r w:rsidR="003F3A47" w:rsidRPr="004A47DC">
        <w:rPr>
          <w:rFonts w:ascii="Garamond" w:hAnsi="Garamond"/>
          <w:color w:val="000000" w:themeColor="text1"/>
        </w:rPr>
        <w:t>,</w:t>
      </w:r>
      <w:r w:rsidRPr="004A47DC">
        <w:rPr>
          <w:rFonts w:ascii="Garamond" w:hAnsi="Garamond"/>
          <w:color w:val="000000" w:themeColor="text1"/>
        </w:rPr>
        <w:t xml:space="preserve"> paraqet reformat e planifikuara për përmirësimin e sistemeve të MFP-së. Në përputhje me Strategjinë Kombëtare për Zhvillim dhe Integrim Evropian (SKZHIE) 2022</w:t>
      </w:r>
      <w:r w:rsidR="008F1144" w:rsidRPr="004A47DC">
        <w:rPr>
          <w:rFonts w:ascii="Garamond" w:hAnsi="Garamond"/>
          <w:color w:val="000000" w:themeColor="text1"/>
        </w:rPr>
        <w:t>–</w:t>
      </w:r>
      <w:r w:rsidRPr="004A47DC">
        <w:rPr>
          <w:rFonts w:ascii="Garamond" w:hAnsi="Garamond"/>
          <w:color w:val="000000" w:themeColor="text1"/>
        </w:rPr>
        <w:t xml:space="preserve">2030, qëllimi i përgjithshëm i strategjisë është të krijojë një sistem të menaxhimit të financave publike që garanton transparencë, llogaridhënie, disiplinë fiskale, efikasitet dhe barazi në përdorimin e burimeve publike për ofrimin e shërbimeve publike të përmirësuara dhe zhvillimit ekonomik që të sigurojë një integrim të lehtë dhe të shpejtë të Shqipërisë në Bashkimin Evropian (BE). </w:t>
      </w:r>
    </w:p>
    <w:p w14:paraId="20432932" w14:textId="69D73EB6" w:rsidR="00EB5098" w:rsidRPr="004A47DC" w:rsidRDefault="00EB5098" w:rsidP="00EB5098">
      <w:pPr>
        <w:ind w:firstLine="284"/>
        <w:jc w:val="both"/>
        <w:rPr>
          <w:rFonts w:ascii="Garamond" w:hAnsi="Garamond"/>
          <w:color w:val="000000" w:themeColor="text1"/>
        </w:rPr>
      </w:pPr>
      <w:r w:rsidRPr="004A47DC">
        <w:rPr>
          <w:rFonts w:ascii="Garamond" w:hAnsi="Garamond"/>
          <w:color w:val="000000" w:themeColor="text1"/>
        </w:rPr>
        <w:t>Masat e reformës së MFP-së janë formuluar në gjashtë shtylla</w:t>
      </w:r>
      <w:r w:rsidR="003F3A47" w:rsidRPr="004A47DC">
        <w:rPr>
          <w:rFonts w:ascii="Garamond" w:hAnsi="Garamond"/>
          <w:color w:val="000000" w:themeColor="text1"/>
        </w:rPr>
        <w:t>,</w:t>
      </w:r>
      <w:r w:rsidRPr="004A47DC">
        <w:rPr>
          <w:rFonts w:ascii="Garamond" w:hAnsi="Garamond"/>
          <w:color w:val="000000" w:themeColor="text1"/>
        </w:rPr>
        <w:t xml:space="preserve"> si më poshtë:</w:t>
      </w:r>
    </w:p>
    <w:p w14:paraId="71B5E3C4" w14:textId="0D2C51EB"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 xml:space="preserve">Shtylla 1: Programimi </w:t>
      </w:r>
      <w:r w:rsidR="00610D03" w:rsidRPr="004A47DC">
        <w:rPr>
          <w:rFonts w:ascii="Garamond" w:hAnsi="Garamond" w:cs="Arial"/>
          <w:b w:val="0"/>
          <w:i/>
          <w:iCs/>
          <w:color w:val="000000" w:themeColor="text1"/>
          <w:sz w:val="24"/>
          <w:szCs w:val="24"/>
        </w:rPr>
        <w:t xml:space="preserve">Makroekonomik </w:t>
      </w:r>
      <w:r w:rsidR="003F3A47" w:rsidRPr="004A47DC">
        <w:rPr>
          <w:rFonts w:ascii="Garamond" w:hAnsi="Garamond" w:cs="Arial"/>
          <w:b w:val="0"/>
          <w:i/>
          <w:iCs/>
          <w:color w:val="000000" w:themeColor="text1"/>
          <w:sz w:val="24"/>
          <w:szCs w:val="24"/>
        </w:rPr>
        <w:t xml:space="preserve">dhe </w:t>
      </w:r>
      <w:r w:rsidR="00610D03" w:rsidRPr="004A47DC">
        <w:rPr>
          <w:rFonts w:ascii="Garamond" w:hAnsi="Garamond" w:cs="Arial"/>
          <w:b w:val="0"/>
          <w:i/>
          <w:iCs/>
          <w:color w:val="000000" w:themeColor="text1"/>
          <w:sz w:val="24"/>
          <w:szCs w:val="24"/>
        </w:rPr>
        <w:t xml:space="preserve">Monitorimi </w:t>
      </w:r>
      <w:r w:rsidR="003F3A47" w:rsidRPr="004A47DC">
        <w:rPr>
          <w:rFonts w:ascii="Garamond" w:hAnsi="Garamond" w:cs="Arial"/>
          <w:b w:val="0"/>
          <w:i/>
          <w:iCs/>
          <w:color w:val="000000" w:themeColor="text1"/>
          <w:sz w:val="24"/>
          <w:szCs w:val="24"/>
        </w:rPr>
        <w:t xml:space="preserve">i </w:t>
      </w:r>
      <w:r w:rsidR="00610D03" w:rsidRPr="004A47DC">
        <w:rPr>
          <w:rFonts w:ascii="Garamond" w:hAnsi="Garamond" w:cs="Arial"/>
          <w:b w:val="0"/>
          <w:i/>
          <w:iCs/>
          <w:color w:val="000000" w:themeColor="text1"/>
          <w:sz w:val="24"/>
          <w:szCs w:val="24"/>
        </w:rPr>
        <w:t>Riskut</w:t>
      </w:r>
    </w:p>
    <w:p w14:paraId="69EFC013" w14:textId="06562D2A"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Sistemet për zhvillimin dhe monitorimin e një politike të shëndoshë fiskale të bazuar në rregulla fiskale, parashikime të avancuara makroekonomike dhe praktika solide të menaxhimit të riskut fiskal mirëmbahen dhe përmirësohen më tej. Krijohet Këshilli Fiskal</w:t>
      </w:r>
      <w:r w:rsidR="003F3A47" w:rsidRPr="004A47DC">
        <w:rPr>
          <w:rFonts w:ascii="Garamond" w:hAnsi="Garamond"/>
          <w:iCs/>
          <w:color w:val="000000" w:themeColor="text1"/>
        </w:rPr>
        <w:t>:</w:t>
      </w:r>
    </w:p>
    <w:p w14:paraId="2DA88C12" w14:textId="77777777" w:rsidR="00EB5098" w:rsidRPr="004A47DC" w:rsidRDefault="00EB5098" w:rsidP="00EB5098">
      <w:pPr>
        <w:ind w:firstLine="284"/>
        <w:jc w:val="both"/>
        <w:rPr>
          <w:rFonts w:ascii="Garamond" w:hAnsi="Garamond"/>
          <w:iCs/>
          <w:color w:val="000000" w:themeColor="text1"/>
        </w:rPr>
      </w:pPr>
    </w:p>
    <w:p w14:paraId="361248FC" w14:textId="715779EE" w:rsidR="00EB5098" w:rsidRPr="004A47DC" w:rsidRDefault="00EB5098" w:rsidP="00EB5098">
      <w:pPr>
        <w:pStyle w:val="ListParagraph"/>
        <w:ind w:left="0" w:firstLine="284"/>
        <w:jc w:val="both"/>
        <w:rPr>
          <w:rFonts w:ascii="Garamond" w:hAnsi="Garamond"/>
          <w:i/>
          <w:iCs/>
          <w:color w:val="000000" w:themeColor="text1"/>
        </w:rPr>
      </w:pPr>
      <w:r w:rsidRPr="004A47DC">
        <w:rPr>
          <w:rFonts w:ascii="Garamond" w:hAnsi="Garamond"/>
          <w:color w:val="000000" w:themeColor="text1"/>
        </w:rPr>
        <w:t>1. Parashikim i matur i treguesve makroekonomik</w:t>
      </w:r>
      <w:r w:rsidR="003F3A47" w:rsidRPr="004A47DC">
        <w:rPr>
          <w:rFonts w:ascii="Garamond" w:hAnsi="Garamond"/>
          <w:color w:val="000000" w:themeColor="text1"/>
        </w:rPr>
        <w:t>,</w:t>
      </w:r>
      <w:r w:rsidRPr="004A47DC">
        <w:rPr>
          <w:rFonts w:ascii="Garamond" w:hAnsi="Garamond"/>
          <w:color w:val="000000" w:themeColor="text1"/>
        </w:rPr>
        <w:t xml:space="preserve"> në përputhje me parashikuesit e pavarur dhe ndërkombëtarë</w:t>
      </w:r>
      <w:r w:rsidR="003F3A47" w:rsidRPr="004A47DC">
        <w:rPr>
          <w:rFonts w:ascii="Garamond" w:hAnsi="Garamond"/>
          <w:color w:val="000000" w:themeColor="text1"/>
        </w:rPr>
        <w:t>;</w:t>
      </w:r>
    </w:p>
    <w:p w14:paraId="7686B918" w14:textId="28745B9D"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2. Parashikim i matur dhe realist i të ardhurave afatmesme</w:t>
      </w:r>
      <w:r w:rsidR="003F3A47" w:rsidRPr="004A47DC">
        <w:rPr>
          <w:rFonts w:ascii="Garamond" w:hAnsi="Garamond"/>
          <w:color w:val="000000" w:themeColor="text1"/>
        </w:rPr>
        <w:t>,</w:t>
      </w:r>
      <w:r w:rsidRPr="004A47DC">
        <w:rPr>
          <w:rFonts w:ascii="Garamond" w:hAnsi="Garamond"/>
          <w:color w:val="000000" w:themeColor="text1"/>
        </w:rPr>
        <w:t xml:space="preserve"> në përputhje me parashikuesit e pavarur dhe ndërkombëtarë;</w:t>
      </w:r>
    </w:p>
    <w:p w14:paraId="2977CDD9" w14:textId="6B07CEE0"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3. Ruajtja e financave publike të shëndosha përmes pajtueshmërisë së përhershme me rregullat fiskale</w:t>
      </w:r>
      <w:r w:rsidR="003F3A47" w:rsidRPr="004A47DC">
        <w:rPr>
          <w:rFonts w:ascii="Garamond" w:hAnsi="Garamond"/>
          <w:color w:val="000000" w:themeColor="text1"/>
        </w:rPr>
        <w:t>;</w:t>
      </w:r>
    </w:p>
    <w:p w14:paraId="7420C8AF" w14:textId="12598C5C"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4. Ofrimi i asistencës teknike për procesin e Analizës së Qëndrueshmërisë së Borxhit;</w:t>
      </w:r>
    </w:p>
    <w:p w14:paraId="28BFCD06" w14:textId="6091441E"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5. Prezantimi i kuadrit të Analizës së Qëndrueshmërisë së Borxhit si një mjet programimi makroekonomik</w:t>
      </w:r>
      <w:r w:rsidR="003F3A47" w:rsidRPr="004A47DC">
        <w:rPr>
          <w:rFonts w:ascii="Garamond" w:hAnsi="Garamond"/>
          <w:color w:val="000000" w:themeColor="text1"/>
        </w:rPr>
        <w:t>;</w:t>
      </w:r>
    </w:p>
    <w:p w14:paraId="612924F0" w14:textId="57813FAB"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6. Prezantimi i Deklaratës Vjetore të Risqeve Fiskale dhe zgjerimi gradual i fushës së monitorimit dhe raportimit të riskut fiskal;</w:t>
      </w:r>
    </w:p>
    <w:p w14:paraId="027AE927" w14:textId="021B0A07"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 xml:space="preserve">7. Forcimi i menaxhimit të </w:t>
      </w:r>
      <w:r w:rsidR="003F3A47" w:rsidRPr="004A47DC">
        <w:rPr>
          <w:rFonts w:ascii="Garamond" w:hAnsi="Garamond"/>
          <w:color w:val="000000" w:themeColor="text1"/>
        </w:rPr>
        <w:t xml:space="preserve">risqeve fiskale, </w:t>
      </w:r>
      <w:r w:rsidRPr="004A47DC">
        <w:rPr>
          <w:rFonts w:ascii="Garamond" w:hAnsi="Garamond"/>
          <w:color w:val="000000" w:themeColor="text1"/>
        </w:rPr>
        <w:t xml:space="preserve">lidhur me </w:t>
      </w:r>
      <w:r w:rsidR="003F3A47" w:rsidRPr="004A47DC">
        <w:rPr>
          <w:rFonts w:ascii="Garamond" w:hAnsi="Garamond"/>
          <w:color w:val="000000" w:themeColor="text1"/>
        </w:rPr>
        <w:t xml:space="preserve">partneritetin publik privat </w:t>
      </w:r>
      <w:r w:rsidRPr="004A47DC">
        <w:rPr>
          <w:rFonts w:ascii="Garamond" w:hAnsi="Garamond"/>
          <w:color w:val="000000" w:themeColor="text1"/>
        </w:rPr>
        <w:t>dhe kontratat koncesionare;</w:t>
      </w:r>
    </w:p>
    <w:p w14:paraId="404F281A" w14:textId="0BF2B976"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 xml:space="preserve">8. Forcimi i mbikëqyrjes fiskale të </w:t>
      </w:r>
      <w:r w:rsidR="003F3A47" w:rsidRPr="004A47DC">
        <w:rPr>
          <w:rFonts w:ascii="Garamond" w:hAnsi="Garamond"/>
          <w:color w:val="000000" w:themeColor="text1"/>
        </w:rPr>
        <w:t>ndërmarrjeve shtetërore</w:t>
      </w:r>
      <w:r w:rsidRPr="004A47DC">
        <w:rPr>
          <w:rFonts w:ascii="Garamond" w:hAnsi="Garamond"/>
          <w:color w:val="000000" w:themeColor="text1"/>
        </w:rPr>
        <w:t>;</w:t>
      </w:r>
    </w:p>
    <w:p w14:paraId="37C24A5C" w14:textId="13EEB019"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9. Përmirësimi i mëtejshëm i menaxhimit të detyrimeve të prapambetura</w:t>
      </w:r>
      <w:r w:rsidR="003F3A47" w:rsidRPr="004A47DC">
        <w:rPr>
          <w:rFonts w:ascii="Garamond" w:hAnsi="Garamond"/>
          <w:color w:val="000000" w:themeColor="text1"/>
        </w:rPr>
        <w:t>;</w:t>
      </w:r>
    </w:p>
    <w:p w14:paraId="33AB7EE5" w14:textId="1F55BFBE"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10. Krijimi i Këshillit Fiskal.</w:t>
      </w:r>
    </w:p>
    <w:p w14:paraId="277E7CC6" w14:textId="39F6A59E"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 xml:space="preserve">Shtylla 2: Planifikimi i </w:t>
      </w:r>
      <w:r w:rsidR="00610D03" w:rsidRPr="004A47DC">
        <w:rPr>
          <w:rFonts w:ascii="Garamond" w:hAnsi="Garamond" w:cs="Arial"/>
          <w:b w:val="0"/>
          <w:i/>
          <w:iCs/>
          <w:color w:val="000000" w:themeColor="text1"/>
          <w:sz w:val="24"/>
          <w:szCs w:val="24"/>
        </w:rPr>
        <w:t xml:space="preserve">Integruar Strategjik </w:t>
      </w:r>
      <w:r w:rsidRPr="004A47DC">
        <w:rPr>
          <w:rFonts w:ascii="Garamond" w:hAnsi="Garamond" w:cs="Arial"/>
          <w:b w:val="0"/>
          <w:i/>
          <w:iCs/>
          <w:color w:val="000000" w:themeColor="text1"/>
          <w:sz w:val="24"/>
          <w:szCs w:val="24"/>
        </w:rPr>
        <w:t xml:space="preserve">dhe </w:t>
      </w:r>
      <w:r w:rsidR="00610D03" w:rsidRPr="004A47DC">
        <w:rPr>
          <w:rFonts w:ascii="Garamond" w:hAnsi="Garamond" w:cs="Arial"/>
          <w:b w:val="0"/>
          <w:i/>
          <w:iCs/>
          <w:color w:val="000000" w:themeColor="text1"/>
          <w:sz w:val="24"/>
          <w:szCs w:val="24"/>
        </w:rPr>
        <w:t>Buxhetor</w:t>
      </w:r>
      <w:r w:rsidRPr="004A47DC">
        <w:rPr>
          <w:rFonts w:ascii="Garamond" w:hAnsi="Garamond" w:cs="Arial"/>
          <w:b w:val="0"/>
          <w:i/>
          <w:iCs/>
          <w:color w:val="000000" w:themeColor="text1"/>
          <w:sz w:val="24"/>
          <w:szCs w:val="24"/>
        </w:rPr>
        <w:t xml:space="preserve">, </w:t>
      </w:r>
      <w:r w:rsidR="00610D03" w:rsidRPr="004A47DC">
        <w:rPr>
          <w:rFonts w:ascii="Garamond" w:hAnsi="Garamond" w:cs="Arial"/>
          <w:b w:val="0"/>
          <w:i/>
          <w:iCs/>
          <w:color w:val="000000" w:themeColor="text1"/>
          <w:sz w:val="24"/>
          <w:szCs w:val="24"/>
        </w:rPr>
        <w:t xml:space="preserve">Monitorimi </w:t>
      </w:r>
      <w:r w:rsidRPr="004A47DC">
        <w:rPr>
          <w:rFonts w:ascii="Garamond" w:hAnsi="Garamond" w:cs="Arial"/>
          <w:b w:val="0"/>
          <w:i/>
          <w:iCs/>
          <w:color w:val="000000" w:themeColor="text1"/>
          <w:sz w:val="24"/>
          <w:szCs w:val="24"/>
        </w:rPr>
        <w:t xml:space="preserve">dhe </w:t>
      </w:r>
      <w:r w:rsidR="00610D03" w:rsidRPr="004A47DC">
        <w:rPr>
          <w:rFonts w:ascii="Garamond" w:hAnsi="Garamond" w:cs="Arial"/>
          <w:b w:val="0"/>
          <w:i/>
          <w:iCs/>
          <w:color w:val="000000" w:themeColor="text1"/>
          <w:sz w:val="24"/>
          <w:szCs w:val="24"/>
        </w:rPr>
        <w:t>Raportimi Transparent</w:t>
      </w:r>
    </w:p>
    <w:p w14:paraId="3A858CAD" w14:textId="77777777"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Ekziston një sistem i avancuar për planifikimin strategjik të integruar dhe planifikimin buxhetor afatmesëm në të gjitha nivelet e qeverisjes. Praktikat për planifikimin e investimeve publike janë të profesionalizuara. Sigurohet monitorim dhe raportim transparent dhe pjesëmarrja e publikut në proceset buxhetore në përputhje me standardet përkatëse.</w:t>
      </w:r>
    </w:p>
    <w:p w14:paraId="359950FC" w14:textId="7F8D6C51"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 xml:space="preserve">1. Përmirësimi i </w:t>
      </w:r>
      <w:r w:rsidR="00A7158D" w:rsidRPr="004A47DC">
        <w:rPr>
          <w:rFonts w:ascii="Garamond" w:hAnsi="Garamond"/>
          <w:color w:val="000000" w:themeColor="text1"/>
        </w:rPr>
        <w:t xml:space="preserve">sistemit të planifikimit të integruar </w:t>
      </w:r>
      <w:r w:rsidRPr="004A47DC">
        <w:rPr>
          <w:rFonts w:ascii="Garamond" w:hAnsi="Garamond"/>
          <w:color w:val="000000" w:themeColor="text1"/>
        </w:rPr>
        <w:t xml:space="preserve">të mbështetur nga </w:t>
      </w:r>
      <w:r w:rsidR="00A7158D" w:rsidRPr="004A47DC">
        <w:rPr>
          <w:rFonts w:ascii="Garamond" w:hAnsi="Garamond"/>
          <w:color w:val="000000" w:themeColor="text1"/>
        </w:rPr>
        <w:t>teknologjia e informacionit</w:t>
      </w:r>
      <w:r w:rsidRPr="004A47DC">
        <w:rPr>
          <w:rFonts w:ascii="Garamond" w:hAnsi="Garamond"/>
          <w:color w:val="000000" w:themeColor="text1"/>
        </w:rPr>
        <w:t xml:space="preserve"> (TI) për formulimin dhe monitorimin e strategjive;</w:t>
      </w:r>
    </w:p>
    <w:p w14:paraId="55C4AEA9" w14:textId="50BFFAED"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2. Zgjerimi i rishikimit afatmesëm dhe vlerësimit </w:t>
      </w:r>
      <w:r w:rsidRPr="004A47DC">
        <w:rPr>
          <w:rFonts w:ascii="Garamond" w:hAnsi="Garamond"/>
          <w:i/>
          <w:iCs/>
          <w:color w:val="000000" w:themeColor="text1"/>
        </w:rPr>
        <w:t>ex-post</w:t>
      </w:r>
      <w:r w:rsidRPr="004A47DC">
        <w:rPr>
          <w:rFonts w:ascii="Garamond" w:hAnsi="Garamond"/>
          <w:iCs/>
          <w:color w:val="000000" w:themeColor="text1"/>
        </w:rPr>
        <w:t xml:space="preserve"> të strategjive dhe planeve të veprimit</w:t>
      </w:r>
      <w:r w:rsidR="00A7158D" w:rsidRPr="004A47DC">
        <w:rPr>
          <w:rFonts w:ascii="Garamond" w:hAnsi="Garamond"/>
          <w:iCs/>
          <w:color w:val="000000" w:themeColor="text1"/>
        </w:rPr>
        <w:t>;</w:t>
      </w:r>
    </w:p>
    <w:p w14:paraId="756D5E6F" w14:textId="51486295"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3. Përmirësimi i mëtejshëm i metodave, procedurave dhe llogaridhënies menaxheriale për formulimin e PBA-së</w:t>
      </w:r>
      <w:r w:rsidR="00A7158D" w:rsidRPr="004A47DC">
        <w:rPr>
          <w:rFonts w:ascii="Garamond" w:hAnsi="Garamond"/>
          <w:iCs/>
          <w:color w:val="000000" w:themeColor="text1"/>
        </w:rPr>
        <w:t>;</w:t>
      </w:r>
    </w:p>
    <w:p w14:paraId="7FCCCEBE" w14:textId="60FADE25"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4. Përmirësimi i dokumentacionit buxhetor dhe në veçanti elementit të informacionit të performancës</w:t>
      </w:r>
      <w:r w:rsidR="00A7158D" w:rsidRPr="004A47DC">
        <w:rPr>
          <w:rFonts w:ascii="Garamond" w:hAnsi="Garamond"/>
          <w:iCs/>
          <w:color w:val="000000" w:themeColor="text1"/>
        </w:rPr>
        <w:t>;</w:t>
      </w:r>
    </w:p>
    <w:p w14:paraId="6F244A21" w14:textId="762E277F"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color w:val="000000" w:themeColor="text1"/>
        </w:rPr>
        <w:t>5. Prezantimi i rishikimeve të shpenzimeve me pikëpamje gjinore;</w:t>
      </w:r>
    </w:p>
    <w:p w14:paraId="5E3CBE9C" w14:textId="1329207D"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6. Zhvillimi dhe prezantimi i mëtejshëm i buxhetimit të përgjigjshëm gjinor dhe buxhetimit të përgjigjshëm ndaj klimës</w:t>
      </w:r>
      <w:r w:rsidR="00A7158D" w:rsidRPr="004A47DC">
        <w:rPr>
          <w:rFonts w:ascii="Garamond" w:hAnsi="Garamond"/>
          <w:iCs/>
          <w:color w:val="000000" w:themeColor="text1"/>
        </w:rPr>
        <w:t>;</w:t>
      </w:r>
    </w:p>
    <w:p w14:paraId="5B6952CB" w14:textId="68F19F76"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7. Miratimi i Dokumentit të Politikave Prioritare së bashku me Listën Unike të Projekteve me Rëndësi Kombëtare</w:t>
      </w:r>
      <w:r w:rsidR="00A7158D" w:rsidRPr="004A47DC">
        <w:rPr>
          <w:rFonts w:ascii="Garamond" w:hAnsi="Garamond"/>
          <w:iCs/>
          <w:color w:val="000000" w:themeColor="text1"/>
        </w:rPr>
        <w:t>;</w:t>
      </w:r>
    </w:p>
    <w:p w14:paraId="729A13B4" w14:textId="12140F1D"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8. Operacionalizimi i procedurave për përmirësimin e menaxhimit të investimeve publike;</w:t>
      </w:r>
    </w:p>
    <w:p w14:paraId="1BF2D80E" w14:textId="4DACDDE5"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9. Forcimi i Listës Unike të Projekteve dhe rritja e rolit </w:t>
      </w:r>
      <w:r w:rsidRPr="004A47DC">
        <w:rPr>
          <w:rFonts w:ascii="Garamond" w:hAnsi="Garamond"/>
          <w:i/>
          <w:iCs/>
          <w:color w:val="000000" w:themeColor="text1"/>
        </w:rPr>
        <w:t>gatekeep</w:t>
      </w:r>
      <w:r w:rsidRPr="004A47DC">
        <w:rPr>
          <w:rFonts w:ascii="Garamond" w:hAnsi="Garamond"/>
          <w:iCs/>
          <w:color w:val="000000" w:themeColor="text1"/>
        </w:rPr>
        <w:t>-er</w:t>
      </w:r>
      <w:r w:rsidR="008F1144" w:rsidRPr="004A47DC">
        <w:rPr>
          <w:rFonts w:ascii="Garamond" w:hAnsi="Garamond"/>
          <w:iCs/>
          <w:color w:val="000000" w:themeColor="text1"/>
        </w:rPr>
        <w:t>it</w:t>
      </w:r>
      <w:r w:rsidRPr="004A47DC">
        <w:rPr>
          <w:rFonts w:ascii="Garamond" w:hAnsi="Garamond"/>
          <w:iCs/>
          <w:color w:val="000000" w:themeColor="text1"/>
        </w:rPr>
        <w:t xml:space="preserve"> të MF-së;</w:t>
      </w:r>
    </w:p>
    <w:p w14:paraId="4E5747B5" w14:textId="29C4EA38"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10. Përmirësimi i formulës së granteve dhe sistemit të llogaritjes për qeverisjen vendore;</w:t>
      </w:r>
    </w:p>
    <w:p w14:paraId="0566D48E" w14:textId="692E91E7"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11. Forcimi i formulimit dhe monitorimit të zbatimit të PBA-së në </w:t>
      </w:r>
      <w:r w:rsidR="00A7158D" w:rsidRPr="004A47DC">
        <w:rPr>
          <w:rFonts w:ascii="Garamond" w:hAnsi="Garamond"/>
          <w:iCs/>
          <w:color w:val="000000" w:themeColor="text1"/>
        </w:rPr>
        <w:t>b</w:t>
      </w:r>
      <w:r w:rsidRPr="004A47DC">
        <w:rPr>
          <w:rFonts w:ascii="Garamond" w:hAnsi="Garamond"/>
          <w:iCs/>
          <w:color w:val="000000" w:themeColor="text1"/>
        </w:rPr>
        <w:t>ashkitë;</w:t>
      </w:r>
    </w:p>
    <w:p w14:paraId="54F51158" w14:textId="0A4E1D47"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12. Zhvillimi dhe vendosja e Sistemit të ri të Menaxhimit të Buxhetit Vendor (SMBV) për përgatitjen dhe monitorimin e buxhetit vendor;</w:t>
      </w:r>
    </w:p>
    <w:p w14:paraId="58A73AED" w14:textId="3AA03D2F"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13. Përmirësimi i nivelit të burimeve financiare nga taksat e ndara</w:t>
      </w:r>
      <w:r w:rsidR="00A7158D" w:rsidRPr="004A47DC">
        <w:rPr>
          <w:rFonts w:ascii="Garamond" w:hAnsi="Garamond"/>
          <w:color w:val="000000" w:themeColor="text1"/>
        </w:rPr>
        <w:t>;</w:t>
      </w:r>
    </w:p>
    <w:p w14:paraId="228C8DC3" w14:textId="3D1D7B8D"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14. Përmirësimi i raportimit dhe monitorimit të zbatimit të buxhetit dhe prezantimi i raportit të </w:t>
      </w:r>
      <w:r w:rsidR="00A7158D" w:rsidRPr="004A47DC">
        <w:rPr>
          <w:rFonts w:ascii="Garamond" w:hAnsi="Garamond"/>
          <w:iCs/>
          <w:color w:val="000000" w:themeColor="text1"/>
        </w:rPr>
        <w:t>zbatimit të buxhetit për qytetarët</w:t>
      </w:r>
      <w:r w:rsidRPr="004A47DC">
        <w:rPr>
          <w:rFonts w:ascii="Garamond" w:hAnsi="Garamond"/>
          <w:iCs/>
          <w:color w:val="000000" w:themeColor="text1"/>
        </w:rPr>
        <w:t>;</w:t>
      </w:r>
    </w:p>
    <w:p w14:paraId="05272864" w14:textId="708AF18B"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15. Përmirësimi i monitorimit dhe raportimit për </w:t>
      </w:r>
      <w:r w:rsidR="00A7158D" w:rsidRPr="004A47DC">
        <w:rPr>
          <w:rFonts w:ascii="Garamond" w:hAnsi="Garamond"/>
          <w:iCs/>
          <w:color w:val="000000" w:themeColor="text1"/>
        </w:rPr>
        <w:t>projektet e investimeve publike</w:t>
      </w:r>
      <w:r w:rsidRPr="004A47DC">
        <w:rPr>
          <w:rFonts w:ascii="Garamond" w:hAnsi="Garamond"/>
          <w:iCs/>
          <w:color w:val="000000" w:themeColor="text1"/>
        </w:rPr>
        <w:t>;</w:t>
      </w:r>
    </w:p>
    <w:p w14:paraId="4A4540CC" w14:textId="378434AD"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 xml:space="preserve">16. Përmirësimi i monitorimit dhe raportimit për PPP-të dhe </w:t>
      </w:r>
      <w:r w:rsidR="00A7158D" w:rsidRPr="004A47DC">
        <w:rPr>
          <w:rFonts w:ascii="Garamond" w:hAnsi="Garamond"/>
          <w:iCs/>
          <w:color w:val="000000" w:themeColor="text1"/>
        </w:rPr>
        <w:t>kontratat e koncesionit</w:t>
      </w:r>
      <w:r w:rsidRPr="004A47DC">
        <w:rPr>
          <w:rFonts w:ascii="Garamond" w:hAnsi="Garamond"/>
          <w:iCs/>
          <w:color w:val="000000" w:themeColor="text1"/>
        </w:rPr>
        <w:t>.</w:t>
      </w:r>
    </w:p>
    <w:p w14:paraId="1A141680" w14:textId="73526605"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 xml:space="preserve">Shtylla 3: Menaxhimi dhe </w:t>
      </w:r>
      <w:r w:rsidR="00610D03" w:rsidRPr="004A47DC">
        <w:rPr>
          <w:rFonts w:ascii="Garamond" w:hAnsi="Garamond" w:cs="Arial"/>
          <w:b w:val="0"/>
          <w:i/>
          <w:iCs/>
          <w:color w:val="000000" w:themeColor="text1"/>
          <w:sz w:val="24"/>
          <w:szCs w:val="24"/>
        </w:rPr>
        <w:t xml:space="preserve">Mobilizimi </w:t>
      </w:r>
      <w:r w:rsidRPr="004A47DC">
        <w:rPr>
          <w:rFonts w:ascii="Garamond" w:hAnsi="Garamond" w:cs="Arial"/>
          <w:b w:val="0"/>
          <w:i/>
          <w:iCs/>
          <w:color w:val="000000" w:themeColor="text1"/>
          <w:sz w:val="24"/>
          <w:szCs w:val="24"/>
        </w:rPr>
        <w:t xml:space="preserve">i të </w:t>
      </w:r>
      <w:r w:rsidR="00610D03" w:rsidRPr="004A47DC">
        <w:rPr>
          <w:rFonts w:ascii="Garamond" w:hAnsi="Garamond" w:cs="Arial"/>
          <w:b w:val="0"/>
          <w:i/>
          <w:iCs/>
          <w:color w:val="000000" w:themeColor="text1"/>
          <w:sz w:val="24"/>
          <w:szCs w:val="24"/>
        </w:rPr>
        <w:t>Ardhurave</w:t>
      </w:r>
    </w:p>
    <w:p w14:paraId="0FAFDAF5" w14:textId="0FAF577E"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Mobilizimi i të ardhurave vendase është rritur përmes zhvillimit dhe zbatimit të politikave të avancuara tatimore; sistemet për menaxhimin e taksave dhe doganave janë përmirësuar më tej dhe</w:t>
      </w:r>
      <w:r w:rsidR="00B15731" w:rsidRPr="004A47DC">
        <w:rPr>
          <w:rFonts w:ascii="Garamond" w:hAnsi="Garamond"/>
          <w:iCs/>
          <w:color w:val="000000" w:themeColor="text1"/>
        </w:rPr>
        <w:t>,</w:t>
      </w:r>
      <w:r w:rsidRPr="004A47DC">
        <w:rPr>
          <w:rFonts w:ascii="Garamond" w:hAnsi="Garamond"/>
          <w:iCs/>
          <w:color w:val="000000" w:themeColor="text1"/>
        </w:rPr>
        <w:t xml:space="preserve"> aty ku është e aplikueshme</w:t>
      </w:r>
      <w:r w:rsidR="00B15731" w:rsidRPr="004A47DC">
        <w:rPr>
          <w:rFonts w:ascii="Garamond" w:hAnsi="Garamond"/>
          <w:iCs/>
          <w:color w:val="000000" w:themeColor="text1"/>
        </w:rPr>
        <w:t>,</w:t>
      </w:r>
      <w:r w:rsidRPr="004A47DC">
        <w:rPr>
          <w:rFonts w:ascii="Garamond" w:hAnsi="Garamond"/>
          <w:iCs/>
          <w:color w:val="000000" w:themeColor="text1"/>
        </w:rPr>
        <w:t xml:space="preserve"> janë në përputhje me kërkesat ligjore të BE-së. Strategjia Afatmesme e të Ardhurave (SAA) zbatohet, përditësohet rregullisht dhe reformat tatimore menaxhohen në mënyrë adekuate.</w:t>
      </w:r>
    </w:p>
    <w:p w14:paraId="205F437E" w14:textId="7B77DCEF" w:rsidR="00EB5098" w:rsidRPr="004A47DC" w:rsidRDefault="00EB5098" w:rsidP="00EB5098">
      <w:pPr>
        <w:pStyle w:val="N-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lastRenderedPageBreak/>
        <w:t>1. Miratimi formal i Strategjisë Afatmesme të të Ardhurave (SAA), 2024</w:t>
      </w:r>
      <w:r w:rsidR="008F1144" w:rsidRPr="004A47DC">
        <w:rPr>
          <w:rFonts w:ascii="Garamond" w:hAnsi="Garamond"/>
          <w:color w:val="000000" w:themeColor="text1"/>
        </w:rPr>
        <w:t>–</w:t>
      </w:r>
      <w:r w:rsidRPr="004A47DC">
        <w:rPr>
          <w:rFonts w:ascii="Garamond" w:hAnsi="Garamond"/>
          <w:color w:val="000000" w:themeColor="text1"/>
          <w:sz w:val="24"/>
          <w:szCs w:val="24"/>
        </w:rPr>
        <w:t>2027;</w:t>
      </w:r>
    </w:p>
    <w:p w14:paraId="01ACEDE7" w14:textId="1888C8E7"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2. Rritja e kapaciteteve institucionale për të analizuar dhe zhvilluar politikat tatimore dhe për të menaxhuar reformat tatimore;</w:t>
      </w:r>
    </w:p>
    <w:p w14:paraId="622F6213" w14:textId="78AD05DE"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3. Zhvillimi dhe zbatimi i iniciativave për të reduktuar hendekun e pajtueshmërisë me TVSH-në;</w:t>
      </w:r>
    </w:p>
    <w:p w14:paraId="4ED264B8" w14:textId="111F780D"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4. Zhvillimi dhe zbatimi i një qasjeje të integruar për të reduktuar punën e padeklaruar;</w:t>
      </w:r>
    </w:p>
    <w:p w14:paraId="786ED450" w14:textId="523B11FB"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 xml:space="preserve">5. Sigurimi i taksimit të çdo pasurie të pajustifikuar brenda dhe jashtë vendit; </w:t>
      </w:r>
    </w:p>
    <w:p w14:paraId="4ED3E95D" w14:textId="57DFEA7C"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iCs/>
          <w:color w:val="000000" w:themeColor="text1"/>
          <w:sz w:val="24"/>
          <w:szCs w:val="24"/>
        </w:rPr>
        <w:t>6. Përmirësimi i ofrimit të shërbimeve për taksapaguesit;</w:t>
      </w:r>
    </w:p>
    <w:p w14:paraId="32AC68A2" w14:textId="0610F409"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7. Përmirësimi i kadastrës fiskale dhe sistemit të mbledhjes së taksës së pasurisë;</w:t>
      </w:r>
    </w:p>
    <w:p w14:paraId="1B36CC25" w14:textId="5834A46B"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8. Modernizimi i proceseve të biznesit dhe menaxhimit të riskut të Administratës Doganore;</w:t>
      </w:r>
    </w:p>
    <w:p w14:paraId="2042713F" w14:textId="3D18C20F"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9. Zhvillimi i kuadrit të integritetit dhe luftës kundër informalitetit dhe korrupsionit;</w:t>
      </w:r>
    </w:p>
    <w:p w14:paraId="2FFF5481" w14:textId="2B16CE01"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10. Rritja e numrit të Operatorëve Ekonomikë të Autorizuar;</w:t>
      </w:r>
    </w:p>
    <w:p w14:paraId="7159B1CD" w14:textId="62839A8F" w:rsidR="00EB5098" w:rsidRPr="004A47DC" w:rsidRDefault="00EB5098" w:rsidP="00EB5098">
      <w:pPr>
        <w:pStyle w:val="T-bullet"/>
        <w:spacing w:line="240" w:lineRule="auto"/>
        <w:ind w:left="0" w:firstLine="284"/>
        <w:jc w:val="both"/>
        <w:rPr>
          <w:rFonts w:ascii="Garamond" w:hAnsi="Garamond"/>
          <w:iCs/>
          <w:color w:val="000000" w:themeColor="text1"/>
          <w:sz w:val="24"/>
          <w:szCs w:val="24"/>
        </w:rPr>
      </w:pPr>
      <w:r w:rsidRPr="004A47DC">
        <w:rPr>
          <w:rFonts w:ascii="Garamond" w:hAnsi="Garamond"/>
          <w:iCs/>
          <w:color w:val="000000" w:themeColor="text1"/>
          <w:sz w:val="24"/>
          <w:szCs w:val="24"/>
        </w:rPr>
        <w:t xml:space="preserve">11. Zbatimi i </w:t>
      </w:r>
      <w:r w:rsidR="00E33A13" w:rsidRPr="004A47DC">
        <w:rPr>
          <w:rFonts w:ascii="Garamond" w:hAnsi="Garamond"/>
          <w:iCs/>
          <w:color w:val="000000" w:themeColor="text1"/>
          <w:sz w:val="24"/>
          <w:szCs w:val="24"/>
        </w:rPr>
        <w:t>“</w:t>
      </w:r>
      <w:r w:rsidRPr="004A47DC">
        <w:rPr>
          <w:rFonts w:ascii="Garamond" w:hAnsi="Garamond"/>
          <w:iCs/>
          <w:color w:val="000000" w:themeColor="text1"/>
          <w:sz w:val="24"/>
          <w:szCs w:val="24"/>
        </w:rPr>
        <w:t>dritares së vetme kombëtare</w:t>
      </w:r>
      <w:r w:rsidR="00E33A13" w:rsidRPr="004A47DC">
        <w:rPr>
          <w:rFonts w:ascii="Garamond" w:hAnsi="Garamond"/>
          <w:iCs/>
          <w:color w:val="000000" w:themeColor="text1"/>
          <w:sz w:val="24"/>
          <w:szCs w:val="24"/>
        </w:rPr>
        <w:t>”</w:t>
      </w:r>
      <w:r w:rsidRPr="004A47DC">
        <w:rPr>
          <w:rFonts w:ascii="Garamond" w:hAnsi="Garamond"/>
          <w:iCs/>
          <w:color w:val="000000" w:themeColor="text1"/>
          <w:sz w:val="24"/>
          <w:szCs w:val="24"/>
        </w:rPr>
        <w:t>;</w:t>
      </w:r>
    </w:p>
    <w:p w14:paraId="1906F69E" w14:textId="5437860A"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12. Përmirësimi i përdorimit të Sistemit të Ri të Kompjuterizuar të Transitit</w:t>
      </w:r>
      <w:r w:rsidR="00B15731" w:rsidRPr="004A47DC">
        <w:rPr>
          <w:rFonts w:ascii="Garamond" w:hAnsi="Garamond"/>
          <w:iCs/>
          <w:color w:val="000000" w:themeColor="text1"/>
        </w:rPr>
        <w:t>.</w:t>
      </w:r>
    </w:p>
    <w:p w14:paraId="3358566D" w14:textId="3EB130F3"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 xml:space="preserve">Shtylla 4: Kontabiliteti dhe </w:t>
      </w:r>
      <w:r w:rsidR="00610D03" w:rsidRPr="004A47DC">
        <w:rPr>
          <w:rFonts w:ascii="Garamond" w:hAnsi="Garamond" w:cs="Arial"/>
          <w:b w:val="0"/>
          <w:i/>
          <w:iCs/>
          <w:color w:val="000000" w:themeColor="text1"/>
          <w:sz w:val="24"/>
          <w:szCs w:val="24"/>
        </w:rPr>
        <w:t xml:space="preserve">Menaxhimi </w:t>
      </w:r>
      <w:r w:rsidR="00B15731" w:rsidRPr="004A47DC">
        <w:rPr>
          <w:rFonts w:ascii="Garamond" w:hAnsi="Garamond" w:cs="Arial"/>
          <w:b w:val="0"/>
          <w:i/>
          <w:iCs/>
          <w:color w:val="000000" w:themeColor="text1"/>
          <w:sz w:val="24"/>
          <w:szCs w:val="24"/>
        </w:rPr>
        <w:t xml:space="preserve">i </w:t>
      </w:r>
      <w:r w:rsidR="00610D03" w:rsidRPr="004A47DC">
        <w:rPr>
          <w:rFonts w:ascii="Garamond" w:hAnsi="Garamond" w:cs="Arial"/>
          <w:b w:val="0"/>
          <w:i/>
          <w:iCs/>
          <w:color w:val="000000" w:themeColor="text1"/>
          <w:sz w:val="24"/>
          <w:szCs w:val="24"/>
        </w:rPr>
        <w:t xml:space="preserve">Zbatimit </w:t>
      </w:r>
      <w:r w:rsidR="00B15731" w:rsidRPr="004A47DC">
        <w:rPr>
          <w:rFonts w:ascii="Garamond" w:hAnsi="Garamond" w:cs="Arial"/>
          <w:b w:val="0"/>
          <w:i/>
          <w:iCs/>
          <w:color w:val="000000" w:themeColor="text1"/>
          <w:sz w:val="24"/>
          <w:szCs w:val="24"/>
        </w:rPr>
        <w:t xml:space="preserve">të </w:t>
      </w:r>
      <w:r w:rsidR="00610D03" w:rsidRPr="004A47DC">
        <w:rPr>
          <w:rFonts w:ascii="Garamond" w:hAnsi="Garamond" w:cs="Arial"/>
          <w:b w:val="0"/>
          <w:i/>
          <w:iCs/>
          <w:color w:val="000000" w:themeColor="text1"/>
          <w:sz w:val="24"/>
          <w:szCs w:val="24"/>
        </w:rPr>
        <w:t>Buxhetit</w:t>
      </w:r>
    </w:p>
    <w:p w14:paraId="5EF85B01" w14:textId="77777777"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Praktikat e menaxhimit të zbatimit të buxhetit janë forcuar, duke përfshirë përmirësimin dhe rritjen e përdorimit të Sistemit Informativ Financiar Qeveritar (SIFQ), zbatimin e reformave të Standardeve Ndërkombëtare të Kontabilitetit Publik, duke lehtësuar kalimin në kontabilitetin në bazë të drejtash dhe detyrimesh të konstatuara. Sistemet e prokurimit janë përmirësuar dhe në veçanti është siguruar pajtueshmëria me legjislacionin e prokurimit. Praktikat e menaxhimit të borxhit dhe parasë janë përmirësuar më tej dhe sistemet e menaxhimit të aseteve janë përmirësuar.</w:t>
      </w:r>
    </w:p>
    <w:p w14:paraId="2E9468B6" w14:textId="11C5B95F" w:rsidR="00EB5098" w:rsidRPr="004A47DC" w:rsidRDefault="00EB5098" w:rsidP="00EB5098">
      <w:pPr>
        <w:pStyle w:val="ListParagraph"/>
        <w:ind w:left="0" w:firstLine="284"/>
        <w:jc w:val="both"/>
        <w:rPr>
          <w:rFonts w:ascii="Garamond" w:hAnsi="Garamond"/>
          <w:iCs/>
          <w:color w:val="000000" w:themeColor="text1"/>
        </w:rPr>
      </w:pPr>
      <w:r w:rsidRPr="004A47DC">
        <w:rPr>
          <w:rFonts w:ascii="Garamond" w:hAnsi="Garamond"/>
          <w:iCs/>
          <w:color w:val="000000" w:themeColor="text1"/>
        </w:rPr>
        <w:t>1. Përmirësimi i mëtejshëm i statistikave SFQ dhe PDT me standardet e BE-së (SELL 2010);</w:t>
      </w:r>
    </w:p>
    <w:p w14:paraId="0E81CCFC" w14:textId="49536E11"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2. Rritja e aksesit dhe përdorimit të SIFQ</w:t>
      </w:r>
      <w:r w:rsidR="00B15731" w:rsidRPr="004A47DC">
        <w:rPr>
          <w:rFonts w:ascii="Garamond" w:hAnsi="Garamond"/>
          <w:color w:val="000000" w:themeColor="text1"/>
          <w:sz w:val="24"/>
          <w:szCs w:val="24"/>
        </w:rPr>
        <w:t>-së</w:t>
      </w:r>
      <w:r w:rsidRPr="004A47DC">
        <w:rPr>
          <w:rFonts w:ascii="Garamond" w:hAnsi="Garamond"/>
          <w:color w:val="000000" w:themeColor="text1"/>
          <w:sz w:val="24"/>
          <w:szCs w:val="24"/>
        </w:rPr>
        <w:t>;</w:t>
      </w:r>
    </w:p>
    <w:p w14:paraId="24A1A23C" w14:textId="303563CE"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3. Zhvillimi i kuadrit ligjor dhe rregullator për reformat e kontabilitetit;</w:t>
      </w:r>
    </w:p>
    <w:p w14:paraId="67D9A499" w14:textId="4182CA7F"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4. Përmirësimi i funksionaliteteve të SIFQ</w:t>
      </w:r>
      <w:r w:rsidR="00B15731" w:rsidRPr="004A47DC">
        <w:rPr>
          <w:rFonts w:ascii="Garamond" w:hAnsi="Garamond"/>
          <w:color w:val="000000" w:themeColor="text1"/>
          <w:sz w:val="24"/>
          <w:szCs w:val="24"/>
        </w:rPr>
        <w:t>-së</w:t>
      </w:r>
      <w:r w:rsidRPr="004A47DC">
        <w:rPr>
          <w:rFonts w:ascii="Garamond" w:hAnsi="Garamond"/>
          <w:color w:val="000000" w:themeColor="text1"/>
          <w:sz w:val="24"/>
          <w:szCs w:val="24"/>
        </w:rPr>
        <w:t xml:space="preserve"> për të absorbuar reformat e kontabilitetit;</w:t>
      </w:r>
    </w:p>
    <w:p w14:paraId="238C6264" w14:textId="67B48BD5"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5. Përgatitja, ofrimi dhe institucionalizimi i zhvillimit të kapaciteteve të kontabilistëve për të absorbuar reformat e kontabilitetit</w:t>
      </w:r>
      <w:r w:rsidR="00B15731" w:rsidRPr="004A47DC">
        <w:rPr>
          <w:rFonts w:ascii="Garamond" w:hAnsi="Garamond"/>
          <w:color w:val="000000" w:themeColor="text1"/>
          <w:sz w:val="24"/>
          <w:szCs w:val="24"/>
        </w:rPr>
        <w:t>;</w:t>
      </w:r>
    </w:p>
    <w:p w14:paraId="5BA763E1" w14:textId="622DF93D"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6. Përmirësimi i cilësisë dhe efic</w:t>
      </w:r>
      <w:r w:rsidR="00B7021B" w:rsidRPr="004A47DC">
        <w:rPr>
          <w:rFonts w:ascii="Garamond" w:hAnsi="Garamond"/>
          <w:color w:val="000000" w:themeColor="text1"/>
          <w:sz w:val="24"/>
          <w:szCs w:val="24"/>
        </w:rPr>
        <w:t>i</w:t>
      </w:r>
      <w:r w:rsidRPr="004A47DC">
        <w:rPr>
          <w:rFonts w:ascii="Garamond" w:hAnsi="Garamond"/>
          <w:color w:val="000000" w:themeColor="text1"/>
          <w:sz w:val="24"/>
          <w:szCs w:val="24"/>
        </w:rPr>
        <w:t>encës në procedurat e prokurimit;</w:t>
      </w:r>
    </w:p>
    <w:p w14:paraId="3FAF8881" w14:textId="1D242BF9"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7. Hartimi dhe zbatimi i prokurimit publik të gjelbër;</w:t>
      </w:r>
    </w:p>
    <w:p w14:paraId="4C148791" w14:textId="0FC27E4F"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8. Rritja e efi</w:t>
      </w:r>
      <w:r w:rsidR="00B7021B" w:rsidRPr="004A47DC">
        <w:rPr>
          <w:rFonts w:ascii="Garamond" w:hAnsi="Garamond"/>
          <w:color w:val="000000" w:themeColor="text1"/>
          <w:sz w:val="24"/>
          <w:szCs w:val="24"/>
        </w:rPr>
        <w:t>ci</w:t>
      </w:r>
      <w:r w:rsidRPr="004A47DC">
        <w:rPr>
          <w:rFonts w:ascii="Garamond" w:hAnsi="Garamond"/>
          <w:color w:val="000000" w:themeColor="text1"/>
          <w:sz w:val="24"/>
          <w:szCs w:val="24"/>
        </w:rPr>
        <w:t xml:space="preserve">encës </w:t>
      </w:r>
      <w:r w:rsidR="00B15731" w:rsidRPr="004A47DC">
        <w:rPr>
          <w:rFonts w:ascii="Garamond" w:hAnsi="Garamond"/>
          <w:color w:val="000000" w:themeColor="text1"/>
          <w:sz w:val="24"/>
          <w:szCs w:val="24"/>
        </w:rPr>
        <w:t>s</w:t>
      </w:r>
      <w:r w:rsidRPr="004A47DC">
        <w:rPr>
          <w:rFonts w:ascii="Garamond" w:hAnsi="Garamond"/>
          <w:color w:val="000000" w:themeColor="text1"/>
          <w:sz w:val="24"/>
          <w:szCs w:val="24"/>
        </w:rPr>
        <w:t>ë sistemit të shqyrtimit të ankesave duke rritur shpejtësinë e vendimmarrjes;</w:t>
      </w:r>
    </w:p>
    <w:p w14:paraId="4AA1A330" w14:textId="0D837022"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9. Përmirësimi i kuadrit ligjor dhe institucional për koncesionet dhe partneritetin publik-privat.</w:t>
      </w:r>
    </w:p>
    <w:p w14:paraId="35FE364A" w14:textId="4CDBAC57"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 xml:space="preserve">10. Forcimi i raportimit mbi menaxhimin e borxhit dhe marrëdhënieve me investitorët; </w:t>
      </w:r>
    </w:p>
    <w:p w14:paraId="74758427" w14:textId="254BAE7C"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11. Zhvillimi i një kuadri gjithëpërfshirës për dhënien e garancive dhe nënhuave;</w:t>
      </w:r>
    </w:p>
    <w:p w14:paraId="5B5BD31D" w14:textId="74FE5E01"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 xml:space="preserve">12. Fillimi i zhvillimit gradualisht të vlerësimit të nevojshëm për instrumente të reja alternative të financimit (të </w:t>
      </w:r>
      <w:r w:rsidR="00B15731" w:rsidRPr="004A47DC">
        <w:rPr>
          <w:rFonts w:ascii="Garamond" w:hAnsi="Garamond"/>
          <w:color w:val="000000" w:themeColor="text1"/>
          <w:sz w:val="24"/>
          <w:szCs w:val="24"/>
        </w:rPr>
        <w:t xml:space="preserve">gjelbër, socialë, të qëndrueshmërisë </w:t>
      </w:r>
      <w:r w:rsidRPr="004A47DC">
        <w:rPr>
          <w:rFonts w:ascii="Garamond" w:hAnsi="Garamond"/>
          <w:color w:val="000000" w:themeColor="text1"/>
          <w:sz w:val="24"/>
          <w:szCs w:val="24"/>
        </w:rPr>
        <w:t>ose instrumente të tjera)</w:t>
      </w:r>
      <w:r w:rsidR="00B15731" w:rsidRPr="004A47DC">
        <w:rPr>
          <w:rFonts w:ascii="Garamond" w:hAnsi="Garamond"/>
          <w:color w:val="000000" w:themeColor="text1"/>
          <w:sz w:val="24"/>
          <w:szCs w:val="24"/>
        </w:rPr>
        <w:t>;</w:t>
      </w:r>
    </w:p>
    <w:p w14:paraId="6CBEDE9E" w14:textId="2CADDCC9"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13. Përmirësimi i procesit të parashikimit të likuiditetit</w:t>
      </w:r>
      <w:r w:rsidR="00B15731" w:rsidRPr="004A47DC">
        <w:rPr>
          <w:rFonts w:ascii="Garamond" w:hAnsi="Garamond"/>
          <w:color w:val="000000" w:themeColor="text1"/>
          <w:sz w:val="24"/>
          <w:szCs w:val="24"/>
        </w:rPr>
        <w:t>;</w:t>
      </w:r>
    </w:p>
    <w:p w14:paraId="716F407E" w14:textId="6BAA9E92"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14. Prezantimi i një sistemi gjithëpërfshirës të monitorimit të performancës për parashikimin e likuiditetit</w:t>
      </w:r>
      <w:r w:rsidR="00B15731" w:rsidRPr="004A47DC">
        <w:rPr>
          <w:rFonts w:ascii="Garamond" w:hAnsi="Garamond"/>
          <w:color w:val="000000" w:themeColor="text1"/>
          <w:sz w:val="24"/>
          <w:szCs w:val="24"/>
        </w:rPr>
        <w:t>;</w:t>
      </w:r>
    </w:p>
    <w:p w14:paraId="540A0D98" w14:textId="0234B058"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15. Përmirësimi i instrumenteve të menaxhimit të likuiditetit</w:t>
      </w:r>
      <w:r w:rsidR="00B15731" w:rsidRPr="004A47DC">
        <w:rPr>
          <w:rFonts w:ascii="Garamond" w:hAnsi="Garamond"/>
          <w:color w:val="000000" w:themeColor="text1"/>
          <w:sz w:val="24"/>
          <w:szCs w:val="24"/>
        </w:rPr>
        <w:t>;</w:t>
      </w:r>
    </w:p>
    <w:p w14:paraId="20B868BF" w14:textId="2E6AEE53"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16. Finalizimi i reformës për regjistrimin e aseteve për qëllime kontabiliteti.</w:t>
      </w:r>
    </w:p>
    <w:p w14:paraId="0B2A683A" w14:textId="77777777"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Shtylla 5: Kontrolli i Brendshëm Financiar Publik</w:t>
      </w:r>
    </w:p>
    <w:p w14:paraId="74ED1DA2" w14:textId="5FFA5AC9"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Sistemet për Kontrollin e Brendshëm Financiar Publik janë përmirësuar më tej</w:t>
      </w:r>
      <w:r w:rsidR="00610D03" w:rsidRPr="004A47DC">
        <w:rPr>
          <w:rFonts w:ascii="Garamond" w:hAnsi="Garamond"/>
          <w:iCs/>
          <w:color w:val="000000" w:themeColor="text1"/>
        </w:rPr>
        <w:t>,</w:t>
      </w:r>
      <w:r w:rsidRPr="004A47DC">
        <w:rPr>
          <w:rFonts w:ascii="Garamond" w:hAnsi="Garamond"/>
          <w:iCs/>
          <w:color w:val="000000" w:themeColor="text1"/>
        </w:rPr>
        <w:t xml:space="preserve"> në përputhje me praktikat e pranuara nga BE-ja për menaxhim të shëndoshë financiar. Koncepti i llogaridhënies menaxheriale dhe delegimit të autoriteteve është forcuar dhe janë adresuar të gjitha mangësitë e Menaxhimit Financiar dhe Kontrollit në institucionet publike. Auditimet e brendshme me vlerë të shtuar zbatohen në të gjitha institucionet publike</w:t>
      </w:r>
      <w:r w:rsidR="00610D03" w:rsidRPr="004A47DC">
        <w:rPr>
          <w:rFonts w:ascii="Garamond" w:hAnsi="Garamond"/>
          <w:iCs/>
          <w:color w:val="000000" w:themeColor="text1"/>
        </w:rPr>
        <w:t>,</w:t>
      </w:r>
      <w:r w:rsidRPr="004A47DC">
        <w:rPr>
          <w:rFonts w:ascii="Garamond" w:hAnsi="Garamond"/>
          <w:iCs/>
          <w:color w:val="000000" w:themeColor="text1"/>
        </w:rPr>
        <w:t xml:space="preserve"> në përputhje me standardet në fuqi. Rastet e mashtrimit dhe parregullsive trajtohen në mënyrë efektive nga inspektimi financiar publik dhe rrjeti i shërbimit të koordinimit kundër mashtrimit (AFCOS) zbaton strategjinë kundër mashtrimit. Janë krijuar sisteme adekuate të menaxhimit financiar për të absorbuar mbështetjen financiare të IPA-III dhe të ardhshme të BE-së.</w:t>
      </w:r>
    </w:p>
    <w:p w14:paraId="7DA792A0" w14:textId="264E4E34"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 Përmirësimi i kuadrit ligjor dhe rregullator për MFK-në;</w:t>
      </w:r>
    </w:p>
    <w:p w14:paraId="20B101DB" w14:textId="12CA7AE2"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2. Përmirësimi i llogaridhënies menaxheriale në institucionet publike;</w:t>
      </w:r>
    </w:p>
    <w:p w14:paraId="41A1009B" w14:textId="2723DC00"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3. Forcimi i praktikave të Menaxhimit të Riskut;</w:t>
      </w:r>
    </w:p>
    <w:p w14:paraId="58A1102D" w14:textId="3151A373"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4. Përmirësimi i vlerësimit dhe përmirësimit të cilësisë së MFK-së në institucionet publike</w:t>
      </w:r>
      <w:r w:rsidR="00610D03" w:rsidRPr="004A47DC">
        <w:rPr>
          <w:rFonts w:ascii="Garamond" w:hAnsi="Garamond"/>
          <w:color w:val="000000" w:themeColor="text1"/>
          <w:sz w:val="24"/>
          <w:szCs w:val="24"/>
        </w:rPr>
        <w:t>;</w:t>
      </w:r>
    </w:p>
    <w:p w14:paraId="35F66E55" w14:textId="55FE683F"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 xml:space="preserve">5. </w:t>
      </w:r>
      <w:r w:rsidRPr="004A47DC">
        <w:rPr>
          <w:rFonts w:ascii="Garamond" w:hAnsi="Garamond" w:cs="Times New Roman"/>
          <w:color w:val="000000" w:themeColor="text1"/>
          <w:sz w:val="24"/>
          <w:szCs w:val="24"/>
        </w:rPr>
        <w:t>Vazhdimi i mbikëqyrjes dhe zgjerimi i shërbimeve mbështetëse për institucionet publike dhe ekipet e auditimit të brendshëm</w:t>
      </w:r>
      <w:r w:rsidRPr="004A47DC">
        <w:rPr>
          <w:rFonts w:ascii="Garamond" w:hAnsi="Garamond"/>
          <w:color w:val="000000" w:themeColor="text1"/>
          <w:sz w:val="24"/>
          <w:szCs w:val="24"/>
        </w:rPr>
        <w:t>;</w:t>
      </w:r>
    </w:p>
    <w:p w14:paraId="49F38081" w14:textId="03252EAD"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6. Profesionalizimi i praktikave thelbësore të auditimit të brendshëm përmes zhvillimit të udhëzimeve dhe ofrimit të aktiviteteve për ngritjen e kapaciteteve</w:t>
      </w:r>
      <w:r w:rsidR="00610D03" w:rsidRPr="004A47DC">
        <w:rPr>
          <w:rFonts w:ascii="Garamond" w:hAnsi="Garamond"/>
          <w:color w:val="000000" w:themeColor="text1"/>
          <w:sz w:val="24"/>
          <w:szCs w:val="24"/>
        </w:rPr>
        <w:t>;</w:t>
      </w:r>
    </w:p>
    <w:p w14:paraId="1D95B599" w14:textId="6766C5FD"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7. R</w:t>
      </w:r>
      <w:r w:rsidRPr="004A47DC">
        <w:rPr>
          <w:rFonts w:ascii="Garamond" w:hAnsi="Garamond" w:cs="Times New Roman"/>
          <w:color w:val="000000" w:themeColor="text1"/>
          <w:sz w:val="24"/>
          <w:szCs w:val="24"/>
        </w:rPr>
        <w:t>ritja e bashkëpunimit me Auditimin e Brendshëm dhe KLSH</w:t>
      </w:r>
      <w:r w:rsidR="00B7021B" w:rsidRPr="004A47DC">
        <w:rPr>
          <w:rFonts w:ascii="Garamond" w:hAnsi="Garamond" w:cs="Times New Roman"/>
          <w:color w:val="000000" w:themeColor="text1"/>
          <w:sz w:val="24"/>
          <w:szCs w:val="24"/>
        </w:rPr>
        <w:t>-në</w:t>
      </w:r>
      <w:r w:rsidRPr="004A47DC">
        <w:rPr>
          <w:rFonts w:ascii="Garamond" w:hAnsi="Garamond"/>
          <w:color w:val="000000" w:themeColor="text1"/>
          <w:sz w:val="24"/>
          <w:szCs w:val="24"/>
        </w:rPr>
        <w:t>;</w:t>
      </w:r>
    </w:p>
    <w:p w14:paraId="1364752B" w14:textId="550AD793"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 xml:space="preserve">8. </w:t>
      </w:r>
      <w:r w:rsidRPr="004A47DC">
        <w:rPr>
          <w:rFonts w:ascii="Garamond" w:hAnsi="Garamond" w:cs="Times New Roman"/>
          <w:color w:val="000000" w:themeColor="text1"/>
          <w:sz w:val="24"/>
          <w:szCs w:val="24"/>
        </w:rPr>
        <w:t>Koordinimi i hartimit dhe monitorimit të Strategjisë Kombëtare Kundër Mashtrimit për mbrojtjen e interesave financiare të BE-së</w:t>
      </w:r>
      <w:r w:rsidRPr="004A47DC">
        <w:rPr>
          <w:rFonts w:ascii="Garamond" w:hAnsi="Garamond"/>
          <w:color w:val="000000" w:themeColor="text1"/>
          <w:sz w:val="24"/>
          <w:szCs w:val="24"/>
        </w:rPr>
        <w:t>.</w:t>
      </w:r>
    </w:p>
    <w:p w14:paraId="0FEFAA25" w14:textId="535468F8"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 xml:space="preserve">9. </w:t>
      </w:r>
      <w:r w:rsidRPr="004A47DC">
        <w:rPr>
          <w:rFonts w:ascii="Garamond" w:hAnsi="Garamond" w:cs="Times New Roman"/>
          <w:color w:val="000000" w:themeColor="text1"/>
          <w:sz w:val="24"/>
          <w:szCs w:val="24"/>
        </w:rPr>
        <w:t>Krijimi i kuadrit ligjor IPA III</w:t>
      </w:r>
      <w:r w:rsidRPr="004A47DC">
        <w:rPr>
          <w:rFonts w:ascii="Garamond" w:hAnsi="Garamond"/>
          <w:color w:val="000000" w:themeColor="text1"/>
          <w:sz w:val="24"/>
          <w:szCs w:val="24"/>
        </w:rPr>
        <w:t>;</w:t>
      </w:r>
    </w:p>
    <w:p w14:paraId="785F17C4" w14:textId="427EB798"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10. Zhvillimi dhe zbatimi i rregulloreve, procedurave për menaxhimin e IPA III dhe rritja e kapaciteteve të strukturave të IPA III;</w:t>
      </w:r>
    </w:p>
    <w:p w14:paraId="731FC199" w14:textId="4ED44CC5" w:rsidR="00EB5098" w:rsidRPr="004A47DC" w:rsidRDefault="00EB5098" w:rsidP="00EB5098">
      <w:pPr>
        <w:pStyle w:val="T-bullet"/>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11. Përmirësimi i procedurave të rregullimit financiar dhe/ose rikuperimit për fondet e BE-së në përputhje me kërkesat ligjore kombëtare dhe IPA III;</w:t>
      </w:r>
    </w:p>
    <w:p w14:paraId="2452ED1D" w14:textId="447C508E"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12. Marrja parasysh e kërkesave të ardhshme për menaxhimin e fondeve të BE-së pas anëtarësimit dhe zhvillimi i një plani veprimi, në kuadër të kapitullit 22, i cili do të përcaktojë nevojat për përmirësimin e kuadrit ligjor të menaxhimit të fondeve</w:t>
      </w:r>
      <w:r w:rsidR="00610D03" w:rsidRPr="004A47DC">
        <w:rPr>
          <w:rFonts w:ascii="Garamond" w:hAnsi="Garamond"/>
          <w:color w:val="000000" w:themeColor="text1"/>
        </w:rPr>
        <w:t>;</w:t>
      </w:r>
    </w:p>
    <w:p w14:paraId="1C5F45FB" w14:textId="42EED877" w:rsidR="00EB5098" w:rsidRPr="004A47DC" w:rsidRDefault="00EB5098" w:rsidP="00EB5098">
      <w:pPr>
        <w:pStyle w:val="ListParagraph"/>
        <w:ind w:left="0" w:firstLine="284"/>
        <w:jc w:val="both"/>
        <w:rPr>
          <w:rFonts w:ascii="Garamond" w:hAnsi="Garamond"/>
          <w:color w:val="000000" w:themeColor="text1"/>
        </w:rPr>
      </w:pPr>
      <w:r w:rsidRPr="004A47DC">
        <w:rPr>
          <w:rFonts w:ascii="Garamond" w:hAnsi="Garamond"/>
          <w:color w:val="000000" w:themeColor="text1"/>
        </w:rPr>
        <w:t>13. Zhvillimi i opsioneve të thjeshtuara të kostos (SCO)</w:t>
      </w:r>
      <w:r w:rsidR="00610D03" w:rsidRPr="004A47DC">
        <w:rPr>
          <w:rFonts w:ascii="Garamond" w:hAnsi="Garamond"/>
          <w:color w:val="000000" w:themeColor="text1"/>
        </w:rPr>
        <w:t>.</w:t>
      </w:r>
    </w:p>
    <w:p w14:paraId="101ED320" w14:textId="77777777" w:rsidR="00EB5098" w:rsidRPr="004A47DC" w:rsidRDefault="00EB5098" w:rsidP="00EB5098">
      <w:pPr>
        <w:pStyle w:val="N-Bold"/>
        <w:spacing w:line="240" w:lineRule="auto"/>
        <w:ind w:firstLine="284"/>
        <w:jc w:val="both"/>
        <w:rPr>
          <w:rFonts w:ascii="Garamond" w:hAnsi="Garamond" w:cs="Arial"/>
          <w:b w:val="0"/>
          <w:i/>
          <w:iCs/>
          <w:color w:val="000000" w:themeColor="text1"/>
          <w:sz w:val="24"/>
          <w:szCs w:val="24"/>
        </w:rPr>
      </w:pPr>
      <w:r w:rsidRPr="004A47DC">
        <w:rPr>
          <w:rFonts w:ascii="Garamond" w:hAnsi="Garamond" w:cs="Arial"/>
          <w:b w:val="0"/>
          <w:i/>
          <w:iCs/>
          <w:color w:val="000000" w:themeColor="text1"/>
          <w:sz w:val="24"/>
          <w:szCs w:val="24"/>
        </w:rPr>
        <w:t>Shtylla 6: Mbikëqyrja e Jashtme</w:t>
      </w:r>
    </w:p>
    <w:p w14:paraId="099625E1" w14:textId="128723B7" w:rsidR="00EB5098" w:rsidRPr="004A47DC" w:rsidRDefault="00EB5098" w:rsidP="00EB5098">
      <w:pPr>
        <w:ind w:firstLine="284"/>
        <w:jc w:val="both"/>
        <w:rPr>
          <w:rFonts w:ascii="Garamond" w:hAnsi="Garamond"/>
          <w:iCs/>
          <w:color w:val="000000" w:themeColor="text1"/>
        </w:rPr>
      </w:pPr>
      <w:r w:rsidRPr="004A47DC">
        <w:rPr>
          <w:rFonts w:ascii="Garamond" w:hAnsi="Garamond"/>
          <w:iCs/>
          <w:color w:val="000000" w:themeColor="text1"/>
        </w:rPr>
        <w:t>Funksioni i pavarur i Kontrollit të Lartë është profesionalizuar më tej</w:t>
      </w:r>
      <w:r w:rsidR="00610D03" w:rsidRPr="004A47DC">
        <w:rPr>
          <w:rFonts w:ascii="Garamond" w:hAnsi="Garamond"/>
          <w:iCs/>
          <w:color w:val="000000" w:themeColor="text1"/>
        </w:rPr>
        <w:t>,</w:t>
      </w:r>
      <w:r w:rsidRPr="004A47DC">
        <w:rPr>
          <w:rFonts w:ascii="Garamond" w:hAnsi="Garamond"/>
          <w:iCs/>
          <w:color w:val="000000" w:themeColor="text1"/>
        </w:rPr>
        <w:t xml:space="preserve"> në përputhje me parimet e ONISA-s dhe standardet ndërkombëtare të auditimit</w:t>
      </w:r>
      <w:r w:rsidR="00610D03" w:rsidRPr="004A47DC">
        <w:rPr>
          <w:rFonts w:ascii="Garamond" w:hAnsi="Garamond"/>
          <w:iCs/>
          <w:color w:val="000000" w:themeColor="text1"/>
        </w:rPr>
        <w:t>,</w:t>
      </w:r>
      <w:r w:rsidRPr="004A47DC">
        <w:rPr>
          <w:rFonts w:ascii="Garamond" w:hAnsi="Garamond"/>
          <w:iCs/>
          <w:color w:val="000000" w:themeColor="text1"/>
        </w:rPr>
        <w:t xml:space="preserve"> dhe funksioni mbështetës për parlamentin është forcuar për </w:t>
      </w:r>
      <w:r w:rsidR="001415B2" w:rsidRPr="004A47DC">
        <w:rPr>
          <w:rFonts w:ascii="Garamond" w:hAnsi="Garamond"/>
          <w:iCs/>
          <w:color w:val="000000" w:themeColor="text1"/>
        </w:rPr>
        <w:t>t</w:t>
      </w:r>
      <w:r w:rsidR="00CE6AE5" w:rsidRPr="004A47DC">
        <w:rPr>
          <w:rFonts w:ascii="Garamond" w:hAnsi="Garamond"/>
          <w:iCs/>
          <w:color w:val="000000" w:themeColor="text1"/>
        </w:rPr>
        <w:t>’</w:t>
      </w:r>
      <w:r w:rsidR="001415B2" w:rsidRPr="004A47DC">
        <w:rPr>
          <w:rFonts w:ascii="Garamond" w:hAnsi="Garamond"/>
          <w:iCs/>
          <w:color w:val="000000" w:themeColor="text1"/>
        </w:rPr>
        <w:t xml:space="preserve">i </w:t>
      </w:r>
      <w:r w:rsidRPr="004A47DC">
        <w:rPr>
          <w:rFonts w:ascii="Garamond" w:hAnsi="Garamond"/>
          <w:iCs/>
          <w:color w:val="000000" w:themeColor="text1"/>
        </w:rPr>
        <w:t>mundësuar Komisionit Parlamentar për Ekonominë dhe Financat të zbatojë në mënyrë adekuate rolin e tij mbikëqyrës.</w:t>
      </w:r>
    </w:p>
    <w:p w14:paraId="5B6C6B9D" w14:textId="6C0905CF"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1. Përmirësimi i mëtejshëm i kuadrit metodologjik ligjor, rregullator dhe fleksibël dhe zgjerimi i përdorimit të mjeteve të auditimit;</w:t>
      </w:r>
    </w:p>
    <w:p w14:paraId="6969597F" w14:textId="5EBFADDE" w:rsidR="00EB5098" w:rsidRPr="004A47DC" w:rsidRDefault="00EB5098" w:rsidP="00EB5098">
      <w:pPr>
        <w:pStyle w:val="T-Bullet0"/>
        <w:spacing w:line="240" w:lineRule="auto"/>
        <w:ind w:left="0" w:firstLine="284"/>
        <w:jc w:val="both"/>
        <w:rPr>
          <w:rFonts w:ascii="Garamond" w:hAnsi="Garamond"/>
          <w:color w:val="000000" w:themeColor="text1"/>
          <w:sz w:val="24"/>
          <w:szCs w:val="24"/>
        </w:rPr>
      </w:pPr>
      <w:r w:rsidRPr="004A47DC">
        <w:rPr>
          <w:rFonts w:ascii="Garamond" w:hAnsi="Garamond"/>
          <w:color w:val="000000" w:themeColor="text1"/>
          <w:sz w:val="24"/>
          <w:szCs w:val="24"/>
        </w:rPr>
        <w:t>2. Profesionalizimi i raportimit dhe komunikimit</w:t>
      </w:r>
      <w:r w:rsidR="00610D03" w:rsidRPr="004A47DC">
        <w:rPr>
          <w:rFonts w:ascii="Garamond" w:hAnsi="Garamond"/>
          <w:color w:val="000000" w:themeColor="text1"/>
          <w:sz w:val="24"/>
          <w:szCs w:val="24"/>
        </w:rPr>
        <w:t>,</w:t>
      </w:r>
      <w:r w:rsidRPr="004A47DC">
        <w:rPr>
          <w:rFonts w:ascii="Garamond" w:hAnsi="Garamond"/>
          <w:color w:val="000000" w:themeColor="text1"/>
          <w:sz w:val="24"/>
          <w:szCs w:val="24"/>
        </w:rPr>
        <w:t xml:space="preserve"> në përputhje me strategjinë e komunikimit dhe parimet</w:t>
      </w:r>
      <w:r w:rsidR="00610D03" w:rsidRPr="004A47DC">
        <w:rPr>
          <w:rFonts w:ascii="Garamond" w:hAnsi="Garamond"/>
          <w:color w:val="000000" w:themeColor="text1"/>
          <w:sz w:val="24"/>
          <w:szCs w:val="24"/>
        </w:rPr>
        <w:t>,</w:t>
      </w:r>
      <w:r w:rsidRPr="004A47DC">
        <w:rPr>
          <w:rFonts w:ascii="Garamond" w:hAnsi="Garamond"/>
          <w:color w:val="000000" w:themeColor="text1"/>
          <w:sz w:val="24"/>
          <w:szCs w:val="24"/>
        </w:rPr>
        <w:t xml:space="preserve"> dhe standardet përkatëse</w:t>
      </w:r>
      <w:r w:rsidR="00610D03" w:rsidRPr="004A47DC">
        <w:rPr>
          <w:rFonts w:ascii="Garamond" w:hAnsi="Garamond"/>
          <w:color w:val="000000" w:themeColor="text1"/>
          <w:sz w:val="24"/>
          <w:szCs w:val="24"/>
        </w:rPr>
        <w:t>;</w:t>
      </w:r>
    </w:p>
    <w:p w14:paraId="099B59D2" w14:textId="77821966" w:rsidR="00EB5098" w:rsidRPr="004A47DC" w:rsidRDefault="00EB5098" w:rsidP="00EB5098">
      <w:pPr>
        <w:pStyle w:val="ListParagraph"/>
        <w:ind w:left="0" w:firstLine="284"/>
        <w:jc w:val="both"/>
        <w:rPr>
          <w:rFonts w:ascii="Garamond" w:hAnsi="Garamond"/>
          <w:i/>
          <w:iCs/>
          <w:color w:val="000000" w:themeColor="text1"/>
        </w:rPr>
      </w:pPr>
      <w:r w:rsidRPr="004A47DC">
        <w:rPr>
          <w:rFonts w:ascii="Garamond" w:hAnsi="Garamond"/>
          <w:color w:val="000000" w:themeColor="text1"/>
        </w:rPr>
        <w:t>3. Profesionalizimi i mëtejshëm i strukturave mbështetëse të Komisionit Parlamentar për Ekonominë dhe Financat.</w:t>
      </w:r>
    </w:p>
    <w:p w14:paraId="58F86FB7" w14:textId="11D62F23" w:rsidR="00165A28" w:rsidRPr="004A47DC" w:rsidRDefault="00165A28" w:rsidP="00EB5098">
      <w:pPr>
        <w:pStyle w:val="TEKSTIII"/>
        <w:rPr>
          <w:color w:val="000000" w:themeColor="text1"/>
        </w:rPr>
      </w:pPr>
    </w:p>
    <w:p w14:paraId="26B27A7C" w14:textId="6CC665FB" w:rsidR="006D45BD" w:rsidRPr="004A47DC" w:rsidRDefault="006D45BD" w:rsidP="006D45BD">
      <w:pPr>
        <w:pStyle w:val="TEKSTIII"/>
        <w:rPr>
          <w:b/>
          <w:color w:val="000000" w:themeColor="text1"/>
        </w:rPr>
      </w:pPr>
      <w:r w:rsidRPr="004A47DC">
        <w:rPr>
          <w:b/>
          <w:color w:val="000000" w:themeColor="text1"/>
        </w:rPr>
        <w:t>1</w:t>
      </w:r>
      <w:r w:rsidR="00B7021B" w:rsidRPr="004A47DC">
        <w:rPr>
          <w:b/>
          <w:color w:val="000000" w:themeColor="text1"/>
        </w:rPr>
        <w:t>.</w:t>
      </w:r>
      <w:r w:rsidRPr="004A47DC">
        <w:rPr>
          <w:b/>
          <w:color w:val="000000" w:themeColor="text1"/>
        </w:rPr>
        <w:t xml:space="preserve"> Hyrje</w:t>
      </w:r>
    </w:p>
    <w:p w14:paraId="49AC1275" w14:textId="2DEAF3AD" w:rsidR="006D45BD" w:rsidRPr="004A47DC" w:rsidRDefault="006D45BD" w:rsidP="006D45BD">
      <w:pPr>
        <w:pStyle w:val="TEKSTIII"/>
        <w:rPr>
          <w:b/>
          <w:color w:val="000000" w:themeColor="text1"/>
        </w:rPr>
      </w:pPr>
      <w:r w:rsidRPr="004A47DC">
        <w:rPr>
          <w:b/>
          <w:color w:val="000000" w:themeColor="text1"/>
        </w:rPr>
        <w:t>1.1 Fusha dhe qëllimi</w:t>
      </w:r>
    </w:p>
    <w:p w14:paraId="4A07BBA1" w14:textId="77777777" w:rsidR="006D45BD" w:rsidRPr="004A47DC" w:rsidRDefault="006D45BD" w:rsidP="006D45BD">
      <w:pPr>
        <w:pStyle w:val="TEKSTIII"/>
        <w:rPr>
          <w:color w:val="000000" w:themeColor="text1"/>
        </w:rPr>
      </w:pPr>
      <w:r w:rsidRPr="004A47DC">
        <w:rPr>
          <w:color w:val="000000" w:themeColor="text1"/>
        </w:rPr>
        <w:t>Shqipëria ka zbatuar me sukses disa reforma të MFP-së gjatë dekadave të fundit. Kjo strategji paraqet një vizion të funksionit të MFP-së deri në vitin 2030 dhe një plan veprimi që identifikon një sërë masash dhe aktivitetesh shoqëruese dhe tregues të performancës për të vazhduar reformat në sistemet e MFP-së deri në vitin 2026. Kjo strategji fokusohet në përmirësimin e sistemeve të MFP-së. Strategjia është plotësisht e harmonizuar me Strategjinë Kombëtare për Zhvillim dhe Integrim Evropian dhe disa strategji të tjera në fushën e qeverisjes së mirë.</w:t>
      </w:r>
    </w:p>
    <w:p w14:paraId="4D40FEA5" w14:textId="38A1FA7A" w:rsidR="006D45BD" w:rsidRPr="004A47DC" w:rsidRDefault="006D45BD" w:rsidP="006D45BD">
      <w:pPr>
        <w:pStyle w:val="TEKSTIII"/>
        <w:rPr>
          <w:color w:val="000000" w:themeColor="text1"/>
        </w:rPr>
      </w:pPr>
      <w:r w:rsidRPr="004A47DC">
        <w:rPr>
          <w:color w:val="000000" w:themeColor="text1"/>
        </w:rPr>
        <w:t>Në përputhje me SKZHIE 2022</w:t>
      </w:r>
      <w:r w:rsidR="00B7021B" w:rsidRPr="004A47DC">
        <w:rPr>
          <w:color w:val="000000" w:themeColor="text1"/>
        </w:rPr>
        <w:t>–</w:t>
      </w:r>
      <w:r w:rsidRPr="004A47DC">
        <w:rPr>
          <w:color w:val="000000" w:themeColor="text1"/>
        </w:rPr>
        <w:t>2030, qëllimi i përgjithshëm është krijimi i një sistemi të menaxhimit të financave publike që garanton transparencë, llogaridhënie, disiplinë fiskale, efikasitet dhe barazi në përdorimin e burimeve publike për ofrimin e shërbimeve publike të përmirësuara dhe zhvillimit ekonomik dhe që siguron një integrim të lehtë të Shqipërisë në Bashkimin Evropian.</w:t>
      </w:r>
    </w:p>
    <w:p w14:paraId="34021EDE" w14:textId="316A8158" w:rsidR="006D45BD" w:rsidRPr="004A47DC" w:rsidRDefault="006D45BD" w:rsidP="006D45BD">
      <w:pPr>
        <w:pStyle w:val="TEKSTIII"/>
        <w:rPr>
          <w:color w:val="000000" w:themeColor="text1"/>
        </w:rPr>
      </w:pPr>
      <w:r w:rsidRPr="004A47DC">
        <w:rPr>
          <w:color w:val="000000" w:themeColor="text1"/>
        </w:rPr>
        <w:t>Strategjia shërben si një kuadër që do të udhëheqë zbatimin e të gjithë reformave të QSH</w:t>
      </w:r>
      <w:r w:rsidR="007858C9" w:rsidRPr="004A47DC">
        <w:rPr>
          <w:color w:val="000000" w:themeColor="text1"/>
        </w:rPr>
        <w:t>-së</w:t>
      </w:r>
      <w:r w:rsidRPr="004A47DC">
        <w:rPr>
          <w:color w:val="000000" w:themeColor="text1"/>
        </w:rPr>
        <w:t xml:space="preserve"> për MFP-në deri në fund të vitit 2030. Për të mbajtur siç duhet në kontroll dhe në fokus prioritetet, si dhe për të reflektuar mjedisin dinamik dhe prioritetet e Bashkimit Evropian, ndryshimet në këtë </w:t>
      </w:r>
      <w:r w:rsidR="007858C9" w:rsidRPr="004A47DC">
        <w:rPr>
          <w:color w:val="000000" w:themeColor="text1"/>
        </w:rPr>
        <w:t>s</w:t>
      </w:r>
      <w:r w:rsidRPr="004A47DC">
        <w:rPr>
          <w:color w:val="000000" w:themeColor="text1"/>
        </w:rPr>
        <w:t xml:space="preserve">trategji, deri në fund të periudhës së zbatimit të saj, do të jenë të kufizuara. Plani i </w:t>
      </w:r>
      <w:r w:rsidR="007858C9" w:rsidRPr="004A47DC">
        <w:rPr>
          <w:color w:val="000000" w:themeColor="text1"/>
        </w:rPr>
        <w:t>veprimit dhe pasaporta e treguesve do të jenë më fleksibël dhe do t</w:t>
      </w:r>
      <w:r w:rsidRPr="004A47DC">
        <w:rPr>
          <w:color w:val="000000" w:themeColor="text1"/>
        </w:rPr>
        <w:t xml:space="preserve">ë rishikohen sipas nevojës, dhe rrjedhimisht me zbatimin e saj mund të ndryshojnë dhe masat e aktivitetet. </w:t>
      </w:r>
    </w:p>
    <w:p w14:paraId="68DDBC98" w14:textId="04D80049" w:rsidR="006D45BD" w:rsidRPr="004A47DC" w:rsidRDefault="006D45BD" w:rsidP="006D45BD">
      <w:pPr>
        <w:pStyle w:val="TEKSTIII"/>
        <w:rPr>
          <w:b/>
          <w:color w:val="000000" w:themeColor="text1"/>
        </w:rPr>
      </w:pPr>
      <w:r w:rsidRPr="004A47DC">
        <w:rPr>
          <w:b/>
          <w:color w:val="000000" w:themeColor="text1"/>
        </w:rPr>
        <w:t>1.2 Përmbledhja e strategjisë sektoriale të MFP-së</w:t>
      </w:r>
    </w:p>
    <w:p w14:paraId="1388338C" w14:textId="77777777" w:rsidR="006D45BD" w:rsidRPr="004A47DC" w:rsidRDefault="006D45BD" w:rsidP="006D45BD">
      <w:pPr>
        <w:pStyle w:val="TEKSTIII"/>
        <w:rPr>
          <w:color w:val="000000" w:themeColor="text1"/>
        </w:rPr>
      </w:pPr>
      <w:r w:rsidRPr="004A47DC">
        <w:rPr>
          <w:color w:val="000000" w:themeColor="text1"/>
        </w:rPr>
        <w:t>Kjo strategji është e strukturuar në gjashtë shtylla, me disa komponentë në secilën shtyllë.</w:t>
      </w:r>
    </w:p>
    <w:p w14:paraId="31F07528" w14:textId="77777777" w:rsidR="00D023C7" w:rsidRPr="004A47DC" w:rsidRDefault="00D023C7" w:rsidP="00D023C7">
      <w:pPr>
        <w:pStyle w:val="T-normal"/>
        <w:spacing w:line="240" w:lineRule="auto"/>
        <w:rPr>
          <w:i/>
          <w:iCs/>
          <w:color w:val="000000" w:themeColor="text1"/>
          <w:lang w:val="sq-AL"/>
        </w:rPr>
      </w:pPr>
    </w:p>
    <w:p w14:paraId="09F851BF" w14:textId="7BA5BDF5" w:rsidR="00D023C7" w:rsidRPr="004A47DC" w:rsidRDefault="00D023C7" w:rsidP="00D023C7">
      <w:pPr>
        <w:pStyle w:val="TEKSTIII"/>
        <w:rPr>
          <w:i/>
          <w:color w:val="000000" w:themeColor="text1"/>
        </w:rPr>
      </w:pPr>
      <w:r w:rsidRPr="004A47DC">
        <w:rPr>
          <w:i/>
          <w:color w:val="000000" w:themeColor="text1"/>
        </w:rPr>
        <w:t>Figura 1.1</w:t>
      </w:r>
      <w:r w:rsidR="00B7021B" w:rsidRPr="004A47DC">
        <w:rPr>
          <w:i/>
          <w:color w:val="000000" w:themeColor="text1"/>
        </w:rPr>
        <w:t>:</w:t>
      </w:r>
      <w:r w:rsidRPr="004A47DC">
        <w:rPr>
          <w:i/>
          <w:color w:val="000000" w:themeColor="text1"/>
        </w:rPr>
        <w:t xml:space="preserve"> </w:t>
      </w:r>
      <w:r w:rsidR="007858C9" w:rsidRPr="004A47DC">
        <w:rPr>
          <w:i/>
          <w:color w:val="000000" w:themeColor="text1"/>
        </w:rPr>
        <w:t xml:space="preserve">Përmbledhja </w:t>
      </w:r>
      <w:r w:rsidRPr="004A47DC">
        <w:rPr>
          <w:i/>
          <w:color w:val="000000" w:themeColor="text1"/>
        </w:rPr>
        <w:t>e strategjisë sektoriale të MFP-së</w:t>
      </w:r>
    </w:p>
    <w:tbl>
      <w:tblPr>
        <w:tblStyle w:val="TableGridIDEA5"/>
        <w:tblW w:w="5000" w:type="pct"/>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28" w:type="dxa"/>
          <w:left w:w="57" w:type="dxa"/>
          <w:bottom w:w="28" w:type="dxa"/>
          <w:right w:w="57" w:type="dxa"/>
        </w:tblCellMar>
        <w:tblLook w:val="04A0" w:firstRow="1" w:lastRow="0" w:firstColumn="1" w:lastColumn="0" w:noHBand="0" w:noVBand="1"/>
      </w:tblPr>
      <w:tblGrid>
        <w:gridCol w:w="1861"/>
        <w:gridCol w:w="1419"/>
        <w:gridCol w:w="1417"/>
        <w:gridCol w:w="1068"/>
        <w:gridCol w:w="1068"/>
        <w:gridCol w:w="987"/>
        <w:gridCol w:w="1231"/>
      </w:tblGrid>
      <w:tr w:rsidR="004719D2" w:rsidRPr="004A47DC" w14:paraId="509D8ACE" w14:textId="77777777" w:rsidTr="007534E2">
        <w:trPr>
          <w:trHeight w:val="1378"/>
        </w:trPr>
        <w:tc>
          <w:tcPr>
            <w:tcW w:w="1028" w:type="pct"/>
            <w:shd w:val="clear" w:color="auto" w:fill="7F7F7F" w:themeFill="text1" w:themeFillTint="80"/>
          </w:tcPr>
          <w:p w14:paraId="73EDCC44" w14:textId="2075599D"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1</w:t>
            </w:r>
            <w:r w:rsidR="007858C9" w:rsidRPr="004A47DC">
              <w:rPr>
                <w:rFonts w:ascii="Garamond" w:hAnsi="Garamond"/>
                <w:b/>
                <w:bCs/>
                <w:color w:val="000000" w:themeColor="text1"/>
                <w:sz w:val="16"/>
                <w:szCs w:val="14"/>
                <w:lang w:val="sq-AL"/>
              </w:rPr>
              <w:t>:</w:t>
            </w:r>
          </w:p>
          <w:p w14:paraId="04C24484" w14:textId="4780D01A"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Programimi </w:t>
            </w:r>
            <w:r w:rsidR="00610D03" w:rsidRPr="004A47DC">
              <w:rPr>
                <w:rFonts w:ascii="Garamond" w:hAnsi="Garamond"/>
                <w:b/>
                <w:bCs/>
                <w:color w:val="000000" w:themeColor="text1"/>
                <w:sz w:val="16"/>
                <w:szCs w:val="14"/>
                <w:lang w:val="sq-AL"/>
              </w:rPr>
              <w:t xml:space="preserve">Makroekonomik </w:t>
            </w:r>
            <w:r w:rsidR="00B7021B" w:rsidRPr="004A47DC">
              <w:rPr>
                <w:rFonts w:ascii="Garamond" w:hAnsi="Garamond"/>
                <w:b/>
                <w:bCs/>
                <w:color w:val="000000" w:themeColor="text1"/>
                <w:sz w:val="16"/>
                <w:szCs w:val="14"/>
                <w:lang w:val="sq-AL"/>
              </w:rPr>
              <w:t xml:space="preserve">dhe </w:t>
            </w:r>
            <w:r w:rsidR="00610D03" w:rsidRPr="004A47DC">
              <w:rPr>
                <w:rFonts w:ascii="Garamond" w:hAnsi="Garamond"/>
                <w:b/>
                <w:bCs/>
                <w:color w:val="000000" w:themeColor="text1"/>
                <w:sz w:val="16"/>
                <w:szCs w:val="14"/>
                <w:lang w:val="sq-AL"/>
              </w:rPr>
              <w:t xml:space="preserve">Monitorimi </w:t>
            </w:r>
            <w:r w:rsidR="00B7021B" w:rsidRPr="004A47DC">
              <w:rPr>
                <w:rFonts w:ascii="Garamond" w:hAnsi="Garamond"/>
                <w:b/>
                <w:bCs/>
                <w:color w:val="000000" w:themeColor="text1"/>
                <w:sz w:val="16"/>
                <w:szCs w:val="14"/>
                <w:lang w:val="sq-AL"/>
              </w:rPr>
              <w:t xml:space="preserve">i </w:t>
            </w:r>
            <w:r w:rsidR="00610D03" w:rsidRPr="004A47DC">
              <w:rPr>
                <w:rFonts w:ascii="Garamond" w:hAnsi="Garamond"/>
                <w:b/>
                <w:bCs/>
                <w:color w:val="000000" w:themeColor="text1"/>
                <w:sz w:val="16"/>
                <w:szCs w:val="14"/>
                <w:lang w:val="sq-AL"/>
              </w:rPr>
              <w:t>Riskut</w:t>
            </w:r>
          </w:p>
        </w:tc>
        <w:tc>
          <w:tcPr>
            <w:tcW w:w="784" w:type="pct"/>
            <w:shd w:val="clear" w:color="auto" w:fill="7F7F7F" w:themeFill="text1" w:themeFillTint="80"/>
          </w:tcPr>
          <w:p w14:paraId="2BCB4084" w14:textId="77777777" w:rsidR="007534E2" w:rsidRPr="004A47DC" w:rsidRDefault="007534E2" w:rsidP="007534E2">
            <w:pPr>
              <w:jc w:val="center"/>
              <w:rPr>
                <w:rFonts w:ascii="Garamond" w:hAnsi="Garamond"/>
                <w:b/>
                <w:bCs/>
                <w:color w:val="000000" w:themeColor="text1"/>
                <w:sz w:val="16"/>
                <w:szCs w:val="14"/>
                <w:lang w:val="sq-AL"/>
              </w:rPr>
            </w:pPr>
          </w:p>
        </w:tc>
        <w:tc>
          <w:tcPr>
            <w:tcW w:w="783" w:type="pct"/>
            <w:shd w:val="clear" w:color="auto" w:fill="7F7F7F" w:themeFill="text1" w:themeFillTint="80"/>
          </w:tcPr>
          <w:p w14:paraId="2F76C326" w14:textId="50FBAE61"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2</w:t>
            </w:r>
            <w:r w:rsidR="007858C9" w:rsidRPr="004A47DC">
              <w:rPr>
                <w:rFonts w:ascii="Garamond" w:hAnsi="Garamond"/>
                <w:b/>
                <w:bCs/>
                <w:color w:val="000000" w:themeColor="text1"/>
                <w:sz w:val="16"/>
                <w:szCs w:val="14"/>
                <w:lang w:val="sq-AL"/>
              </w:rPr>
              <w:t>:</w:t>
            </w:r>
          </w:p>
          <w:p w14:paraId="7A294F4F" w14:textId="373A50D7"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Planifikimi i </w:t>
            </w:r>
            <w:r w:rsidR="00610D03" w:rsidRPr="004A47DC">
              <w:rPr>
                <w:rFonts w:ascii="Garamond" w:hAnsi="Garamond"/>
                <w:b/>
                <w:bCs/>
                <w:color w:val="000000" w:themeColor="text1"/>
                <w:sz w:val="16"/>
                <w:szCs w:val="14"/>
                <w:lang w:val="sq-AL"/>
              </w:rPr>
              <w:t xml:space="preserve">Integruar Strategjik </w:t>
            </w:r>
            <w:r w:rsidRPr="004A47DC">
              <w:rPr>
                <w:rFonts w:ascii="Garamond" w:hAnsi="Garamond"/>
                <w:b/>
                <w:bCs/>
                <w:color w:val="000000" w:themeColor="text1"/>
                <w:sz w:val="16"/>
                <w:szCs w:val="14"/>
                <w:lang w:val="sq-AL"/>
              </w:rPr>
              <w:t xml:space="preserve">dhe </w:t>
            </w:r>
            <w:r w:rsidR="00610D03" w:rsidRPr="004A47DC">
              <w:rPr>
                <w:rFonts w:ascii="Garamond" w:hAnsi="Garamond"/>
                <w:b/>
                <w:bCs/>
                <w:color w:val="000000" w:themeColor="text1"/>
                <w:sz w:val="16"/>
                <w:szCs w:val="14"/>
                <w:lang w:val="sq-AL"/>
              </w:rPr>
              <w:t>Buxhetor</w:t>
            </w:r>
            <w:r w:rsidRPr="004A47DC">
              <w:rPr>
                <w:rFonts w:ascii="Garamond" w:hAnsi="Garamond"/>
                <w:b/>
                <w:bCs/>
                <w:color w:val="000000" w:themeColor="text1"/>
                <w:sz w:val="16"/>
                <w:szCs w:val="14"/>
                <w:lang w:val="sq-AL"/>
              </w:rPr>
              <w:t xml:space="preserve">, </w:t>
            </w:r>
            <w:r w:rsidR="00610D03" w:rsidRPr="004A47DC">
              <w:rPr>
                <w:rFonts w:ascii="Garamond" w:hAnsi="Garamond"/>
                <w:b/>
                <w:bCs/>
                <w:color w:val="000000" w:themeColor="text1"/>
                <w:sz w:val="16"/>
                <w:szCs w:val="14"/>
                <w:lang w:val="sq-AL"/>
              </w:rPr>
              <w:t xml:space="preserve">Monitorimi </w:t>
            </w:r>
            <w:r w:rsidRPr="004A47DC">
              <w:rPr>
                <w:rFonts w:ascii="Garamond" w:hAnsi="Garamond"/>
                <w:b/>
                <w:bCs/>
                <w:color w:val="000000" w:themeColor="text1"/>
                <w:sz w:val="16"/>
                <w:szCs w:val="14"/>
                <w:lang w:val="sq-AL"/>
              </w:rPr>
              <w:t xml:space="preserve">dhe </w:t>
            </w:r>
            <w:r w:rsidR="00610D03" w:rsidRPr="004A47DC">
              <w:rPr>
                <w:rFonts w:ascii="Garamond" w:hAnsi="Garamond"/>
                <w:b/>
                <w:bCs/>
                <w:color w:val="000000" w:themeColor="text1"/>
                <w:sz w:val="16"/>
                <w:szCs w:val="14"/>
                <w:lang w:val="sq-AL"/>
              </w:rPr>
              <w:t>Raportimi Transparent</w:t>
            </w:r>
          </w:p>
        </w:tc>
        <w:tc>
          <w:tcPr>
            <w:tcW w:w="590" w:type="pct"/>
            <w:shd w:val="clear" w:color="auto" w:fill="7F7F7F" w:themeFill="text1" w:themeFillTint="80"/>
          </w:tcPr>
          <w:p w14:paraId="1DD486FB" w14:textId="625DB0FA"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3</w:t>
            </w:r>
            <w:r w:rsidR="007858C9" w:rsidRPr="004A47DC">
              <w:rPr>
                <w:rFonts w:ascii="Garamond" w:hAnsi="Garamond"/>
                <w:b/>
                <w:bCs/>
                <w:color w:val="000000" w:themeColor="text1"/>
                <w:sz w:val="16"/>
                <w:szCs w:val="14"/>
                <w:lang w:val="sq-AL"/>
              </w:rPr>
              <w:t>:</w:t>
            </w:r>
          </w:p>
          <w:p w14:paraId="7D4B19A1" w14:textId="416DA6DF"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Menaxhimi dhe </w:t>
            </w:r>
            <w:r w:rsidR="00610D03" w:rsidRPr="004A47DC">
              <w:rPr>
                <w:rFonts w:ascii="Garamond" w:hAnsi="Garamond"/>
                <w:b/>
                <w:bCs/>
                <w:color w:val="000000" w:themeColor="text1"/>
                <w:sz w:val="16"/>
                <w:szCs w:val="14"/>
                <w:lang w:val="sq-AL"/>
              </w:rPr>
              <w:t xml:space="preserve">Mobilizimi </w:t>
            </w:r>
            <w:r w:rsidRPr="004A47DC">
              <w:rPr>
                <w:rFonts w:ascii="Garamond" w:hAnsi="Garamond"/>
                <w:b/>
                <w:bCs/>
                <w:color w:val="000000" w:themeColor="text1"/>
                <w:sz w:val="16"/>
                <w:szCs w:val="14"/>
                <w:lang w:val="sq-AL"/>
              </w:rPr>
              <w:t xml:space="preserve">i të </w:t>
            </w:r>
            <w:r w:rsidR="00610D03" w:rsidRPr="004A47DC">
              <w:rPr>
                <w:rFonts w:ascii="Garamond" w:hAnsi="Garamond"/>
                <w:b/>
                <w:bCs/>
                <w:color w:val="000000" w:themeColor="text1"/>
                <w:sz w:val="16"/>
                <w:szCs w:val="14"/>
                <w:lang w:val="sq-AL"/>
              </w:rPr>
              <w:t>Ardhurave</w:t>
            </w:r>
          </w:p>
        </w:tc>
        <w:tc>
          <w:tcPr>
            <w:tcW w:w="590" w:type="pct"/>
            <w:shd w:val="clear" w:color="auto" w:fill="7F7F7F" w:themeFill="text1" w:themeFillTint="80"/>
          </w:tcPr>
          <w:p w14:paraId="45233C82" w14:textId="3F5B5CAF"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4</w:t>
            </w:r>
            <w:r w:rsidR="007858C9" w:rsidRPr="004A47DC">
              <w:rPr>
                <w:rFonts w:ascii="Garamond" w:hAnsi="Garamond"/>
                <w:b/>
                <w:bCs/>
                <w:color w:val="000000" w:themeColor="text1"/>
                <w:sz w:val="16"/>
                <w:szCs w:val="14"/>
                <w:lang w:val="sq-AL"/>
              </w:rPr>
              <w:t>:</w:t>
            </w:r>
          </w:p>
          <w:p w14:paraId="73D52D5A" w14:textId="399BD6A3"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Kontabiliteti dhe </w:t>
            </w:r>
            <w:r w:rsidR="00610D03" w:rsidRPr="004A47DC">
              <w:rPr>
                <w:rFonts w:ascii="Garamond" w:hAnsi="Garamond"/>
                <w:b/>
                <w:bCs/>
                <w:color w:val="000000" w:themeColor="text1"/>
                <w:sz w:val="16"/>
                <w:szCs w:val="14"/>
                <w:lang w:val="sq-AL"/>
              </w:rPr>
              <w:t xml:space="preserve">Menaxhimi </w:t>
            </w:r>
            <w:r w:rsidR="00B7021B" w:rsidRPr="004A47DC">
              <w:rPr>
                <w:rFonts w:ascii="Garamond" w:hAnsi="Garamond"/>
                <w:b/>
                <w:bCs/>
                <w:color w:val="000000" w:themeColor="text1"/>
                <w:sz w:val="16"/>
                <w:szCs w:val="14"/>
                <w:lang w:val="sq-AL"/>
              </w:rPr>
              <w:t xml:space="preserve">i </w:t>
            </w:r>
            <w:r w:rsidR="00610D03" w:rsidRPr="004A47DC">
              <w:rPr>
                <w:rFonts w:ascii="Garamond" w:hAnsi="Garamond"/>
                <w:b/>
                <w:bCs/>
                <w:color w:val="000000" w:themeColor="text1"/>
                <w:sz w:val="16"/>
                <w:szCs w:val="14"/>
                <w:lang w:val="sq-AL"/>
              </w:rPr>
              <w:t xml:space="preserve">Zbatimit </w:t>
            </w:r>
            <w:r w:rsidR="00B7021B" w:rsidRPr="004A47DC">
              <w:rPr>
                <w:rFonts w:ascii="Garamond" w:hAnsi="Garamond"/>
                <w:b/>
                <w:bCs/>
                <w:color w:val="000000" w:themeColor="text1"/>
                <w:sz w:val="16"/>
                <w:szCs w:val="14"/>
                <w:lang w:val="sq-AL"/>
              </w:rPr>
              <w:t xml:space="preserve">të </w:t>
            </w:r>
            <w:r w:rsidR="00610D03" w:rsidRPr="004A47DC">
              <w:rPr>
                <w:rFonts w:ascii="Garamond" w:hAnsi="Garamond"/>
                <w:b/>
                <w:bCs/>
                <w:color w:val="000000" w:themeColor="text1"/>
                <w:sz w:val="16"/>
                <w:szCs w:val="14"/>
                <w:lang w:val="sq-AL"/>
              </w:rPr>
              <w:t xml:space="preserve">Buxhetit </w:t>
            </w:r>
          </w:p>
        </w:tc>
        <w:tc>
          <w:tcPr>
            <w:tcW w:w="545" w:type="pct"/>
            <w:shd w:val="clear" w:color="auto" w:fill="7F7F7F" w:themeFill="text1" w:themeFillTint="80"/>
          </w:tcPr>
          <w:p w14:paraId="5439C5A3" w14:textId="2EFF74B3"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5</w:t>
            </w:r>
            <w:r w:rsidR="007858C9" w:rsidRPr="004A47DC">
              <w:rPr>
                <w:rFonts w:ascii="Garamond" w:hAnsi="Garamond"/>
                <w:b/>
                <w:bCs/>
                <w:color w:val="000000" w:themeColor="text1"/>
                <w:sz w:val="16"/>
                <w:szCs w:val="14"/>
                <w:lang w:val="sq-AL"/>
              </w:rPr>
              <w:t>:</w:t>
            </w:r>
          </w:p>
          <w:p w14:paraId="475FE671" w14:textId="502EFB3F"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Kontrolli i </w:t>
            </w:r>
            <w:r w:rsidR="007858C9" w:rsidRPr="004A47DC">
              <w:rPr>
                <w:rFonts w:ascii="Garamond" w:hAnsi="Garamond"/>
                <w:b/>
                <w:bCs/>
                <w:color w:val="000000" w:themeColor="text1"/>
                <w:sz w:val="16"/>
                <w:szCs w:val="14"/>
                <w:lang w:val="sq-AL"/>
              </w:rPr>
              <w:t>Brendshëm Financiar Publik</w:t>
            </w:r>
          </w:p>
        </w:tc>
        <w:tc>
          <w:tcPr>
            <w:tcW w:w="681" w:type="pct"/>
            <w:shd w:val="clear" w:color="auto" w:fill="7F7F7F" w:themeFill="text1" w:themeFillTint="80"/>
          </w:tcPr>
          <w:p w14:paraId="451849ED" w14:textId="192CC9AD"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Shtylla 6</w:t>
            </w:r>
            <w:r w:rsidR="007858C9" w:rsidRPr="004A47DC">
              <w:rPr>
                <w:rFonts w:ascii="Garamond" w:hAnsi="Garamond"/>
                <w:b/>
                <w:bCs/>
                <w:color w:val="000000" w:themeColor="text1"/>
                <w:sz w:val="16"/>
                <w:szCs w:val="14"/>
                <w:lang w:val="sq-AL"/>
              </w:rPr>
              <w:t>:</w:t>
            </w:r>
          </w:p>
          <w:p w14:paraId="4FD8F0DF" w14:textId="47E0F743" w:rsidR="007534E2" w:rsidRPr="004A47DC" w:rsidRDefault="007534E2" w:rsidP="007534E2">
            <w:pPr>
              <w:jc w:val="center"/>
              <w:rPr>
                <w:rFonts w:ascii="Garamond" w:hAnsi="Garamond"/>
                <w:b/>
                <w:bCs/>
                <w:color w:val="000000" w:themeColor="text1"/>
                <w:sz w:val="16"/>
                <w:szCs w:val="14"/>
                <w:lang w:val="sq-AL"/>
              </w:rPr>
            </w:pPr>
            <w:r w:rsidRPr="004A47DC">
              <w:rPr>
                <w:rFonts w:ascii="Garamond" w:hAnsi="Garamond"/>
                <w:b/>
                <w:bCs/>
                <w:color w:val="000000" w:themeColor="text1"/>
                <w:sz w:val="16"/>
                <w:szCs w:val="14"/>
                <w:lang w:val="sq-AL"/>
              </w:rPr>
              <w:t xml:space="preserve">Mbikëqyrja e </w:t>
            </w:r>
            <w:r w:rsidR="00610D03" w:rsidRPr="004A47DC">
              <w:rPr>
                <w:rFonts w:ascii="Garamond" w:hAnsi="Garamond"/>
                <w:b/>
                <w:bCs/>
                <w:color w:val="000000" w:themeColor="text1"/>
                <w:sz w:val="16"/>
                <w:szCs w:val="14"/>
                <w:lang w:val="sq-AL"/>
              </w:rPr>
              <w:t>Jashtme</w:t>
            </w:r>
          </w:p>
        </w:tc>
      </w:tr>
      <w:tr w:rsidR="004719D2" w:rsidRPr="004A47DC" w14:paraId="63C6344A" w14:textId="77777777" w:rsidTr="007534E2">
        <w:trPr>
          <w:trHeight w:val="1032"/>
        </w:trPr>
        <w:tc>
          <w:tcPr>
            <w:tcW w:w="1028" w:type="pct"/>
            <w:shd w:val="clear" w:color="auto" w:fill="D9D9D9" w:themeFill="background1" w:themeFillShade="D9"/>
            <w:vAlign w:val="center"/>
          </w:tcPr>
          <w:p w14:paraId="46E2DAF9" w14:textId="77777777"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Programim makroekonomik i matur dhe realist</w:t>
            </w:r>
          </w:p>
        </w:tc>
        <w:tc>
          <w:tcPr>
            <w:tcW w:w="784" w:type="pct"/>
            <w:shd w:val="clear" w:color="auto" w:fill="D9D9D9" w:themeFill="background1" w:themeFillShade="D9"/>
          </w:tcPr>
          <w:p w14:paraId="07F77002"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D9D9D9" w:themeFill="background1" w:themeFillShade="D9"/>
            <w:vAlign w:val="center"/>
          </w:tcPr>
          <w:p w14:paraId="3A909F45" w14:textId="05A2BB10"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Planifikimi </w:t>
            </w:r>
            <w:r w:rsidR="00B7021B" w:rsidRPr="004A47DC">
              <w:rPr>
                <w:rFonts w:ascii="Garamond" w:hAnsi="Garamond"/>
                <w:color w:val="000000" w:themeColor="text1"/>
                <w:sz w:val="16"/>
                <w:szCs w:val="14"/>
                <w:lang w:val="sq-AL"/>
              </w:rPr>
              <w:t xml:space="preserve">strategjik </w:t>
            </w:r>
            <w:r w:rsidRPr="004A47DC">
              <w:rPr>
                <w:rFonts w:ascii="Garamond" w:hAnsi="Garamond"/>
                <w:color w:val="000000" w:themeColor="text1"/>
                <w:sz w:val="16"/>
                <w:szCs w:val="14"/>
                <w:lang w:val="sq-AL"/>
              </w:rPr>
              <w:t xml:space="preserve">i </w:t>
            </w:r>
            <w:r w:rsidR="00B7021B" w:rsidRPr="004A47DC">
              <w:rPr>
                <w:rFonts w:ascii="Garamond" w:hAnsi="Garamond"/>
                <w:color w:val="000000" w:themeColor="text1"/>
                <w:sz w:val="16"/>
                <w:szCs w:val="14"/>
                <w:lang w:val="sq-AL"/>
              </w:rPr>
              <w:t>integruar</w:t>
            </w:r>
          </w:p>
        </w:tc>
        <w:tc>
          <w:tcPr>
            <w:tcW w:w="590" w:type="pct"/>
            <w:shd w:val="clear" w:color="auto" w:fill="D9D9D9" w:themeFill="background1" w:themeFillShade="D9"/>
            <w:vAlign w:val="center"/>
          </w:tcPr>
          <w:p w14:paraId="593AE9CA" w14:textId="5F51334C"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taksave</w:t>
            </w:r>
          </w:p>
        </w:tc>
        <w:tc>
          <w:tcPr>
            <w:tcW w:w="590" w:type="pct"/>
            <w:shd w:val="clear" w:color="auto" w:fill="D9D9D9" w:themeFill="background1" w:themeFillShade="D9"/>
            <w:vAlign w:val="center"/>
          </w:tcPr>
          <w:p w14:paraId="4427CE6A" w14:textId="30AAE097"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Llogaritë </w:t>
            </w:r>
            <w:r w:rsidR="00B7021B" w:rsidRPr="004A47DC">
              <w:rPr>
                <w:rFonts w:ascii="Garamond" w:hAnsi="Garamond"/>
                <w:color w:val="000000" w:themeColor="text1"/>
                <w:sz w:val="16"/>
                <w:szCs w:val="14"/>
                <w:lang w:val="sq-AL"/>
              </w:rPr>
              <w:t xml:space="preserve">kombëtare </w:t>
            </w:r>
            <w:r w:rsidRPr="004A47DC">
              <w:rPr>
                <w:rFonts w:ascii="Garamond" w:hAnsi="Garamond"/>
                <w:color w:val="000000" w:themeColor="text1"/>
                <w:sz w:val="16"/>
                <w:szCs w:val="14"/>
                <w:lang w:val="sq-AL"/>
              </w:rPr>
              <w:t xml:space="preserve">të </w:t>
            </w:r>
            <w:r w:rsidR="00B7021B" w:rsidRPr="004A47DC">
              <w:rPr>
                <w:rFonts w:ascii="Garamond" w:hAnsi="Garamond"/>
                <w:color w:val="000000" w:themeColor="text1"/>
                <w:sz w:val="16"/>
                <w:szCs w:val="14"/>
                <w:lang w:val="sq-AL"/>
              </w:rPr>
              <w:t>qeverisë</w:t>
            </w:r>
          </w:p>
        </w:tc>
        <w:tc>
          <w:tcPr>
            <w:tcW w:w="545" w:type="pct"/>
            <w:shd w:val="clear" w:color="auto" w:fill="D9D9D9" w:themeFill="background1" w:themeFillShade="D9"/>
            <w:vAlign w:val="center"/>
          </w:tcPr>
          <w:p w14:paraId="46267ECA" w14:textId="36D039D9"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w:t>
            </w:r>
            <w:r w:rsidR="00B7021B" w:rsidRPr="004A47DC">
              <w:rPr>
                <w:rFonts w:ascii="Garamond" w:hAnsi="Garamond"/>
                <w:color w:val="000000" w:themeColor="text1"/>
                <w:sz w:val="16"/>
                <w:szCs w:val="14"/>
                <w:lang w:val="sq-AL"/>
              </w:rPr>
              <w:t>financiar dhe kontrolli</w:t>
            </w:r>
          </w:p>
        </w:tc>
        <w:tc>
          <w:tcPr>
            <w:tcW w:w="681" w:type="pct"/>
            <w:shd w:val="clear" w:color="auto" w:fill="D9D9D9" w:themeFill="background1" w:themeFillShade="D9"/>
            <w:vAlign w:val="center"/>
          </w:tcPr>
          <w:p w14:paraId="4DDAF3C2" w14:textId="3859A73C"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Auditimi i </w:t>
            </w:r>
            <w:r w:rsidR="00B7021B" w:rsidRPr="004A47DC">
              <w:rPr>
                <w:rFonts w:ascii="Garamond" w:hAnsi="Garamond"/>
                <w:color w:val="000000" w:themeColor="text1"/>
                <w:sz w:val="16"/>
                <w:szCs w:val="14"/>
                <w:lang w:val="sq-AL"/>
              </w:rPr>
              <w:t>jashtëm</w:t>
            </w:r>
          </w:p>
        </w:tc>
      </w:tr>
      <w:tr w:rsidR="004719D2" w:rsidRPr="004A47DC" w14:paraId="527EE51B" w14:textId="77777777" w:rsidTr="007534E2">
        <w:trPr>
          <w:trHeight w:val="816"/>
        </w:trPr>
        <w:tc>
          <w:tcPr>
            <w:tcW w:w="1028" w:type="pct"/>
            <w:shd w:val="clear" w:color="auto" w:fill="D9D9D9" w:themeFill="background1" w:themeFillShade="D9"/>
            <w:vAlign w:val="center"/>
          </w:tcPr>
          <w:p w14:paraId="45D0DA6B" w14:textId="3E7D98E5"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Krijimi i një </w:t>
            </w:r>
            <w:r w:rsidR="007858C9" w:rsidRPr="004A47DC">
              <w:rPr>
                <w:rFonts w:ascii="Garamond" w:hAnsi="Garamond"/>
                <w:color w:val="000000" w:themeColor="text1"/>
                <w:sz w:val="16"/>
                <w:szCs w:val="14"/>
                <w:lang w:val="sq-AL"/>
              </w:rPr>
              <w:t xml:space="preserve">analize gjithëpërfshirëse të qëndrueshmërisë së borxhit </w:t>
            </w:r>
          </w:p>
        </w:tc>
        <w:tc>
          <w:tcPr>
            <w:tcW w:w="784" w:type="pct"/>
            <w:shd w:val="clear" w:color="auto" w:fill="D9D9D9" w:themeFill="background1" w:themeFillShade="D9"/>
          </w:tcPr>
          <w:p w14:paraId="7858050C"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D9D9D9" w:themeFill="background1" w:themeFillShade="D9"/>
            <w:vAlign w:val="center"/>
          </w:tcPr>
          <w:p w14:paraId="63C696D1" w14:textId="29202C40"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Planifikimi </w:t>
            </w:r>
            <w:r w:rsidR="00B7021B" w:rsidRPr="004A47DC">
              <w:rPr>
                <w:rFonts w:ascii="Garamond" w:hAnsi="Garamond"/>
                <w:color w:val="000000" w:themeColor="text1"/>
                <w:sz w:val="16"/>
                <w:szCs w:val="14"/>
                <w:lang w:val="sq-AL"/>
              </w:rPr>
              <w:t>buxhetor afatmesëm</w:t>
            </w:r>
          </w:p>
        </w:tc>
        <w:tc>
          <w:tcPr>
            <w:tcW w:w="590" w:type="pct"/>
            <w:shd w:val="clear" w:color="auto" w:fill="D9D9D9" w:themeFill="background1" w:themeFillShade="D9"/>
            <w:vAlign w:val="center"/>
          </w:tcPr>
          <w:p w14:paraId="5494BAB3" w14:textId="6921F610"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 xml:space="preserve">taksës </w:t>
            </w:r>
            <w:r w:rsidRPr="004A47DC">
              <w:rPr>
                <w:rFonts w:ascii="Garamond" w:hAnsi="Garamond"/>
                <w:color w:val="000000" w:themeColor="text1"/>
                <w:sz w:val="16"/>
                <w:szCs w:val="14"/>
                <w:lang w:val="sq-AL"/>
              </w:rPr>
              <w:t xml:space="preserve">së </w:t>
            </w:r>
            <w:r w:rsidR="00B7021B" w:rsidRPr="004A47DC">
              <w:rPr>
                <w:rFonts w:ascii="Garamond" w:hAnsi="Garamond"/>
                <w:color w:val="000000" w:themeColor="text1"/>
                <w:sz w:val="16"/>
                <w:szCs w:val="14"/>
                <w:lang w:val="sq-AL"/>
              </w:rPr>
              <w:t>pasurisë</w:t>
            </w:r>
          </w:p>
        </w:tc>
        <w:tc>
          <w:tcPr>
            <w:tcW w:w="590" w:type="pct"/>
            <w:shd w:val="clear" w:color="auto" w:fill="D9D9D9" w:themeFill="background1" w:themeFillShade="D9"/>
            <w:vAlign w:val="center"/>
          </w:tcPr>
          <w:p w14:paraId="68CB38A5" w14:textId="77777777"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Kontabiliteti</w:t>
            </w:r>
          </w:p>
        </w:tc>
        <w:tc>
          <w:tcPr>
            <w:tcW w:w="545" w:type="pct"/>
            <w:shd w:val="clear" w:color="auto" w:fill="D9D9D9" w:themeFill="background1" w:themeFillShade="D9"/>
            <w:vAlign w:val="center"/>
          </w:tcPr>
          <w:p w14:paraId="5749070E" w14:textId="34C983FE"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Auditimi i </w:t>
            </w:r>
            <w:r w:rsidR="00B7021B" w:rsidRPr="004A47DC">
              <w:rPr>
                <w:rFonts w:ascii="Garamond" w:hAnsi="Garamond"/>
                <w:color w:val="000000" w:themeColor="text1"/>
                <w:sz w:val="16"/>
                <w:szCs w:val="14"/>
                <w:lang w:val="sq-AL"/>
              </w:rPr>
              <w:t>brendshëm</w:t>
            </w:r>
          </w:p>
        </w:tc>
        <w:tc>
          <w:tcPr>
            <w:tcW w:w="681" w:type="pct"/>
            <w:shd w:val="clear" w:color="auto" w:fill="D9D9D9" w:themeFill="background1" w:themeFillShade="D9"/>
            <w:vAlign w:val="center"/>
          </w:tcPr>
          <w:p w14:paraId="27A07A41" w14:textId="64E35F82"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Mbikëqyrja </w:t>
            </w:r>
            <w:r w:rsidR="00B7021B" w:rsidRPr="004A47DC">
              <w:rPr>
                <w:rFonts w:ascii="Garamond" w:hAnsi="Garamond"/>
                <w:color w:val="000000" w:themeColor="text1"/>
                <w:sz w:val="16"/>
                <w:szCs w:val="14"/>
                <w:lang w:val="sq-AL"/>
              </w:rPr>
              <w:t>parlamentare</w:t>
            </w:r>
          </w:p>
        </w:tc>
      </w:tr>
      <w:tr w:rsidR="004719D2" w:rsidRPr="004A47DC" w14:paraId="151D661B" w14:textId="77777777" w:rsidTr="007534E2">
        <w:trPr>
          <w:trHeight w:val="1014"/>
        </w:trPr>
        <w:tc>
          <w:tcPr>
            <w:tcW w:w="1028" w:type="pct"/>
            <w:shd w:val="clear" w:color="auto" w:fill="D9D9D9" w:themeFill="background1" w:themeFillShade="D9"/>
            <w:vAlign w:val="center"/>
          </w:tcPr>
          <w:p w14:paraId="69282050" w14:textId="14911B0E"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risqeve fiskale</w:t>
            </w:r>
          </w:p>
        </w:tc>
        <w:tc>
          <w:tcPr>
            <w:tcW w:w="784" w:type="pct"/>
            <w:shd w:val="clear" w:color="auto" w:fill="D9D9D9" w:themeFill="background1" w:themeFillShade="D9"/>
          </w:tcPr>
          <w:p w14:paraId="436C7F4B"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D9D9D9" w:themeFill="background1" w:themeFillShade="D9"/>
            <w:vAlign w:val="center"/>
          </w:tcPr>
          <w:p w14:paraId="345C3F1B" w14:textId="0712DD7A"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investimeve publike</w:t>
            </w:r>
          </w:p>
        </w:tc>
        <w:tc>
          <w:tcPr>
            <w:tcW w:w="590" w:type="pct"/>
            <w:shd w:val="clear" w:color="auto" w:fill="D9D9D9" w:themeFill="background1" w:themeFillShade="D9"/>
            <w:vAlign w:val="center"/>
          </w:tcPr>
          <w:p w14:paraId="51EDC700" w14:textId="358BD48C"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w:t>
            </w:r>
            <w:r w:rsidR="00B7021B" w:rsidRPr="004A47DC">
              <w:rPr>
                <w:rFonts w:ascii="Garamond" w:hAnsi="Garamond"/>
                <w:color w:val="000000" w:themeColor="text1"/>
                <w:sz w:val="16"/>
                <w:szCs w:val="14"/>
                <w:lang w:val="sq-AL"/>
              </w:rPr>
              <w:t>doganor</w:t>
            </w:r>
          </w:p>
        </w:tc>
        <w:tc>
          <w:tcPr>
            <w:tcW w:w="590" w:type="pct"/>
            <w:shd w:val="clear" w:color="auto" w:fill="D9D9D9" w:themeFill="background1" w:themeFillShade="D9"/>
            <w:vAlign w:val="center"/>
          </w:tcPr>
          <w:p w14:paraId="29F81CD3" w14:textId="77D9CB8C"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Prokurimi </w:t>
            </w:r>
            <w:r w:rsidR="00B7021B" w:rsidRPr="004A47DC">
              <w:rPr>
                <w:rFonts w:ascii="Garamond" w:hAnsi="Garamond"/>
                <w:color w:val="000000" w:themeColor="text1"/>
                <w:sz w:val="16"/>
                <w:szCs w:val="14"/>
                <w:lang w:val="sq-AL"/>
              </w:rPr>
              <w:t>publik</w:t>
            </w:r>
          </w:p>
        </w:tc>
        <w:tc>
          <w:tcPr>
            <w:tcW w:w="545" w:type="pct"/>
            <w:shd w:val="clear" w:color="auto" w:fill="D9D9D9" w:themeFill="background1" w:themeFillShade="D9"/>
            <w:vAlign w:val="center"/>
          </w:tcPr>
          <w:p w14:paraId="2E768B9E" w14:textId="52409599"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Inspektimi </w:t>
            </w:r>
            <w:r w:rsidR="00B7021B" w:rsidRPr="004A47DC">
              <w:rPr>
                <w:rFonts w:ascii="Garamond" w:hAnsi="Garamond"/>
                <w:color w:val="000000" w:themeColor="text1"/>
                <w:sz w:val="16"/>
                <w:szCs w:val="14"/>
                <w:lang w:val="sq-AL"/>
              </w:rPr>
              <w:t>financiar publik dhe shërbimet e koordinimit kundër mashtrimit</w:t>
            </w:r>
          </w:p>
        </w:tc>
        <w:tc>
          <w:tcPr>
            <w:tcW w:w="681" w:type="pct"/>
            <w:shd w:val="clear" w:color="auto" w:fill="FFFFFF" w:themeFill="background1"/>
            <w:vAlign w:val="center"/>
          </w:tcPr>
          <w:p w14:paraId="14D6F262" w14:textId="77777777" w:rsidR="007534E2" w:rsidRPr="004A47DC" w:rsidRDefault="007534E2" w:rsidP="007534E2">
            <w:pPr>
              <w:jc w:val="center"/>
              <w:rPr>
                <w:rFonts w:ascii="Garamond" w:hAnsi="Garamond"/>
                <w:color w:val="000000" w:themeColor="text1"/>
                <w:sz w:val="16"/>
                <w:szCs w:val="14"/>
                <w:lang w:val="sq-AL"/>
              </w:rPr>
            </w:pPr>
          </w:p>
        </w:tc>
      </w:tr>
      <w:tr w:rsidR="004719D2" w:rsidRPr="004A47DC" w14:paraId="6FA8EE79" w14:textId="77777777" w:rsidTr="007534E2">
        <w:trPr>
          <w:trHeight w:val="589"/>
        </w:trPr>
        <w:tc>
          <w:tcPr>
            <w:tcW w:w="1028" w:type="pct"/>
            <w:shd w:val="clear" w:color="auto" w:fill="D9D9D9" w:themeFill="background1" w:themeFillShade="D9"/>
            <w:vAlign w:val="center"/>
          </w:tcPr>
          <w:p w14:paraId="23E2DEBF" w14:textId="67CD958A"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Këshilli </w:t>
            </w:r>
            <w:r w:rsidR="007858C9" w:rsidRPr="004A47DC">
              <w:rPr>
                <w:rFonts w:ascii="Garamond" w:hAnsi="Garamond"/>
                <w:color w:val="000000" w:themeColor="text1"/>
                <w:sz w:val="16"/>
                <w:szCs w:val="14"/>
                <w:lang w:val="sq-AL"/>
              </w:rPr>
              <w:t>Fiskal</w:t>
            </w:r>
            <w:r w:rsidR="007858C9" w:rsidRPr="004A47DC" w:rsidDel="00793335">
              <w:rPr>
                <w:rFonts w:ascii="Garamond" w:hAnsi="Garamond"/>
                <w:color w:val="000000" w:themeColor="text1"/>
                <w:sz w:val="16"/>
                <w:szCs w:val="14"/>
                <w:lang w:val="sq-AL"/>
              </w:rPr>
              <w:t xml:space="preserve"> </w:t>
            </w:r>
          </w:p>
        </w:tc>
        <w:tc>
          <w:tcPr>
            <w:tcW w:w="784" w:type="pct"/>
            <w:shd w:val="clear" w:color="auto" w:fill="D9D9D9" w:themeFill="background1" w:themeFillShade="D9"/>
          </w:tcPr>
          <w:p w14:paraId="5187FD0F"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D9D9D9" w:themeFill="background1" w:themeFillShade="D9"/>
            <w:vAlign w:val="center"/>
          </w:tcPr>
          <w:p w14:paraId="690400B6" w14:textId="2020974E"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Financat </w:t>
            </w:r>
            <w:r w:rsidR="00B7021B" w:rsidRPr="004A47DC">
              <w:rPr>
                <w:rFonts w:ascii="Garamond" w:hAnsi="Garamond"/>
                <w:color w:val="000000" w:themeColor="text1"/>
                <w:sz w:val="16"/>
                <w:szCs w:val="14"/>
                <w:lang w:val="sq-AL"/>
              </w:rPr>
              <w:t>vendore</w:t>
            </w:r>
          </w:p>
        </w:tc>
        <w:tc>
          <w:tcPr>
            <w:tcW w:w="590" w:type="pct"/>
            <w:shd w:val="clear" w:color="auto" w:fill="FFFFFF" w:themeFill="background1"/>
            <w:vAlign w:val="center"/>
          </w:tcPr>
          <w:p w14:paraId="599C4545" w14:textId="77777777" w:rsidR="007534E2" w:rsidRPr="004A47DC" w:rsidRDefault="007534E2" w:rsidP="007534E2">
            <w:pPr>
              <w:jc w:val="center"/>
              <w:rPr>
                <w:rFonts w:ascii="Garamond" w:hAnsi="Garamond"/>
                <w:color w:val="000000" w:themeColor="text1"/>
                <w:sz w:val="16"/>
                <w:szCs w:val="14"/>
                <w:lang w:val="sq-AL"/>
              </w:rPr>
            </w:pPr>
          </w:p>
        </w:tc>
        <w:tc>
          <w:tcPr>
            <w:tcW w:w="590" w:type="pct"/>
            <w:shd w:val="clear" w:color="auto" w:fill="D9D9D9" w:themeFill="background1" w:themeFillShade="D9"/>
            <w:vAlign w:val="center"/>
          </w:tcPr>
          <w:p w14:paraId="5B1A4B45" w14:textId="6F8D7AB5"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borxhit</w:t>
            </w:r>
          </w:p>
        </w:tc>
        <w:tc>
          <w:tcPr>
            <w:tcW w:w="545" w:type="pct"/>
            <w:shd w:val="clear" w:color="auto" w:fill="D9D9D9" w:themeFill="background1" w:themeFillShade="D9"/>
            <w:vAlign w:val="center"/>
          </w:tcPr>
          <w:p w14:paraId="1AC682CA" w14:textId="638EC41E"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 xml:space="preserve">fondeve </w:t>
            </w:r>
            <w:r w:rsidRPr="004A47DC">
              <w:rPr>
                <w:rFonts w:ascii="Garamond" w:hAnsi="Garamond"/>
                <w:color w:val="000000" w:themeColor="text1"/>
                <w:sz w:val="16"/>
                <w:szCs w:val="14"/>
                <w:lang w:val="sq-AL"/>
              </w:rPr>
              <w:t>të BE-së</w:t>
            </w:r>
          </w:p>
        </w:tc>
        <w:tc>
          <w:tcPr>
            <w:tcW w:w="681" w:type="pct"/>
            <w:shd w:val="clear" w:color="auto" w:fill="FFFFFF" w:themeFill="background1"/>
            <w:vAlign w:val="center"/>
          </w:tcPr>
          <w:p w14:paraId="4C94485D" w14:textId="77777777" w:rsidR="007534E2" w:rsidRPr="004A47DC" w:rsidRDefault="007534E2" w:rsidP="007534E2">
            <w:pPr>
              <w:jc w:val="center"/>
              <w:rPr>
                <w:rFonts w:ascii="Garamond" w:hAnsi="Garamond"/>
                <w:color w:val="000000" w:themeColor="text1"/>
                <w:sz w:val="16"/>
                <w:szCs w:val="14"/>
                <w:lang w:val="sq-AL"/>
              </w:rPr>
            </w:pPr>
          </w:p>
        </w:tc>
      </w:tr>
      <w:tr w:rsidR="004719D2" w:rsidRPr="004A47DC" w14:paraId="6EDCAB33" w14:textId="77777777" w:rsidTr="007534E2">
        <w:trPr>
          <w:trHeight w:val="894"/>
        </w:trPr>
        <w:tc>
          <w:tcPr>
            <w:tcW w:w="1028" w:type="pct"/>
            <w:shd w:val="clear" w:color="auto" w:fill="auto"/>
            <w:vAlign w:val="center"/>
          </w:tcPr>
          <w:p w14:paraId="3ED19E3B" w14:textId="77777777" w:rsidR="007534E2" w:rsidRPr="004A47DC" w:rsidRDefault="007534E2" w:rsidP="007534E2">
            <w:pPr>
              <w:jc w:val="center"/>
              <w:rPr>
                <w:rFonts w:ascii="Garamond" w:hAnsi="Garamond"/>
                <w:color w:val="000000" w:themeColor="text1"/>
                <w:sz w:val="16"/>
                <w:szCs w:val="14"/>
                <w:lang w:val="sq-AL"/>
              </w:rPr>
            </w:pPr>
          </w:p>
        </w:tc>
        <w:tc>
          <w:tcPr>
            <w:tcW w:w="784" w:type="pct"/>
          </w:tcPr>
          <w:p w14:paraId="0AB00418"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D9D9D9" w:themeFill="background1" w:themeFillShade="D9"/>
            <w:vAlign w:val="center"/>
          </w:tcPr>
          <w:p w14:paraId="1D99CB36" w14:textId="66AC500B"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Raportimi dhe </w:t>
            </w:r>
            <w:r w:rsidR="00B7021B" w:rsidRPr="004A47DC">
              <w:rPr>
                <w:rFonts w:ascii="Garamond" w:hAnsi="Garamond"/>
                <w:color w:val="000000" w:themeColor="text1"/>
                <w:sz w:val="16"/>
                <w:szCs w:val="14"/>
                <w:lang w:val="sq-AL"/>
              </w:rPr>
              <w:t>monitorimi i zbatimit të bu</w:t>
            </w:r>
            <w:r w:rsidRPr="004A47DC">
              <w:rPr>
                <w:rFonts w:ascii="Garamond" w:hAnsi="Garamond"/>
                <w:color w:val="000000" w:themeColor="text1"/>
                <w:sz w:val="16"/>
                <w:szCs w:val="14"/>
                <w:lang w:val="sq-AL"/>
              </w:rPr>
              <w:t>xhetit</w:t>
            </w:r>
          </w:p>
        </w:tc>
        <w:tc>
          <w:tcPr>
            <w:tcW w:w="590" w:type="pct"/>
            <w:shd w:val="clear" w:color="auto" w:fill="FFFFFF" w:themeFill="background1"/>
            <w:vAlign w:val="center"/>
          </w:tcPr>
          <w:p w14:paraId="30159CD4" w14:textId="77777777" w:rsidR="007534E2" w:rsidRPr="004A47DC" w:rsidRDefault="007534E2" w:rsidP="007534E2">
            <w:pPr>
              <w:jc w:val="center"/>
              <w:rPr>
                <w:rFonts w:ascii="Garamond" w:hAnsi="Garamond"/>
                <w:color w:val="000000" w:themeColor="text1"/>
                <w:sz w:val="16"/>
                <w:szCs w:val="14"/>
                <w:lang w:val="sq-AL"/>
              </w:rPr>
            </w:pPr>
          </w:p>
          <w:p w14:paraId="482E2C0F" w14:textId="77777777" w:rsidR="007534E2" w:rsidRPr="004A47DC" w:rsidRDefault="007534E2" w:rsidP="007534E2">
            <w:pPr>
              <w:jc w:val="center"/>
              <w:rPr>
                <w:rFonts w:ascii="Garamond" w:hAnsi="Garamond"/>
                <w:color w:val="000000" w:themeColor="text1"/>
                <w:sz w:val="16"/>
                <w:szCs w:val="14"/>
                <w:lang w:val="sq-AL"/>
              </w:rPr>
            </w:pPr>
          </w:p>
          <w:p w14:paraId="2E5D1A63" w14:textId="77777777" w:rsidR="007534E2" w:rsidRPr="004A47DC" w:rsidRDefault="007534E2" w:rsidP="007534E2">
            <w:pPr>
              <w:jc w:val="center"/>
              <w:rPr>
                <w:rFonts w:ascii="Garamond" w:hAnsi="Garamond"/>
                <w:color w:val="000000" w:themeColor="text1"/>
                <w:sz w:val="16"/>
                <w:szCs w:val="14"/>
                <w:lang w:val="sq-AL"/>
              </w:rPr>
            </w:pPr>
          </w:p>
        </w:tc>
        <w:tc>
          <w:tcPr>
            <w:tcW w:w="590" w:type="pct"/>
            <w:shd w:val="clear" w:color="auto" w:fill="D9D9D9" w:themeFill="background1" w:themeFillShade="D9"/>
            <w:vAlign w:val="center"/>
          </w:tcPr>
          <w:p w14:paraId="44CA00C3" w14:textId="36518023"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likuiditetit</w:t>
            </w:r>
          </w:p>
        </w:tc>
        <w:tc>
          <w:tcPr>
            <w:tcW w:w="545" w:type="pct"/>
            <w:shd w:val="clear" w:color="auto" w:fill="FFFFFF" w:themeFill="background1"/>
            <w:vAlign w:val="center"/>
          </w:tcPr>
          <w:p w14:paraId="148C068B" w14:textId="77777777" w:rsidR="007534E2" w:rsidRPr="004A47DC" w:rsidRDefault="007534E2" w:rsidP="007534E2">
            <w:pPr>
              <w:jc w:val="center"/>
              <w:rPr>
                <w:rFonts w:ascii="Garamond" w:hAnsi="Garamond"/>
                <w:color w:val="000000" w:themeColor="text1"/>
                <w:sz w:val="16"/>
                <w:szCs w:val="14"/>
                <w:lang w:val="sq-AL"/>
              </w:rPr>
            </w:pPr>
          </w:p>
        </w:tc>
        <w:tc>
          <w:tcPr>
            <w:tcW w:w="681" w:type="pct"/>
            <w:shd w:val="clear" w:color="auto" w:fill="FFFFFF" w:themeFill="background1"/>
            <w:vAlign w:val="center"/>
          </w:tcPr>
          <w:p w14:paraId="5AE3C3D5" w14:textId="77777777" w:rsidR="007534E2" w:rsidRPr="004A47DC" w:rsidRDefault="007534E2" w:rsidP="007534E2">
            <w:pPr>
              <w:jc w:val="center"/>
              <w:rPr>
                <w:rFonts w:ascii="Garamond" w:hAnsi="Garamond"/>
                <w:color w:val="000000" w:themeColor="text1"/>
                <w:sz w:val="16"/>
                <w:szCs w:val="14"/>
                <w:lang w:val="sq-AL"/>
              </w:rPr>
            </w:pPr>
          </w:p>
        </w:tc>
      </w:tr>
      <w:tr w:rsidR="004719D2" w:rsidRPr="004A47DC" w14:paraId="60D02B63" w14:textId="77777777" w:rsidTr="007534E2">
        <w:trPr>
          <w:trHeight w:val="611"/>
        </w:trPr>
        <w:tc>
          <w:tcPr>
            <w:tcW w:w="1028" w:type="pct"/>
            <w:shd w:val="clear" w:color="auto" w:fill="auto"/>
            <w:vAlign w:val="center"/>
          </w:tcPr>
          <w:p w14:paraId="22A0C827" w14:textId="77777777" w:rsidR="007534E2" w:rsidRPr="004A47DC" w:rsidRDefault="007534E2" w:rsidP="007534E2">
            <w:pPr>
              <w:jc w:val="center"/>
              <w:rPr>
                <w:rFonts w:ascii="Garamond" w:hAnsi="Garamond"/>
                <w:color w:val="000000" w:themeColor="text1"/>
                <w:sz w:val="16"/>
                <w:szCs w:val="14"/>
                <w:lang w:val="sq-AL"/>
              </w:rPr>
            </w:pPr>
          </w:p>
        </w:tc>
        <w:tc>
          <w:tcPr>
            <w:tcW w:w="784" w:type="pct"/>
          </w:tcPr>
          <w:p w14:paraId="0D2B4721" w14:textId="77777777" w:rsidR="007534E2" w:rsidRPr="004A47DC" w:rsidRDefault="007534E2" w:rsidP="007534E2">
            <w:pPr>
              <w:jc w:val="center"/>
              <w:rPr>
                <w:rFonts w:ascii="Garamond" w:hAnsi="Garamond"/>
                <w:color w:val="000000" w:themeColor="text1"/>
                <w:sz w:val="16"/>
                <w:szCs w:val="14"/>
                <w:lang w:val="sq-AL"/>
              </w:rPr>
            </w:pPr>
          </w:p>
        </w:tc>
        <w:tc>
          <w:tcPr>
            <w:tcW w:w="783" w:type="pct"/>
            <w:shd w:val="clear" w:color="auto" w:fill="auto"/>
            <w:vAlign w:val="center"/>
          </w:tcPr>
          <w:p w14:paraId="505470FD" w14:textId="77777777" w:rsidR="007534E2" w:rsidRPr="004A47DC" w:rsidRDefault="007534E2" w:rsidP="007534E2">
            <w:pPr>
              <w:jc w:val="center"/>
              <w:rPr>
                <w:rFonts w:ascii="Garamond" w:hAnsi="Garamond"/>
                <w:color w:val="000000" w:themeColor="text1"/>
                <w:sz w:val="16"/>
                <w:szCs w:val="14"/>
                <w:lang w:val="sq-AL"/>
              </w:rPr>
            </w:pPr>
          </w:p>
        </w:tc>
        <w:tc>
          <w:tcPr>
            <w:tcW w:w="590" w:type="pct"/>
            <w:shd w:val="clear" w:color="auto" w:fill="FFFFFF" w:themeFill="background1"/>
            <w:vAlign w:val="center"/>
          </w:tcPr>
          <w:p w14:paraId="527F75FF" w14:textId="77777777" w:rsidR="007534E2" w:rsidRPr="004A47DC" w:rsidRDefault="007534E2" w:rsidP="007534E2">
            <w:pPr>
              <w:jc w:val="center"/>
              <w:rPr>
                <w:rFonts w:ascii="Garamond" w:hAnsi="Garamond"/>
                <w:color w:val="000000" w:themeColor="text1"/>
                <w:sz w:val="16"/>
                <w:szCs w:val="14"/>
                <w:lang w:val="sq-AL"/>
              </w:rPr>
            </w:pPr>
          </w:p>
        </w:tc>
        <w:tc>
          <w:tcPr>
            <w:tcW w:w="590" w:type="pct"/>
            <w:shd w:val="clear" w:color="auto" w:fill="D9D9D9" w:themeFill="background1" w:themeFillShade="D9"/>
            <w:vAlign w:val="center"/>
          </w:tcPr>
          <w:p w14:paraId="7EDE9A8A" w14:textId="0149FD9C" w:rsidR="007534E2" w:rsidRPr="004A47DC" w:rsidRDefault="007534E2" w:rsidP="007534E2">
            <w:pPr>
              <w:jc w:val="center"/>
              <w:rPr>
                <w:rFonts w:ascii="Garamond" w:hAnsi="Garamond"/>
                <w:color w:val="000000" w:themeColor="text1"/>
                <w:sz w:val="16"/>
                <w:szCs w:val="14"/>
                <w:lang w:val="sq-AL"/>
              </w:rPr>
            </w:pPr>
            <w:r w:rsidRPr="004A47DC">
              <w:rPr>
                <w:rFonts w:ascii="Garamond" w:hAnsi="Garamond"/>
                <w:color w:val="000000" w:themeColor="text1"/>
                <w:sz w:val="16"/>
                <w:szCs w:val="14"/>
                <w:lang w:val="sq-AL"/>
              </w:rPr>
              <w:t xml:space="preserve">Menaxhimi i </w:t>
            </w:r>
            <w:r w:rsidR="00B7021B" w:rsidRPr="004A47DC">
              <w:rPr>
                <w:rFonts w:ascii="Garamond" w:hAnsi="Garamond"/>
                <w:color w:val="000000" w:themeColor="text1"/>
                <w:sz w:val="16"/>
                <w:szCs w:val="14"/>
                <w:lang w:val="sq-AL"/>
              </w:rPr>
              <w:t>aseteve</w:t>
            </w:r>
          </w:p>
        </w:tc>
        <w:tc>
          <w:tcPr>
            <w:tcW w:w="545" w:type="pct"/>
            <w:shd w:val="clear" w:color="auto" w:fill="FFFFFF" w:themeFill="background1"/>
            <w:vAlign w:val="center"/>
          </w:tcPr>
          <w:p w14:paraId="3CDB9758" w14:textId="77777777" w:rsidR="007534E2" w:rsidRPr="004A47DC" w:rsidRDefault="007534E2" w:rsidP="007534E2">
            <w:pPr>
              <w:jc w:val="center"/>
              <w:rPr>
                <w:rFonts w:ascii="Garamond" w:hAnsi="Garamond"/>
                <w:color w:val="000000" w:themeColor="text1"/>
                <w:sz w:val="16"/>
                <w:szCs w:val="14"/>
                <w:lang w:val="sq-AL"/>
              </w:rPr>
            </w:pPr>
          </w:p>
        </w:tc>
        <w:tc>
          <w:tcPr>
            <w:tcW w:w="681" w:type="pct"/>
            <w:shd w:val="clear" w:color="auto" w:fill="FFFFFF" w:themeFill="background1"/>
            <w:vAlign w:val="center"/>
          </w:tcPr>
          <w:p w14:paraId="4F49E482" w14:textId="77777777" w:rsidR="007534E2" w:rsidRPr="004A47DC" w:rsidRDefault="007534E2" w:rsidP="007534E2">
            <w:pPr>
              <w:jc w:val="center"/>
              <w:rPr>
                <w:rFonts w:ascii="Garamond" w:hAnsi="Garamond"/>
                <w:color w:val="000000" w:themeColor="text1"/>
                <w:sz w:val="16"/>
                <w:szCs w:val="14"/>
                <w:lang w:val="sq-AL"/>
              </w:rPr>
            </w:pPr>
          </w:p>
        </w:tc>
      </w:tr>
    </w:tbl>
    <w:p w14:paraId="60DAFE85" w14:textId="391F6D21" w:rsidR="006D45BD" w:rsidRPr="004A47DC" w:rsidRDefault="006D45BD" w:rsidP="001326BB">
      <w:pPr>
        <w:pStyle w:val="TEKSTIII"/>
        <w:rPr>
          <w:color w:val="000000" w:themeColor="text1"/>
        </w:rPr>
      </w:pPr>
    </w:p>
    <w:p w14:paraId="1373E745" w14:textId="69A0BBC6" w:rsidR="001326BB" w:rsidRPr="004A47DC" w:rsidRDefault="001326BB" w:rsidP="001326BB">
      <w:pPr>
        <w:pStyle w:val="TEKSTIII"/>
        <w:rPr>
          <w:b/>
          <w:color w:val="000000" w:themeColor="text1"/>
        </w:rPr>
      </w:pPr>
      <w:bookmarkStart w:id="1" w:name="_Toc168918668"/>
      <w:r w:rsidRPr="004A47DC">
        <w:rPr>
          <w:b/>
          <w:color w:val="000000" w:themeColor="text1"/>
        </w:rPr>
        <w:t>1.3 Përafrimi me Kuadrin Strategjik për Zhvillim Kombëtar, Integrimin Evropian, Reformat Ekonomike dhe Qeverisjen e Mirë</w:t>
      </w:r>
      <w:bookmarkEnd w:id="1"/>
      <w:r w:rsidRPr="004A47DC">
        <w:rPr>
          <w:b/>
          <w:color w:val="000000" w:themeColor="text1"/>
        </w:rPr>
        <w:t xml:space="preserve"> </w:t>
      </w:r>
    </w:p>
    <w:p w14:paraId="0D42D5C9" w14:textId="77777777" w:rsidR="001326BB" w:rsidRPr="004A47DC" w:rsidRDefault="001326BB" w:rsidP="001326BB">
      <w:pPr>
        <w:pStyle w:val="TEKSTIII"/>
        <w:rPr>
          <w:color w:val="000000" w:themeColor="text1"/>
        </w:rPr>
      </w:pPr>
      <w:r w:rsidRPr="004A47DC">
        <w:rPr>
          <w:color w:val="000000" w:themeColor="text1"/>
        </w:rPr>
        <w:t xml:space="preserve">Kjo </w:t>
      </w:r>
      <w:r w:rsidRPr="004A47DC">
        <w:rPr>
          <w:rStyle w:val="rynqvb"/>
          <w:color w:val="000000" w:themeColor="text1"/>
        </w:rPr>
        <w:t>strategji sektoriale e MFP-së është zhvilluar në përputhje me Kuadrin Strategjik për Zhvillimin Kombëtar, Integrimin Evropian, Reformat Ekonomike dhe Qeverisjen e Mirë, e cila nga ana e saj përfshin sa vijon:</w:t>
      </w:r>
    </w:p>
    <w:p w14:paraId="5810385D" w14:textId="72F6A322" w:rsidR="001326BB" w:rsidRPr="004A47DC" w:rsidRDefault="001326BB" w:rsidP="001326BB">
      <w:pPr>
        <w:pStyle w:val="TEKSTIII"/>
        <w:rPr>
          <w:color w:val="000000" w:themeColor="text1"/>
        </w:rPr>
      </w:pPr>
      <w:r w:rsidRPr="004A47DC">
        <w:rPr>
          <w:color w:val="000000" w:themeColor="text1"/>
        </w:rPr>
        <w:t xml:space="preserve">- Strategjia </w:t>
      </w:r>
      <w:r w:rsidRPr="004A47DC">
        <w:rPr>
          <w:rStyle w:val="rynqvb"/>
          <w:color w:val="000000" w:themeColor="text1"/>
        </w:rPr>
        <w:t>Kombëtare për Zhvillim dhe Integrim Evropian (SKZHIE) 2022</w:t>
      </w:r>
      <w:r w:rsidR="00B7021B" w:rsidRPr="004A47DC">
        <w:rPr>
          <w:color w:val="000000" w:themeColor="text1"/>
        </w:rPr>
        <w:t>–</w:t>
      </w:r>
      <w:r w:rsidRPr="004A47DC">
        <w:rPr>
          <w:rStyle w:val="rynqvb"/>
          <w:color w:val="000000" w:themeColor="text1"/>
        </w:rPr>
        <w:t>2030</w:t>
      </w:r>
      <w:r w:rsidR="00B7021B" w:rsidRPr="004A47DC">
        <w:rPr>
          <w:rStyle w:val="rynqvb"/>
          <w:color w:val="000000" w:themeColor="text1"/>
        </w:rPr>
        <w:t>;</w:t>
      </w:r>
    </w:p>
    <w:p w14:paraId="014F3868" w14:textId="7ADD4CDA" w:rsidR="001326BB" w:rsidRPr="004A47DC" w:rsidRDefault="001326BB" w:rsidP="001326BB">
      <w:pPr>
        <w:pStyle w:val="TEKSTIII"/>
        <w:rPr>
          <w:color w:val="000000" w:themeColor="text1"/>
        </w:rPr>
      </w:pPr>
      <w:r w:rsidRPr="004A47DC">
        <w:rPr>
          <w:color w:val="000000" w:themeColor="text1"/>
        </w:rPr>
        <w:t>- Udhërrëfyesi për Reformën në Administratën Publike 2023</w:t>
      </w:r>
      <w:r w:rsidR="00B7021B" w:rsidRPr="004A47DC">
        <w:rPr>
          <w:color w:val="000000" w:themeColor="text1"/>
        </w:rPr>
        <w:t>–</w:t>
      </w:r>
      <w:r w:rsidRPr="004A47DC">
        <w:rPr>
          <w:color w:val="000000" w:themeColor="text1"/>
        </w:rPr>
        <w:t>2030</w:t>
      </w:r>
      <w:r w:rsidR="00B7021B" w:rsidRPr="004A47DC">
        <w:rPr>
          <w:color w:val="000000" w:themeColor="text1"/>
        </w:rPr>
        <w:t>;</w:t>
      </w:r>
    </w:p>
    <w:p w14:paraId="5733A17B" w14:textId="5061D53F" w:rsidR="001326BB" w:rsidRPr="004A47DC" w:rsidRDefault="001326BB" w:rsidP="001326BB">
      <w:pPr>
        <w:pStyle w:val="TEKSTIII"/>
        <w:rPr>
          <w:rStyle w:val="rynqvb"/>
          <w:color w:val="000000" w:themeColor="text1"/>
        </w:rPr>
      </w:pPr>
      <w:r w:rsidRPr="004A47DC">
        <w:rPr>
          <w:rStyle w:val="rynqvb"/>
          <w:color w:val="000000" w:themeColor="text1"/>
        </w:rPr>
        <w:t>- Plani Kombëtar për Integrimin Evropian (PKIE)</w:t>
      </w:r>
      <w:r w:rsidR="00B7021B" w:rsidRPr="004A47DC">
        <w:rPr>
          <w:rStyle w:val="rynqvb"/>
          <w:color w:val="000000" w:themeColor="text1"/>
        </w:rPr>
        <w:t>;</w:t>
      </w:r>
    </w:p>
    <w:p w14:paraId="72C6D242" w14:textId="543EBBD6" w:rsidR="001326BB" w:rsidRPr="004A47DC" w:rsidRDefault="001326BB" w:rsidP="001326BB">
      <w:pPr>
        <w:pStyle w:val="TEKSTIII"/>
        <w:rPr>
          <w:rStyle w:val="rynqvb"/>
          <w:color w:val="000000" w:themeColor="text1"/>
        </w:rPr>
      </w:pPr>
      <w:r w:rsidRPr="004A47DC">
        <w:rPr>
          <w:rStyle w:val="rynqvb"/>
          <w:color w:val="000000" w:themeColor="text1"/>
        </w:rPr>
        <w:t>- Strategjia Ndërsektoriale për Decentralizimin dhe Qeverisjen Vendore 2023</w:t>
      </w:r>
      <w:r w:rsidR="00B7021B" w:rsidRPr="004A47DC">
        <w:rPr>
          <w:color w:val="000000" w:themeColor="text1"/>
        </w:rPr>
        <w:t>–</w:t>
      </w:r>
      <w:r w:rsidRPr="004A47DC">
        <w:rPr>
          <w:rStyle w:val="rynqvb"/>
          <w:color w:val="000000" w:themeColor="text1"/>
        </w:rPr>
        <w:t>2030</w:t>
      </w:r>
      <w:r w:rsidR="00B7021B" w:rsidRPr="004A47DC">
        <w:rPr>
          <w:rStyle w:val="rynqvb"/>
          <w:color w:val="000000" w:themeColor="text1"/>
        </w:rPr>
        <w:t>;</w:t>
      </w:r>
    </w:p>
    <w:p w14:paraId="507D2CD4" w14:textId="21CBB93D" w:rsidR="001326BB" w:rsidRPr="004A47DC" w:rsidRDefault="001326BB" w:rsidP="001326BB">
      <w:pPr>
        <w:pStyle w:val="TEKSTIII"/>
        <w:rPr>
          <w:rStyle w:val="rynqvb"/>
          <w:color w:val="000000" w:themeColor="text1"/>
        </w:rPr>
      </w:pPr>
      <w:r w:rsidRPr="004A47DC">
        <w:rPr>
          <w:rStyle w:val="rynqvb"/>
          <w:color w:val="000000" w:themeColor="text1"/>
        </w:rPr>
        <w:t>- Strategjia kundër korrupsionit 2024</w:t>
      </w:r>
      <w:r w:rsidR="00B7021B" w:rsidRPr="004A47DC">
        <w:rPr>
          <w:color w:val="000000" w:themeColor="text1"/>
        </w:rPr>
        <w:t>–</w:t>
      </w:r>
      <w:r w:rsidRPr="004A47DC">
        <w:rPr>
          <w:rStyle w:val="rynqvb"/>
          <w:color w:val="000000" w:themeColor="text1"/>
        </w:rPr>
        <w:t>2030 (në zhvillim)</w:t>
      </w:r>
      <w:r w:rsidR="00F473EA" w:rsidRPr="004A47DC">
        <w:rPr>
          <w:rStyle w:val="rynqvb"/>
          <w:color w:val="000000" w:themeColor="text1"/>
        </w:rPr>
        <w:t>;</w:t>
      </w:r>
    </w:p>
    <w:p w14:paraId="6D2DAEC8" w14:textId="1F8E0E70" w:rsidR="001326BB" w:rsidRPr="004A47DC" w:rsidRDefault="001326BB" w:rsidP="001326BB">
      <w:pPr>
        <w:pStyle w:val="TEKSTIII"/>
        <w:rPr>
          <w:rStyle w:val="rynqvb"/>
          <w:color w:val="000000" w:themeColor="text1"/>
        </w:rPr>
      </w:pPr>
      <w:r w:rsidRPr="004A47DC">
        <w:rPr>
          <w:rStyle w:val="rynqvb"/>
          <w:color w:val="000000" w:themeColor="text1"/>
        </w:rPr>
        <w:t>- Programi i Statistikave Zyrtare (PSZ) 2022–2026</w:t>
      </w:r>
      <w:r w:rsidR="00F473EA" w:rsidRPr="004A47DC">
        <w:rPr>
          <w:rStyle w:val="rynqvb"/>
          <w:color w:val="000000" w:themeColor="text1"/>
        </w:rPr>
        <w:t>;</w:t>
      </w:r>
    </w:p>
    <w:p w14:paraId="0C9732D5" w14:textId="575665A0" w:rsidR="001326BB" w:rsidRPr="004A47DC" w:rsidRDefault="001326BB" w:rsidP="001326BB">
      <w:pPr>
        <w:pStyle w:val="TEKSTIII"/>
        <w:rPr>
          <w:rStyle w:val="rynqvb"/>
          <w:color w:val="000000" w:themeColor="text1"/>
        </w:rPr>
      </w:pPr>
      <w:r w:rsidRPr="004A47DC">
        <w:rPr>
          <w:rStyle w:val="rynqvb"/>
          <w:color w:val="000000" w:themeColor="text1"/>
        </w:rPr>
        <w:t>- Programi i Reformës Ekonomike (PRE)</w:t>
      </w:r>
      <w:r w:rsidR="00F473EA" w:rsidRPr="004A47DC">
        <w:rPr>
          <w:rStyle w:val="rynqvb"/>
          <w:color w:val="000000" w:themeColor="text1"/>
        </w:rPr>
        <w:t>;</w:t>
      </w:r>
    </w:p>
    <w:p w14:paraId="1F85D8BE" w14:textId="32A9110A" w:rsidR="001326BB" w:rsidRPr="004A47DC" w:rsidRDefault="001326BB" w:rsidP="001326BB">
      <w:pPr>
        <w:pStyle w:val="TEKSTIII"/>
        <w:rPr>
          <w:rStyle w:val="rynqvb"/>
          <w:color w:val="000000" w:themeColor="text1"/>
        </w:rPr>
      </w:pPr>
      <w:r w:rsidRPr="004A47DC">
        <w:rPr>
          <w:rStyle w:val="rynqvb"/>
          <w:color w:val="000000" w:themeColor="text1"/>
        </w:rPr>
        <w:t>- A</w:t>
      </w:r>
      <w:r w:rsidR="00B05964" w:rsidRPr="004A47DC">
        <w:rPr>
          <w:rStyle w:val="rynqvb"/>
          <w:color w:val="000000" w:themeColor="text1"/>
        </w:rPr>
        <w:t>gj</w:t>
      </w:r>
      <w:r w:rsidRPr="004A47DC">
        <w:rPr>
          <w:rStyle w:val="rynqvb"/>
          <w:color w:val="000000" w:themeColor="text1"/>
        </w:rPr>
        <w:t>enda e Kombeve të Bashkuara 2030 për Zhvillim të Qëndrueshëm</w:t>
      </w:r>
      <w:r w:rsidR="00F473EA" w:rsidRPr="004A47DC">
        <w:rPr>
          <w:rStyle w:val="rynqvb"/>
          <w:color w:val="000000" w:themeColor="text1"/>
        </w:rPr>
        <w:t>.</w:t>
      </w:r>
    </w:p>
    <w:p w14:paraId="4FDDA0A5" w14:textId="4277238D" w:rsidR="001326BB" w:rsidRPr="004A47DC" w:rsidRDefault="001326BB" w:rsidP="001326BB">
      <w:pPr>
        <w:pStyle w:val="TEKSTIII"/>
        <w:rPr>
          <w:b/>
          <w:bCs/>
          <w:color w:val="000000" w:themeColor="text1"/>
        </w:rPr>
      </w:pPr>
      <w:r w:rsidRPr="004A47DC">
        <w:rPr>
          <w:b/>
          <w:bCs/>
          <w:color w:val="000000" w:themeColor="text1"/>
        </w:rPr>
        <w:t>Strategjia Kombëtare për Zhvillim dhe Integrim Evropian 2022</w:t>
      </w:r>
      <w:r w:rsidR="00B7021B" w:rsidRPr="004A47DC">
        <w:rPr>
          <w:color w:val="000000" w:themeColor="text1"/>
        </w:rPr>
        <w:t>–</w:t>
      </w:r>
      <w:r w:rsidRPr="004A47DC">
        <w:rPr>
          <w:b/>
          <w:bCs/>
          <w:color w:val="000000" w:themeColor="text1"/>
        </w:rPr>
        <w:t xml:space="preserve">2030 </w:t>
      </w:r>
    </w:p>
    <w:p w14:paraId="0468AAF1" w14:textId="319F6630" w:rsidR="001326BB" w:rsidRPr="004A47DC" w:rsidRDefault="001326BB" w:rsidP="001326BB">
      <w:pPr>
        <w:pStyle w:val="TEKSTIII"/>
        <w:rPr>
          <w:color w:val="000000" w:themeColor="text1"/>
        </w:rPr>
      </w:pPr>
      <w:r w:rsidRPr="004A47DC">
        <w:rPr>
          <w:color w:val="000000" w:themeColor="text1"/>
        </w:rPr>
        <w:t>SKZHIE</w:t>
      </w:r>
      <w:r w:rsidR="00B05964" w:rsidRPr="004A47DC">
        <w:rPr>
          <w:color w:val="000000" w:themeColor="text1"/>
        </w:rPr>
        <w:t>-ja</w:t>
      </w:r>
      <w:r w:rsidRPr="004A47DC">
        <w:rPr>
          <w:color w:val="000000" w:themeColor="text1"/>
        </w:rPr>
        <w:t xml:space="preserve"> përcakton drejtimin e zhvillimit të Shqipërisë deri në vitin 2030</w:t>
      </w:r>
      <w:r w:rsidR="00B526E3" w:rsidRPr="004A47DC">
        <w:rPr>
          <w:color w:val="000000" w:themeColor="text1"/>
        </w:rPr>
        <w:t>,</w:t>
      </w:r>
      <w:r w:rsidRPr="004A47DC">
        <w:rPr>
          <w:color w:val="000000" w:themeColor="text1"/>
        </w:rPr>
        <w:t xml:space="preserve"> me synim parësor integrimin e plotë në Bashkimin Evropian. Tr</w:t>
      </w:r>
      <w:r w:rsidR="00B526E3" w:rsidRPr="004A47DC">
        <w:rPr>
          <w:color w:val="000000" w:themeColor="text1"/>
        </w:rPr>
        <w:t>i</w:t>
      </w:r>
      <w:r w:rsidRPr="004A47DC">
        <w:rPr>
          <w:color w:val="000000" w:themeColor="text1"/>
        </w:rPr>
        <w:t xml:space="preserve"> shtyllat kryesore të strategjisë janë</w:t>
      </w:r>
      <w:r w:rsidR="00F473EA" w:rsidRPr="004A47DC">
        <w:rPr>
          <w:color w:val="000000" w:themeColor="text1"/>
        </w:rPr>
        <w:t>:</w:t>
      </w:r>
      <w:r w:rsidRPr="004A47DC">
        <w:rPr>
          <w:color w:val="000000" w:themeColor="text1"/>
        </w:rPr>
        <w:t xml:space="preserve"> i</w:t>
      </w:r>
      <w:r w:rsidR="00F473EA" w:rsidRPr="004A47DC">
        <w:rPr>
          <w:color w:val="000000" w:themeColor="text1"/>
        </w:rPr>
        <w:t>.</w:t>
      </w:r>
      <w:r w:rsidRPr="004A47DC">
        <w:rPr>
          <w:color w:val="000000" w:themeColor="text1"/>
        </w:rPr>
        <w:t xml:space="preserve"> Demokracia e fuqizimi i institucioneve dhe qeverisjes së mirë; ii</w:t>
      </w:r>
      <w:r w:rsidR="00F473EA" w:rsidRPr="004A47DC">
        <w:rPr>
          <w:color w:val="000000" w:themeColor="text1"/>
        </w:rPr>
        <w:t>.</w:t>
      </w:r>
      <w:r w:rsidRPr="004A47DC">
        <w:rPr>
          <w:color w:val="000000" w:themeColor="text1"/>
        </w:rPr>
        <w:t xml:space="preserve"> A</w:t>
      </w:r>
      <w:r w:rsidR="00F473EA" w:rsidRPr="004A47DC">
        <w:rPr>
          <w:color w:val="000000" w:themeColor="text1"/>
        </w:rPr>
        <w:t>gj</w:t>
      </w:r>
      <w:r w:rsidRPr="004A47DC">
        <w:rPr>
          <w:color w:val="000000" w:themeColor="text1"/>
        </w:rPr>
        <w:t>enda për zhvillim të qëndrueshëm ekonomik, ndërlidhjen dhe rritjen e gjelbër</w:t>
      </w:r>
      <w:r w:rsidR="00F473EA" w:rsidRPr="004A47DC">
        <w:rPr>
          <w:color w:val="000000" w:themeColor="text1"/>
        </w:rPr>
        <w:t>;</w:t>
      </w:r>
      <w:r w:rsidRPr="004A47DC">
        <w:rPr>
          <w:color w:val="000000" w:themeColor="text1"/>
        </w:rPr>
        <w:t xml:space="preserve"> dhe iii</w:t>
      </w:r>
      <w:r w:rsidR="00F473EA" w:rsidRPr="004A47DC">
        <w:rPr>
          <w:color w:val="000000" w:themeColor="text1"/>
        </w:rPr>
        <w:t>.</w:t>
      </w:r>
      <w:r w:rsidRPr="004A47DC">
        <w:rPr>
          <w:color w:val="000000" w:themeColor="text1"/>
        </w:rPr>
        <w:t xml:space="preserve"> Kohezioni social. SKZHIE</w:t>
      </w:r>
      <w:r w:rsidR="00B526E3" w:rsidRPr="004A47DC">
        <w:rPr>
          <w:color w:val="000000" w:themeColor="text1"/>
        </w:rPr>
        <w:t>-ja</w:t>
      </w:r>
      <w:r w:rsidRPr="004A47DC">
        <w:rPr>
          <w:color w:val="000000" w:themeColor="text1"/>
        </w:rPr>
        <w:t xml:space="preserve"> përfshin në seksionin </w:t>
      </w:r>
      <w:r w:rsidR="00E33A13" w:rsidRPr="004A47DC">
        <w:rPr>
          <w:color w:val="000000" w:themeColor="text1"/>
        </w:rPr>
        <w:t>“</w:t>
      </w:r>
      <w:r w:rsidRPr="004A47DC">
        <w:rPr>
          <w:color w:val="000000" w:themeColor="text1"/>
        </w:rPr>
        <w:t>Qeverisja e mirë, e hapur dhe administrimi publik</w:t>
      </w:r>
      <w:r w:rsidR="00E33A13" w:rsidRPr="004A47DC">
        <w:rPr>
          <w:color w:val="000000" w:themeColor="text1"/>
        </w:rPr>
        <w:t>”</w:t>
      </w:r>
      <w:r w:rsidRPr="004A47DC">
        <w:rPr>
          <w:color w:val="000000" w:themeColor="text1"/>
        </w:rPr>
        <w:t xml:space="preserve"> nën shtyllën 1 objektivat e politikave të mëposhtme: i</w:t>
      </w:r>
      <w:r w:rsidR="00F473EA" w:rsidRPr="004A47DC">
        <w:rPr>
          <w:color w:val="000000" w:themeColor="text1"/>
        </w:rPr>
        <w:t>.</w:t>
      </w:r>
      <w:r w:rsidRPr="004A47DC">
        <w:rPr>
          <w:color w:val="000000" w:themeColor="text1"/>
        </w:rPr>
        <w:t xml:space="preserve"> një planifikim strategjik efektiv dhe një politikëbërje e bazuar në dëshmi, gjithëpërfshirëse dhe transparente në qeverisjen qendrore dhe vendore</w:t>
      </w:r>
      <w:r w:rsidR="00F473EA" w:rsidRPr="004A47DC">
        <w:rPr>
          <w:color w:val="000000" w:themeColor="text1"/>
        </w:rPr>
        <w:t>;</w:t>
      </w:r>
      <w:r w:rsidRPr="004A47DC">
        <w:rPr>
          <w:color w:val="000000" w:themeColor="text1"/>
        </w:rPr>
        <w:t xml:space="preserve"> dhe ii</w:t>
      </w:r>
      <w:r w:rsidR="00F473EA" w:rsidRPr="004A47DC">
        <w:rPr>
          <w:color w:val="000000" w:themeColor="text1"/>
        </w:rPr>
        <w:t>.</w:t>
      </w:r>
      <w:r w:rsidRPr="004A47DC">
        <w:rPr>
          <w:color w:val="000000" w:themeColor="text1"/>
        </w:rPr>
        <w:t xml:space="preserve"> </w:t>
      </w:r>
      <w:r w:rsidR="00B526E3" w:rsidRPr="004A47DC">
        <w:rPr>
          <w:color w:val="000000" w:themeColor="text1"/>
        </w:rPr>
        <w:t>g</w:t>
      </w:r>
      <w:r w:rsidRPr="004A47DC">
        <w:rPr>
          <w:color w:val="000000" w:themeColor="text1"/>
        </w:rPr>
        <w:t>arantimi</w:t>
      </w:r>
      <w:r w:rsidR="00B526E3" w:rsidRPr="004A47DC">
        <w:rPr>
          <w:color w:val="000000" w:themeColor="text1"/>
        </w:rPr>
        <w:t>n</w:t>
      </w:r>
      <w:r w:rsidRPr="004A47DC">
        <w:rPr>
          <w:color w:val="000000" w:themeColor="text1"/>
        </w:rPr>
        <w:t xml:space="preserve"> </w:t>
      </w:r>
      <w:r w:rsidR="00B526E3" w:rsidRPr="004A47DC">
        <w:rPr>
          <w:color w:val="000000" w:themeColor="text1"/>
        </w:rPr>
        <w:t>e</w:t>
      </w:r>
      <w:r w:rsidRPr="004A47DC">
        <w:rPr>
          <w:color w:val="000000" w:themeColor="text1"/>
        </w:rPr>
        <w:t xml:space="preserve"> një sistemi të financave publike që nxit transparencën, llogaridhënien, disiplinën fiskale dhe efikasitetin në menaxhimin dhe përdorimin </w:t>
      </w:r>
      <w:r w:rsidR="00B526E3" w:rsidRPr="004A47DC">
        <w:rPr>
          <w:color w:val="000000" w:themeColor="text1"/>
        </w:rPr>
        <w:t>e</w:t>
      </w:r>
      <w:r w:rsidRPr="004A47DC">
        <w:rPr>
          <w:color w:val="000000" w:themeColor="text1"/>
        </w:rPr>
        <w:t xml:space="preserve"> burimeve publike për ofrimin e shërbimeve të përmirësuara dhe zhvillimin ekonomi</w:t>
      </w:r>
      <w:r w:rsidR="00B526E3" w:rsidRPr="004A47DC">
        <w:rPr>
          <w:color w:val="000000" w:themeColor="text1"/>
        </w:rPr>
        <w:t>k</w:t>
      </w:r>
      <w:r w:rsidRPr="004A47DC">
        <w:rPr>
          <w:color w:val="000000" w:themeColor="text1"/>
        </w:rPr>
        <w:t xml:space="preserve">. Ky seksion paraqet edhe objektivat që lidhen me Sistemin Statistikor Kombëtar. Gjithashtu në shtyllën 1 rritja e autonomisë financiare vendore nëpërmjet konsolidimit të sistemit të të ardhurave të veta është identifikuar si objektiv në seksionin </w:t>
      </w:r>
      <w:r w:rsidR="00E33A13" w:rsidRPr="004A47DC">
        <w:rPr>
          <w:color w:val="000000" w:themeColor="text1"/>
        </w:rPr>
        <w:t>“</w:t>
      </w:r>
      <w:r w:rsidRPr="004A47DC">
        <w:rPr>
          <w:color w:val="000000" w:themeColor="text1"/>
        </w:rPr>
        <w:t>Decentralizimi dhe fuqizimi i qeverisjes vendore</w:t>
      </w:r>
      <w:r w:rsidR="00E33A13" w:rsidRPr="004A47DC">
        <w:rPr>
          <w:color w:val="000000" w:themeColor="text1"/>
        </w:rPr>
        <w:t>”</w:t>
      </w:r>
      <w:r w:rsidRPr="004A47DC">
        <w:rPr>
          <w:color w:val="000000" w:themeColor="text1"/>
        </w:rPr>
        <w:t xml:space="preserve">. Në seksionin </w:t>
      </w:r>
      <w:r w:rsidR="00E33A13" w:rsidRPr="004A47DC">
        <w:rPr>
          <w:color w:val="000000" w:themeColor="text1"/>
        </w:rPr>
        <w:t>“</w:t>
      </w:r>
      <w:r w:rsidRPr="004A47DC">
        <w:rPr>
          <w:color w:val="000000" w:themeColor="text1"/>
        </w:rPr>
        <w:t>Forcimi i financave publike dhe stabiliteti fiskal</w:t>
      </w:r>
      <w:r w:rsidR="00E33A13" w:rsidRPr="004A47DC">
        <w:rPr>
          <w:color w:val="000000" w:themeColor="text1"/>
        </w:rPr>
        <w:t>”</w:t>
      </w:r>
      <w:r w:rsidRPr="004A47DC">
        <w:rPr>
          <w:color w:val="000000" w:themeColor="text1"/>
        </w:rPr>
        <w:t xml:space="preserve"> nën shtyllën 2 renditen objektivat e mëposhtëm në lidhje me MFP-në: i</w:t>
      </w:r>
      <w:r w:rsidR="00F473EA" w:rsidRPr="004A47DC">
        <w:rPr>
          <w:color w:val="000000" w:themeColor="text1"/>
        </w:rPr>
        <w:t>.</w:t>
      </w:r>
      <w:r w:rsidRPr="004A47DC">
        <w:rPr>
          <w:color w:val="000000" w:themeColor="text1"/>
        </w:rPr>
        <w:t xml:space="preserve"> Menaxhimi financiar i matur, efektiv dhe efikas i qeverisjes vendore; ii</w:t>
      </w:r>
      <w:r w:rsidR="00F473EA" w:rsidRPr="004A47DC">
        <w:rPr>
          <w:color w:val="000000" w:themeColor="text1"/>
        </w:rPr>
        <w:t>.</w:t>
      </w:r>
      <w:r w:rsidRPr="004A47DC">
        <w:rPr>
          <w:color w:val="000000" w:themeColor="text1"/>
        </w:rPr>
        <w:t xml:space="preserve"> Planifikimi dhe mbikëqyrja e investimeve publike</w:t>
      </w:r>
      <w:r w:rsidR="00F473EA" w:rsidRPr="004A47DC">
        <w:rPr>
          <w:color w:val="000000" w:themeColor="text1"/>
        </w:rPr>
        <w:t>;</w:t>
      </w:r>
      <w:r w:rsidRPr="004A47DC">
        <w:rPr>
          <w:color w:val="000000" w:themeColor="text1"/>
        </w:rPr>
        <w:t xml:space="preserve"> dhe iii</w:t>
      </w:r>
      <w:r w:rsidR="00F473EA" w:rsidRPr="004A47DC">
        <w:rPr>
          <w:color w:val="000000" w:themeColor="text1"/>
        </w:rPr>
        <w:t>.</w:t>
      </w:r>
      <w:r w:rsidRPr="004A47DC">
        <w:rPr>
          <w:color w:val="000000" w:themeColor="text1"/>
        </w:rPr>
        <w:t xml:space="preserve"> Forcimi dhe zbatimi i sistemit për Kontrollin e Brendshëm Financiar Publik në qeverisjen qendrore dhe vendore. I njëjti seksion artikulon gjithashtu qëllimet që lidhen me politikën dhe administrimin e të ardhurave dhe doganave.</w:t>
      </w:r>
    </w:p>
    <w:p w14:paraId="4E878DCE" w14:textId="77777777" w:rsidR="001326BB" w:rsidRPr="004A47DC" w:rsidRDefault="001326BB" w:rsidP="001326BB">
      <w:pPr>
        <w:pStyle w:val="TEKSTIII"/>
        <w:rPr>
          <w:b/>
          <w:bCs/>
          <w:color w:val="000000" w:themeColor="text1"/>
        </w:rPr>
      </w:pPr>
      <w:r w:rsidRPr="004A47DC">
        <w:rPr>
          <w:b/>
          <w:bCs/>
          <w:color w:val="000000" w:themeColor="text1"/>
        </w:rPr>
        <w:t xml:space="preserve">Plani Kombëtar për Integrimin Evropian </w:t>
      </w:r>
    </w:p>
    <w:p w14:paraId="41580695" w14:textId="60BB08A1" w:rsidR="001326BB" w:rsidRPr="004A47DC" w:rsidRDefault="001326BB" w:rsidP="001326BB">
      <w:pPr>
        <w:pStyle w:val="TEKSTIII"/>
        <w:rPr>
          <w:color w:val="000000" w:themeColor="text1"/>
        </w:rPr>
      </w:pPr>
      <w:r w:rsidRPr="004A47DC">
        <w:rPr>
          <w:color w:val="000000" w:themeColor="text1"/>
        </w:rPr>
        <w:t>Plani Kombëtar për Integrimin Evropian synon të bashkërendojë procesin e përafrimit me BE-në</w:t>
      </w:r>
      <w:r w:rsidR="00B526E3" w:rsidRPr="004A47DC">
        <w:rPr>
          <w:color w:val="000000" w:themeColor="text1"/>
        </w:rPr>
        <w:t>,</w:t>
      </w:r>
      <w:r w:rsidRPr="004A47DC">
        <w:rPr>
          <w:color w:val="000000" w:themeColor="text1"/>
        </w:rPr>
        <w:t xml:space="preserve"> duke synuar njëkohësisht përmbushjen e detyrimeve nga Marrëveshja e Stabilizim-Asociimit dhe detyrimet që dalin si pjesë e procesit të anëtarësimit në Bashkimin Evropian. Ai është përgatitur për një periudhë trevjeçare (2023</w:t>
      </w:r>
      <w:r w:rsidR="00F473EA" w:rsidRPr="004A47DC">
        <w:rPr>
          <w:color w:val="000000" w:themeColor="text1"/>
        </w:rPr>
        <w:t>–</w:t>
      </w:r>
      <w:r w:rsidRPr="004A47DC">
        <w:rPr>
          <w:color w:val="000000" w:themeColor="text1"/>
        </w:rPr>
        <w:t>2025) dhe përfshin aktet ligjore që do të miratohen nga institucionet shqiptare. MFP-ja</w:t>
      </w:r>
      <w:r w:rsidR="00B526E3" w:rsidRPr="004A47DC">
        <w:rPr>
          <w:color w:val="000000" w:themeColor="text1"/>
        </w:rPr>
        <w:t>,</w:t>
      </w:r>
      <w:r w:rsidRPr="004A47DC">
        <w:rPr>
          <w:color w:val="000000" w:themeColor="text1"/>
        </w:rPr>
        <w:t xml:space="preserve"> si pjesë e Reformës së Administratës Publike</w:t>
      </w:r>
      <w:r w:rsidR="00B526E3" w:rsidRPr="004A47DC">
        <w:rPr>
          <w:color w:val="000000" w:themeColor="text1"/>
        </w:rPr>
        <w:t>,</w:t>
      </w:r>
      <w:r w:rsidRPr="004A47DC">
        <w:rPr>
          <w:color w:val="000000" w:themeColor="text1"/>
        </w:rPr>
        <w:t xml:space="preserve"> në kuadër të </w:t>
      </w:r>
      <w:r w:rsidR="00B526E3" w:rsidRPr="004A47DC">
        <w:rPr>
          <w:color w:val="000000" w:themeColor="text1"/>
        </w:rPr>
        <w:t>kriterit politi</w:t>
      </w:r>
      <w:r w:rsidRPr="004A47DC">
        <w:rPr>
          <w:color w:val="000000" w:themeColor="text1"/>
        </w:rPr>
        <w:t>k</w:t>
      </w:r>
      <w:r w:rsidR="00B526E3" w:rsidRPr="004A47DC">
        <w:rPr>
          <w:color w:val="000000" w:themeColor="text1"/>
        </w:rPr>
        <w:t>,</w:t>
      </w:r>
      <w:r w:rsidRPr="004A47DC">
        <w:rPr>
          <w:color w:val="000000" w:themeColor="text1"/>
        </w:rPr>
        <w:t xml:space="preserve"> është pjesë përbërëse e PKIE-së. Gjithashtu, ka shumë kapituj që kanë të bëjnë me një fushë specifike të politikës së BE-së, të cilat në të njëjtën kohë janë pjesë e strategjisë së MFP-së. Më poshtë jepet lidhja ndërmjet këtyre kapitujve, objektivave dhe komponentëve specifikë të MFP-së.</w:t>
      </w:r>
    </w:p>
    <w:p w14:paraId="711E6E33" w14:textId="75039B12" w:rsidR="001326BB" w:rsidRPr="004A47DC" w:rsidRDefault="001326BB" w:rsidP="001326BB">
      <w:pPr>
        <w:pStyle w:val="TEKSTIII"/>
        <w:rPr>
          <w:color w:val="000000" w:themeColor="text1"/>
        </w:rPr>
      </w:pPr>
      <w:r w:rsidRPr="004A47DC">
        <w:rPr>
          <w:color w:val="000000" w:themeColor="text1"/>
        </w:rPr>
        <w:t>PKIE 2024</w:t>
      </w:r>
      <w:r w:rsidR="00F473EA" w:rsidRPr="004A47DC">
        <w:rPr>
          <w:color w:val="000000" w:themeColor="text1"/>
        </w:rPr>
        <w:t>–</w:t>
      </w:r>
      <w:r w:rsidRPr="004A47DC">
        <w:rPr>
          <w:color w:val="000000" w:themeColor="text1"/>
        </w:rPr>
        <w:t>2026 përfshin masat e politik</w:t>
      </w:r>
      <w:r w:rsidR="00B526E3" w:rsidRPr="004A47DC">
        <w:rPr>
          <w:color w:val="000000" w:themeColor="text1"/>
        </w:rPr>
        <w:t>ë</w:t>
      </w:r>
      <w:r w:rsidRPr="004A47DC">
        <w:rPr>
          <w:color w:val="000000" w:themeColor="text1"/>
        </w:rPr>
        <w:t>s, ligjore, institucionale dhe zbatuese që do të miratohen nga institucionet shqiptare për këtë periudhë. Dokumenti është i lidhur me ciklin e programimit të Programit Buxhetor Afatmesëm dhe në të njëjtën linjë me PBA-në mbulon një periudhë 3-vjeçare buxhetimi dhe përditësohet çdo vit.</w:t>
      </w:r>
    </w:p>
    <w:p w14:paraId="3776848D" w14:textId="77777777" w:rsidR="001326BB" w:rsidRPr="004A47DC" w:rsidRDefault="001326BB" w:rsidP="001326BB">
      <w:pPr>
        <w:pStyle w:val="TEKSTIII"/>
        <w:rPr>
          <w:color w:val="000000" w:themeColor="text1"/>
        </w:rPr>
      </w:pP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4696"/>
        <w:gridCol w:w="1995"/>
        <w:gridCol w:w="2370"/>
      </w:tblGrid>
      <w:tr w:rsidR="004719D2" w:rsidRPr="004A47DC" w14:paraId="7E8B071F" w14:textId="77777777" w:rsidTr="00D571AD">
        <w:tc>
          <w:tcPr>
            <w:tcW w:w="4673" w:type="dxa"/>
            <w:shd w:val="clear" w:color="auto" w:fill="D9D9D9" w:themeFill="background1" w:themeFillShade="D9"/>
          </w:tcPr>
          <w:p w14:paraId="58C7EFF6" w14:textId="3AEB8464" w:rsidR="001326BB" w:rsidRPr="004A47DC" w:rsidRDefault="001326BB" w:rsidP="001750A8">
            <w:pPr>
              <w:pStyle w:val="TEKSTIII"/>
              <w:ind w:firstLine="0"/>
              <w:rPr>
                <w:b/>
                <w:color w:val="000000" w:themeColor="text1"/>
                <w:sz w:val="22"/>
              </w:rPr>
            </w:pPr>
            <w:r w:rsidRPr="004A47DC">
              <w:rPr>
                <w:b/>
                <w:color w:val="000000" w:themeColor="text1"/>
                <w:sz w:val="22"/>
              </w:rPr>
              <w:t>Referenca me PKIE</w:t>
            </w:r>
            <w:r w:rsidR="00B05964" w:rsidRPr="004A47DC">
              <w:rPr>
                <w:b/>
                <w:color w:val="000000" w:themeColor="text1"/>
                <w:sz w:val="22"/>
              </w:rPr>
              <w:t>-në</w:t>
            </w:r>
          </w:p>
        </w:tc>
        <w:tc>
          <w:tcPr>
            <w:tcW w:w="4343" w:type="dxa"/>
            <w:gridSpan w:val="2"/>
            <w:tcBorders>
              <w:bottom w:val="single" w:sz="4" w:space="0" w:color="auto"/>
            </w:tcBorders>
            <w:shd w:val="clear" w:color="auto" w:fill="D9D9D9" w:themeFill="background1" w:themeFillShade="D9"/>
          </w:tcPr>
          <w:p w14:paraId="094D88F0" w14:textId="77777777" w:rsidR="001326BB" w:rsidRPr="004A47DC" w:rsidRDefault="001326BB" w:rsidP="001750A8">
            <w:pPr>
              <w:pStyle w:val="TEKSTIII"/>
              <w:ind w:firstLine="0"/>
              <w:rPr>
                <w:b/>
                <w:color w:val="000000" w:themeColor="text1"/>
                <w:sz w:val="22"/>
              </w:rPr>
            </w:pPr>
            <w:r w:rsidRPr="004A47DC">
              <w:rPr>
                <w:b/>
                <w:color w:val="000000" w:themeColor="text1"/>
                <w:sz w:val="22"/>
              </w:rPr>
              <w:t>Referenca me Strategjinë e MFP-së</w:t>
            </w:r>
          </w:p>
        </w:tc>
      </w:tr>
      <w:tr w:rsidR="004719D2" w:rsidRPr="004A47DC" w14:paraId="01DF62AA" w14:textId="77777777" w:rsidTr="00D571AD">
        <w:tc>
          <w:tcPr>
            <w:tcW w:w="4673" w:type="dxa"/>
            <w:shd w:val="clear" w:color="auto" w:fill="auto"/>
          </w:tcPr>
          <w:p w14:paraId="369D2959" w14:textId="6BA11C23" w:rsidR="001326BB" w:rsidRPr="004A47DC" w:rsidRDefault="001326BB" w:rsidP="001750A8">
            <w:pPr>
              <w:pStyle w:val="TEKSTIII"/>
              <w:ind w:firstLine="0"/>
              <w:rPr>
                <w:color w:val="000000" w:themeColor="text1"/>
                <w:sz w:val="22"/>
              </w:rPr>
            </w:pPr>
            <w:r w:rsidRPr="004A47DC">
              <w:rPr>
                <w:color w:val="000000" w:themeColor="text1"/>
                <w:sz w:val="22"/>
              </w:rPr>
              <w:t>Kapitulli 5</w:t>
            </w:r>
            <w:r w:rsidR="00F473EA" w:rsidRPr="004A47DC">
              <w:rPr>
                <w:color w:val="000000" w:themeColor="text1"/>
                <w:sz w:val="22"/>
              </w:rPr>
              <w:t>.</w:t>
            </w:r>
            <w:r w:rsidRPr="004A47DC">
              <w:rPr>
                <w:color w:val="000000" w:themeColor="text1"/>
                <w:sz w:val="22"/>
              </w:rPr>
              <w:t xml:space="preserve"> Prokurimi </w:t>
            </w:r>
            <w:r w:rsidR="00F473EA" w:rsidRPr="004A47DC">
              <w:rPr>
                <w:color w:val="000000" w:themeColor="text1"/>
                <w:sz w:val="22"/>
              </w:rPr>
              <w:t>publik</w:t>
            </w:r>
          </w:p>
        </w:tc>
        <w:tc>
          <w:tcPr>
            <w:tcW w:w="1985" w:type="dxa"/>
            <w:tcBorders>
              <w:right w:val="nil"/>
            </w:tcBorders>
            <w:shd w:val="clear" w:color="auto" w:fill="auto"/>
          </w:tcPr>
          <w:p w14:paraId="46480330" w14:textId="77777777" w:rsidR="001326BB" w:rsidRPr="004A47DC" w:rsidRDefault="001326BB" w:rsidP="001750A8">
            <w:pPr>
              <w:pStyle w:val="TEKSTIII"/>
              <w:ind w:firstLine="0"/>
              <w:rPr>
                <w:color w:val="000000" w:themeColor="text1"/>
                <w:sz w:val="22"/>
              </w:rPr>
            </w:pPr>
            <w:r w:rsidRPr="004A47DC">
              <w:rPr>
                <w:color w:val="000000" w:themeColor="text1"/>
                <w:sz w:val="22"/>
              </w:rPr>
              <w:t>Shtylla 4</w:t>
            </w:r>
          </w:p>
        </w:tc>
        <w:tc>
          <w:tcPr>
            <w:tcW w:w="2358" w:type="dxa"/>
            <w:tcBorders>
              <w:left w:val="nil"/>
            </w:tcBorders>
            <w:shd w:val="clear" w:color="auto" w:fill="auto"/>
          </w:tcPr>
          <w:p w14:paraId="53AF29B2"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4.2</w:t>
            </w:r>
          </w:p>
        </w:tc>
      </w:tr>
      <w:tr w:rsidR="004719D2" w:rsidRPr="004A47DC" w14:paraId="49EB2CC5" w14:textId="77777777" w:rsidTr="00D571AD">
        <w:tc>
          <w:tcPr>
            <w:tcW w:w="4673" w:type="dxa"/>
            <w:shd w:val="clear" w:color="auto" w:fill="auto"/>
          </w:tcPr>
          <w:p w14:paraId="71D8D4CB" w14:textId="3A9AC1B7" w:rsidR="001326BB" w:rsidRPr="004A47DC" w:rsidRDefault="001326BB" w:rsidP="001750A8">
            <w:pPr>
              <w:pStyle w:val="TEKSTIII"/>
              <w:ind w:firstLine="0"/>
              <w:rPr>
                <w:color w:val="000000" w:themeColor="text1"/>
                <w:sz w:val="22"/>
              </w:rPr>
            </w:pPr>
            <w:r w:rsidRPr="004A47DC">
              <w:rPr>
                <w:color w:val="000000" w:themeColor="text1"/>
                <w:sz w:val="22"/>
              </w:rPr>
              <w:t>Kapitulli 16</w:t>
            </w:r>
            <w:r w:rsidR="00F473EA" w:rsidRPr="004A47DC">
              <w:rPr>
                <w:color w:val="000000" w:themeColor="text1"/>
                <w:sz w:val="22"/>
              </w:rPr>
              <w:t>.</w:t>
            </w:r>
            <w:r w:rsidRPr="004A47DC">
              <w:rPr>
                <w:color w:val="000000" w:themeColor="text1"/>
                <w:sz w:val="22"/>
              </w:rPr>
              <w:t xml:space="preserve"> Tatimet</w:t>
            </w:r>
          </w:p>
        </w:tc>
        <w:tc>
          <w:tcPr>
            <w:tcW w:w="1985" w:type="dxa"/>
            <w:tcBorders>
              <w:right w:val="nil"/>
            </w:tcBorders>
            <w:shd w:val="clear" w:color="auto" w:fill="auto"/>
          </w:tcPr>
          <w:p w14:paraId="26686311" w14:textId="77777777" w:rsidR="001326BB" w:rsidRPr="004A47DC" w:rsidRDefault="001326BB" w:rsidP="001750A8">
            <w:pPr>
              <w:pStyle w:val="TEKSTIII"/>
              <w:ind w:firstLine="0"/>
              <w:rPr>
                <w:color w:val="000000" w:themeColor="text1"/>
                <w:sz w:val="22"/>
              </w:rPr>
            </w:pPr>
            <w:r w:rsidRPr="004A47DC">
              <w:rPr>
                <w:color w:val="000000" w:themeColor="text1"/>
                <w:sz w:val="22"/>
              </w:rPr>
              <w:t>Shtylla 3</w:t>
            </w:r>
          </w:p>
        </w:tc>
        <w:tc>
          <w:tcPr>
            <w:tcW w:w="2358" w:type="dxa"/>
            <w:tcBorders>
              <w:left w:val="nil"/>
            </w:tcBorders>
            <w:shd w:val="clear" w:color="auto" w:fill="auto"/>
          </w:tcPr>
          <w:p w14:paraId="0DAD3C33"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3.1</w:t>
            </w:r>
          </w:p>
        </w:tc>
      </w:tr>
      <w:tr w:rsidR="004719D2" w:rsidRPr="004A47DC" w14:paraId="34EB88B0" w14:textId="77777777" w:rsidTr="00D571AD">
        <w:tc>
          <w:tcPr>
            <w:tcW w:w="4673" w:type="dxa"/>
            <w:shd w:val="clear" w:color="auto" w:fill="auto"/>
          </w:tcPr>
          <w:p w14:paraId="5E215CE7" w14:textId="060E8B28" w:rsidR="001326BB" w:rsidRPr="004A47DC" w:rsidRDefault="001326BB" w:rsidP="001750A8">
            <w:pPr>
              <w:pStyle w:val="TEKSTIII"/>
              <w:ind w:firstLine="0"/>
              <w:rPr>
                <w:color w:val="000000" w:themeColor="text1"/>
                <w:sz w:val="22"/>
              </w:rPr>
            </w:pPr>
            <w:r w:rsidRPr="004A47DC">
              <w:rPr>
                <w:color w:val="000000" w:themeColor="text1"/>
                <w:sz w:val="22"/>
              </w:rPr>
              <w:t>Kapitulli 17</w:t>
            </w:r>
            <w:r w:rsidR="00F473EA" w:rsidRPr="004A47DC">
              <w:rPr>
                <w:color w:val="000000" w:themeColor="text1"/>
                <w:sz w:val="22"/>
              </w:rPr>
              <w:t>.</w:t>
            </w:r>
            <w:r w:rsidRPr="004A47DC">
              <w:rPr>
                <w:color w:val="000000" w:themeColor="text1"/>
                <w:sz w:val="22"/>
              </w:rPr>
              <w:t xml:space="preserve"> Politika </w:t>
            </w:r>
            <w:r w:rsidR="00F473EA" w:rsidRPr="004A47DC">
              <w:rPr>
                <w:color w:val="000000" w:themeColor="text1"/>
                <w:sz w:val="22"/>
              </w:rPr>
              <w:t>ekonomike dhe monetare</w:t>
            </w:r>
          </w:p>
        </w:tc>
        <w:tc>
          <w:tcPr>
            <w:tcW w:w="1985" w:type="dxa"/>
            <w:tcBorders>
              <w:right w:val="nil"/>
            </w:tcBorders>
            <w:shd w:val="clear" w:color="auto" w:fill="auto"/>
          </w:tcPr>
          <w:p w14:paraId="40F5F3DE" w14:textId="77777777" w:rsidR="001326BB" w:rsidRPr="004A47DC" w:rsidRDefault="001326BB" w:rsidP="001750A8">
            <w:pPr>
              <w:pStyle w:val="TEKSTIII"/>
              <w:ind w:firstLine="0"/>
              <w:rPr>
                <w:color w:val="000000" w:themeColor="text1"/>
                <w:sz w:val="22"/>
              </w:rPr>
            </w:pPr>
            <w:r w:rsidRPr="004A47DC">
              <w:rPr>
                <w:color w:val="000000" w:themeColor="text1"/>
                <w:sz w:val="22"/>
              </w:rPr>
              <w:t>Shtylla 1</w:t>
            </w:r>
          </w:p>
        </w:tc>
        <w:tc>
          <w:tcPr>
            <w:tcW w:w="2358" w:type="dxa"/>
            <w:tcBorders>
              <w:left w:val="nil"/>
            </w:tcBorders>
            <w:shd w:val="clear" w:color="auto" w:fill="auto"/>
          </w:tcPr>
          <w:p w14:paraId="36995F58"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1.1</w:t>
            </w:r>
          </w:p>
        </w:tc>
      </w:tr>
      <w:tr w:rsidR="004719D2" w:rsidRPr="004A47DC" w14:paraId="171B4767" w14:textId="77777777" w:rsidTr="00D571AD">
        <w:tc>
          <w:tcPr>
            <w:tcW w:w="4673" w:type="dxa"/>
            <w:shd w:val="clear" w:color="auto" w:fill="auto"/>
          </w:tcPr>
          <w:p w14:paraId="4AE799FC" w14:textId="374AE4E2" w:rsidR="001326BB" w:rsidRPr="004A47DC" w:rsidRDefault="001326BB" w:rsidP="001750A8">
            <w:pPr>
              <w:pStyle w:val="TEKSTIII"/>
              <w:ind w:firstLine="0"/>
              <w:rPr>
                <w:color w:val="000000" w:themeColor="text1"/>
                <w:sz w:val="22"/>
              </w:rPr>
            </w:pPr>
            <w:r w:rsidRPr="004A47DC">
              <w:rPr>
                <w:color w:val="000000" w:themeColor="text1"/>
                <w:sz w:val="22"/>
              </w:rPr>
              <w:t>Kapitulli 18</w:t>
            </w:r>
            <w:r w:rsidR="00F473EA" w:rsidRPr="004A47DC">
              <w:rPr>
                <w:color w:val="000000" w:themeColor="text1"/>
                <w:sz w:val="22"/>
              </w:rPr>
              <w:t>.</w:t>
            </w:r>
            <w:r w:rsidRPr="004A47DC">
              <w:rPr>
                <w:color w:val="000000" w:themeColor="text1"/>
                <w:sz w:val="22"/>
              </w:rPr>
              <w:t xml:space="preserve"> Statistikat</w:t>
            </w:r>
          </w:p>
        </w:tc>
        <w:tc>
          <w:tcPr>
            <w:tcW w:w="1985" w:type="dxa"/>
            <w:tcBorders>
              <w:right w:val="nil"/>
            </w:tcBorders>
            <w:shd w:val="clear" w:color="auto" w:fill="auto"/>
          </w:tcPr>
          <w:p w14:paraId="320B2E6A" w14:textId="77777777" w:rsidR="001326BB" w:rsidRPr="004A47DC" w:rsidRDefault="001326BB" w:rsidP="001750A8">
            <w:pPr>
              <w:pStyle w:val="TEKSTIII"/>
              <w:ind w:firstLine="0"/>
              <w:rPr>
                <w:color w:val="000000" w:themeColor="text1"/>
                <w:sz w:val="22"/>
              </w:rPr>
            </w:pPr>
            <w:r w:rsidRPr="004A47DC">
              <w:rPr>
                <w:color w:val="000000" w:themeColor="text1"/>
                <w:sz w:val="22"/>
              </w:rPr>
              <w:t>Shtylla 4</w:t>
            </w:r>
          </w:p>
        </w:tc>
        <w:tc>
          <w:tcPr>
            <w:tcW w:w="2358" w:type="dxa"/>
            <w:tcBorders>
              <w:left w:val="nil"/>
            </w:tcBorders>
            <w:shd w:val="clear" w:color="auto" w:fill="auto"/>
          </w:tcPr>
          <w:p w14:paraId="7200787D"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4.1</w:t>
            </w:r>
          </w:p>
        </w:tc>
      </w:tr>
      <w:tr w:rsidR="004719D2" w:rsidRPr="004A47DC" w14:paraId="3DFE9BBA" w14:textId="77777777" w:rsidTr="00D571AD">
        <w:tc>
          <w:tcPr>
            <w:tcW w:w="4673" w:type="dxa"/>
            <w:shd w:val="clear" w:color="auto" w:fill="auto"/>
          </w:tcPr>
          <w:p w14:paraId="0C8EF4CA" w14:textId="48327EA5" w:rsidR="001326BB" w:rsidRPr="004A47DC" w:rsidRDefault="001326BB" w:rsidP="001750A8">
            <w:pPr>
              <w:pStyle w:val="TEKSTIII"/>
              <w:ind w:firstLine="0"/>
              <w:rPr>
                <w:color w:val="000000" w:themeColor="text1"/>
                <w:sz w:val="22"/>
              </w:rPr>
            </w:pPr>
            <w:r w:rsidRPr="004A47DC">
              <w:rPr>
                <w:color w:val="000000" w:themeColor="text1"/>
                <w:sz w:val="22"/>
              </w:rPr>
              <w:t>Kapitulli 22</w:t>
            </w:r>
            <w:r w:rsidR="00F473EA" w:rsidRPr="004A47DC">
              <w:rPr>
                <w:color w:val="000000" w:themeColor="text1"/>
                <w:sz w:val="22"/>
              </w:rPr>
              <w:t>.</w:t>
            </w:r>
            <w:r w:rsidRPr="004A47DC">
              <w:rPr>
                <w:color w:val="000000" w:themeColor="text1"/>
                <w:sz w:val="22"/>
              </w:rPr>
              <w:t xml:space="preserve"> Politikat </w:t>
            </w:r>
            <w:r w:rsidR="00F473EA" w:rsidRPr="004A47DC">
              <w:rPr>
                <w:color w:val="000000" w:themeColor="text1"/>
                <w:sz w:val="22"/>
              </w:rPr>
              <w:t>rajonale dhe koordinimi i instrumenteve strukturore</w:t>
            </w:r>
          </w:p>
        </w:tc>
        <w:tc>
          <w:tcPr>
            <w:tcW w:w="1985" w:type="dxa"/>
            <w:tcBorders>
              <w:right w:val="nil"/>
            </w:tcBorders>
            <w:shd w:val="clear" w:color="auto" w:fill="auto"/>
          </w:tcPr>
          <w:p w14:paraId="6351AFF7" w14:textId="77777777" w:rsidR="001326BB" w:rsidRPr="004A47DC" w:rsidRDefault="001326BB" w:rsidP="001750A8">
            <w:pPr>
              <w:pStyle w:val="TEKSTIII"/>
              <w:ind w:firstLine="0"/>
              <w:rPr>
                <w:color w:val="000000" w:themeColor="text1"/>
                <w:sz w:val="22"/>
              </w:rPr>
            </w:pPr>
            <w:r w:rsidRPr="004A47DC">
              <w:rPr>
                <w:color w:val="000000" w:themeColor="text1"/>
                <w:sz w:val="22"/>
              </w:rPr>
              <w:t>Shtylla 2; 5</w:t>
            </w:r>
          </w:p>
        </w:tc>
        <w:tc>
          <w:tcPr>
            <w:tcW w:w="2358" w:type="dxa"/>
            <w:tcBorders>
              <w:left w:val="nil"/>
            </w:tcBorders>
            <w:shd w:val="clear" w:color="auto" w:fill="auto"/>
          </w:tcPr>
          <w:p w14:paraId="4FD8749D"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2.1; 5.4</w:t>
            </w:r>
          </w:p>
        </w:tc>
      </w:tr>
      <w:tr w:rsidR="004719D2" w:rsidRPr="004A47DC" w14:paraId="163B40DC" w14:textId="77777777" w:rsidTr="00D571AD">
        <w:tc>
          <w:tcPr>
            <w:tcW w:w="4673" w:type="dxa"/>
            <w:shd w:val="clear" w:color="auto" w:fill="auto"/>
          </w:tcPr>
          <w:p w14:paraId="6BA90F9A" w14:textId="4A74A1D4" w:rsidR="001326BB" w:rsidRPr="004A47DC" w:rsidRDefault="001326BB" w:rsidP="001750A8">
            <w:pPr>
              <w:pStyle w:val="TEKSTIII"/>
              <w:ind w:firstLine="0"/>
              <w:rPr>
                <w:color w:val="000000" w:themeColor="text1"/>
                <w:sz w:val="22"/>
              </w:rPr>
            </w:pPr>
            <w:r w:rsidRPr="004A47DC">
              <w:rPr>
                <w:color w:val="000000" w:themeColor="text1"/>
                <w:sz w:val="22"/>
              </w:rPr>
              <w:t>Kapitulli 29</w:t>
            </w:r>
            <w:r w:rsidR="00F473EA" w:rsidRPr="004A47DC">
              <w:rPr>
                <w:color w:val="000000" w:themeColor="text1"/>
                <w:sz w:val="22"/>
              </w:rPr>
              <w:t>.</w:t>
            </w:r>
            <w:r w:rsidRPr="004A47DC">
              <w:rPr>
                <w:color w:val="000000" w:themeColor="text1"/>
                <w:sz w:val="22"/>
              </w:rPr>
              <w:t xml:space="preserve"> Bashkimi </w:t>
            </w:r>
            <w:r w:rsidR="00F473EA" w:rsidRPr="004A47DC">
              <w:rPr>
                <w:color w:val="000000" w:themeColor="text1"/>
                <w:sz w:val="22"/>
              </w:rPr>
              <w:t>doganor</w:t>
            </w:r>
          </w:p>
        </w:tc>
        <w:tc>
          <w:tcPr>
            <w:tcW w:w="1985" w:type="dxa"/>
            <w:tcBorders>
              <w:right w:val="nil"/>
            </w:tcBorders>
            <w:shd w:val="clear" w:color="auto" w:fill="auto"/>
          </w:tcPr>
          <w:p w14:paraId="4FC86967" w14:textId="77777777" w:rsidR="001326BB" w:rsidRPr="004A47DC" w:rsidRDefault="001326BB" w:rsidP="001750A8">
            <w:pPr>
              <w:pStyle w:val="TEKSTIII"/>
              <w:ind w:firstLine="0"/>
              <w:rPr>
                <w:color w:val="000000" w:themeColor="text1"/>
                <w:sz w:val="22"/>
              </w:rPr>
            </w:pPr>
            <w:r w:rsidRPr="004A47DC">
              <w:rPr>
                <w:color w:val="000000" w:themeColor="text1"/>
                <w:sz w:val="22"/>
              </w:rPr>
              <w:t>Shtylla 3</w:t>
            </w:r>
          </w:p>
        </w:tc>
        <w:tc>
          <w:tcPr>
            <w:tcW w:w="2358" w:type="dxa"/>
            <w:tcBorders>
              <w:left w:val="nil"/>
            </w:tcBorders>
            <w:shd w:val="clear" w:color="auto" w:fill="auto"/>
          </w:tcPr>
          <w:p w14:paraId="568061F8"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3.2</w:t>
            </w:r>
          </w:p>
        </w:tc>
      </w:tr>
      <w:tr w:rsidR="004719D2" w:rsidRPr="004A47DC" w14:paraId="1493A374" w14:textId="77777777" w:rsidTr="00D571AD">
        <w:tc>
          <w:tcPr>
            <w:tcW w:w="4673" w:type="dxa"/>
            <w:shd w:val="clear" w:color="auto" w:fill="auto"/>
          </w:tcPr>
          <w:p w14:paraId="7A34029F" w14:textId="1EB47194" w:rsidR="001326BB" w:rsidRPr="004A47DC" w:rsidRDefault="001326BB" w:rsidP="001750A8">
            <w:pPr>
              <w:pStyle w:val="TEKSTIII"/>
              <w:ind w:firstLine="0"/>
              <w:rPr>
                <w:color w:val="000000" w:themeColor="text1"/>
                <w:sz w:val="22"/>
              </w:rPr>
            </w:pPr>
            <w:r w:rsidRPr="004A47DC">
              <w:rPr>
                <w:color w:val="000000" w:themeColor="text1"/>
                <w:sz w:val="22"/>
              </w:rPr>
              <w:t>Kapitulli 32</w:t>
            </w:r>
            <w:r w:rsidR="00F473EA" w:rsidRPr="004A47DC">
              <w:rPr>
                <w:color w:val="000000" w:themeColor="text1"/>
                <w:sz w:val="22"/>
              </w:rPr>
              <w:t>.</w:t>
            </w:r>
            <w:r w:rsidRPr="004A47DC">
              <w:rPr>
                <w:color w:val="000000" w:themeColor="text1"/>
                <w:sz w:val="22"/>
              </w:rPr>
              <w:t xml:space="preserve"> Kontrolli </w:t>
            </w:r>
            <w:r w:rsidR="00F473EA" w:rsidRPr="004A47DC">
              <w:rPr>
                <w:color w:val="000000" w:themeColor="text1"/>
                <w:sz w:val="22"/>
              </w:rPr>
              <w:t>financiar</w:t>
            </w:r>
          </w:p>
        </w:tc>
        <w:tc>
          <w:tcPr>
            <w:tcW w:w="1985" w:type="dxa"/>
            <w:tcBorders>
              <w:right w:val="nil"/>
            </w:tcBorders>
            <w:shd w:val="clear" w:color="auto" w:fill="auto"/>
          </w:tcPr>
          <w:p w14:paraId="385591A3" w14:textId="77777777" w:rsidR="001326BB" w:rsidRPr="004A47DC" w:rsidRDefault="001326BB" w:rsidP="001750A8">
            <w:pPr>
              <w:pStyle w:val="TEKSTIII"/>
              <w:ind w:firstLine="0"/>
              <w:rPr>
                <w:color w:val="000000" w:themeColor="text1"/>
                <w:sz w:val="22"/>
              </w:rPr>
            </w:pPr>
            <w:r w:rsidRPr="004A47DC">
              <w:rPr>
                <w:color w:val="000000" w:themeColor="text1"/>
                <w:sz w:val="22"/>
              </w:rPr>
              <w:t>Shtylla 5</w:t>
            </w:r>
          </w:p>
        </w:tc>
        <w:tc>
          <w:tcPr>
            <w:tcW w:w="2358" w:type="dxa"/>
            <w:tcBorders>
              <w:left w:val="nil"/>
            </w:tcBorders>
            <w:shd w:val="clear" w:color="auto" w:fill="auto"/>
          </w:tcPr>
          <w:p w14:paraId="45C0E811"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5.1; 5.2; 5.3</w:t>
            </w:r>
          </w:p>
        </w:tc>
      </w:tr>
      <w:tr w:rsidR="004719D2" w:rsidRPr="004A47DC" w14:paraId="53D25CEF" w14:textId="77777777" w:rsidTr="00D571AD">
        <w:tc>
          <w:tcPr>
            <w:tcW w:w="4673" w:type="dxa"/>
            <w:shd w:val="clear" w:color="auto" w:fill="auto"/>
          </w:tcPr>
          <w:p w14:paraId="7EF2535B" w14:textId="1D8D6DEE" w:rsidR="001326BB" w:rsidRPr="004A47DC" w:rsidRDefault="001326BB" w:rsidP="001750A8">
            <w:pPr>
              <w:pStyle w:val="TEKSTIII"/>
              <w:ind w:firstLine="0"/>
              <w:rPr>
                <w:color w:val="000000" w:themeColor="text1"/>
                <w:sz w:val="22"/>
              </w:rPr>
            </w:pPr>
            <w:r w:rsidRPr="004A47DC">
              <w:rPr>
                <w:color w:val="000000" w:themeColor="text1"/>
                <w:sz w:val="22"/>
              </w:rPr>
              <w:t>Kapitulli 33</w:t>
            </w:r>
            <w:r w:rsidR="00F473EA" w:rsidRPr="004A47DC">
              <w:rPr>
                <w:color w:val="000000" w:themeColor="text1"/>
                <w:sz w:val="22"/>
              </w:rPr>
              <w:t>.</w:t>
            </w:r>
            <w:r w:rsidRPr="004A47DC">
              <w:rPr>
                <w:color w:val="000000" w:themeColor="text1"/>
                <w:sz w:val="22"/>
              </w:rPr>
              <w:t xml:space="preserve"> Dispozitat </w:t>
            </w:r>
            <w:r w:rsidR="00F473EA" w:rsidRPr="004A47DC">
              <w:rPr>
                <w:color w:val="000000" w:themeColor="text1"/>
                <w:sz w:val="22"/>
              </w:rPr>
              <w:t>financiare dhe buxhetore</w:t>
            </w:r>
          </w:p>
        </w:tc>
        <w:tc>
          <w:tcPr>
            <w:tcW w:w="1985" w:type="dxa"/>
            <w:tcBorders>
              <w:right w:val="nil"/>
            </w:tcBorders>
            <w:shd w:val="clear" w:color="auto" w:fill="auto"/>
          </w:tcPr>
          <w:p w14:paraId="3174CF6F" w14:textId="77777777" w:rsidR="001326BB" w:rsidRPr="004A47DC" w:rsidRDefault="001326BB" w:rsidP="001750A8">
            <w:pPr>
              <w:pStyle w:val="TEKSTIII"/>
              <w:ind w:firstLine="0"/>
              <w:rPr>
                <w:color w:val="000000" w:themeColor="text1"/>
                <w:sz w:val="22"/>
              </w:rPr>
            </w:pPr>
            <w:r w:rsidRPr="004A47DC">
              <w:rPr>
                <w:color w:val="000000" w:themeColor="text1"/>
                <w:sz w:val="22"/>
              </w:rPr>
              <w:t>Shtylla 1; 3</w:t>
            </w:r>
          </w:p>
        </w:tc>
        <w:tc>
          <w:tcPr>
            <w:tcW w:w="2358" w:type="dxa"/>
            <w:tcBorders>
              <w:left w:val="nil"/>
            </w:tcBorders>
            <w:shd w:val="clear" w:color="auto" w:fill="auto"/>
          </w:tcPr>
          <w:p w14:paraId="69469516" w14:textId="77777777" w:rsidR="001326BB" w:rsidRPr="004A47DC" w:rsidRDefault="001326BB" w:rsidP="001750A8">
            <w:pPr>
              <w:pStyle w:val="TEKSTIII"/>
              <w:ind w:firstLine="0"/>
              <w:rPr>
                <w:color w:val="000000" w:themeColor="text1"/>
                <w:sz w:val="22"/>
              </w:rPr>
            </w:pPr>
            <w:r w:rsidRPr="004A47DC">
              <w:rPr>
                <w:color w:val="000000" w:themeColor="text1"/>
                <w:sz w:val="22"/>
              </w:rPr>
              <w:t>Komponenti 1.3; 3.1; 3.2</w:t>
            </w:r>
          </w:p>
        </w:tc>
      </w:tr>
    </w:tbl>
    <w:p w14:paraId="484424E6" w14:textId="77777777" w:rsidR="001326BB" w:rsidRPr="004A47DC" w:rsidRDefault="001326BB" w:rsidP="001326BB">
      <w:pPr>
        <w:pStyle w:val="TEKSTIII"/>
        <w:rPr>
          <w:color w:val="000000" w:themeColor="text1"/>
          <w:highlight w:val="yellow"/>
        </w:rPr>
      </w:pPr>
    </w:p>
    <w:p w14:paraId="794870DB" w14:textId="39861E14" w:rsidR="001326BB" w:rsidRPr="004A47DC" w:rsidRDefault="001326BB" w:rsidP="001326BB">
      <w:pPr>
        <w:pStyle w:val="TEKSTIII"/>
        <w:rPr>
          <w:b/>
          <w:bCs/>
          <w:color w:val="000000" w:themeColor="text1"/>
        </w:rPr>
      </w:pPr>
      <w:r w:rsidRPr="004A47DC">
        <w:rPr>
          <w:b/>
          <w:bCs/>
          <w:color w:val="000000" w:themeColor="text1"/>
        </w:rPr>
        <w:t>Udhërrëfyesi për Reformën në Administratën Publike 2023</w:t>
      </w:r>
      <w:r w:rsidR="00F473EA" w:rsidRPr="004A47DC">
        <w:rPr>
          <w:rStyle w:val="rynqvb"/>
          <w:b/>
          <w:color w:val="000000" w:themeColor="text1"/>
        </w:rPr>
        <w:t>–</w:t>
      </w:r>
      <w:r w:rsidRPr="004A47DC">
        <w:rPr>
          <w:b/>
          <w:bCs/>
          <w:color w:val="000000" w:themeColor="text1"/>
        </w:rPr>
        <w:t>2030</w:t>
      </w:r>
    </w:p>
    <w:p w14:paraId="6B1E7193" w14:textId="44EA55EF" w:rsidR="001326BB" w:rsidRPr="004A47DC" w:rsidRDefault="00E33A13" w:rsidP="001326BB">
      <w:pPr>
        <w:pStyle w:val="TEKSTIII"/>
        <w:rPr>
          <w:rStyle w:val="rynqvb"/>
          <w:color w:val="000000" w:themeColor="text1"/>
        </w:rPr>
      </w:pPr>
      <w:r w:rsidRPr="004A47DC">
        <w:rPr>
          <w:rStyle w:val="rynqvb"/>
          <w:color w:val="000000" w:themeColor="text1"/>
        </w:rPr>
        <w:t>“</w:t>
      </w:r>
      <w:r w:rsidR="001326BB" w:rsidRPr="004A47DC">
        <w:rPr>
          <w:rStyle w:val="rynqvb"/>
          <w:color w:val="000000" w:themeColor="text1"/>
        </w:rPr>
        <w:t>Udhërrëfyesi për Reformën në Administratën Publike 2023–2030</w:t>
      </w:r>
      <w:r w:rsidRPr="004A47DC">
        <w:rPr>
          <w:rStyle w:val="rynqvb"/>
          <w:color w:val="000000" w:themeColor="text1"/>
        </w:rPr>
        <w:t>”</w:t>
      </w:r>
      <w:r w:rsidR="001326BB" w:rsidRPr="004A47DC">
        <w:rPr>
          <w:rStyle w:val="rynqvb"/>
          <w:color w:val="000000" w:themeColor="text1"/>
        </w:rPr>
        <w:t xml:space="preserve"> është një dokument që mbështet reformën në administratën publike, me një plan masash konkrete prioritare, për periudhën kohore 2023–2030. Qëllimi i hartimit të tij është adresimi i sfidave të identifikuara në kuadër të reformës së administratës publike, si dhe prioritizimi i masave në këtë drejtim, për të siguruar përmbushjen e standardeve dhe progresin në procesin e integrimit evropian. Masat prioritare organizohen në 5 shtylla, bazuar në parimet e Bashkimit Evropian mbi administratën publike:</w:t>
      </w:r>
    </w:p>
    <w:p w14:paraId="09F80386" w14:textId="5A17C6A8" w:rsidR="001326BB" w:rsidRPr="004A47DC" w:rsidRDefault="001750A8" w:rsidP="001326BB">
      <w:pPr>
        <w:pStyle w:val="TEKSTIII"/>
        <w:rPr>
          <w:rStyle w:val="rynqvb"/>
          <w:color w:val="000000" w:themeColor="text1"/>
        </w:rPr>
      </w:pPr>
      <w:r w:rsidRPr="004A47DC">
        <w:rPr>
          <w:rStyle w:val="rynqvb"/>
          <w:color w:val="000000" w:themeColor="text1"/>
        </w:rPr>
        <w:t xml:space="preserve">1. </w:t>
      </w:r>
      <w:r w:rsidR="001326BB" w:rsidRPr="004A47DC">
        <w:rPr>
          <w:rStyle w:val="rynqvb"/>
          <w:color w:val="000000" w:themeColor="text1"/>
        </w:rPr>
        <w:t>Zhvillimi dhe koordinimi i politikave;</w:t>
      </w:r>
    </w:p>
    <w:p w14:paraId="0AABED8C" w14:textId="65850E60" w:rsidR="001326BB" w:rsidRPr="004A47DC" w:rsidRDefault="001750A8" w:rsidP="001326BB">
      <w:pPr>
        <w:pStyle w:val="TEKSTIII"/>
        <w:rPr>
          <w:rStyle w:val="rynqvb"/>
          <w:color w:val="000000" w:themeColor="text1"/>
        </w:rPr>
      </w:pPr>
      <w:r w:rsidRPr="004A47DC">
        <w:rPr>
          <w:rStyle w:val="rynqvb"/>
          <w:color w:val="000000" w:themeColor="text1"/>
        </w:rPr>
        <w:t xml:space="preserve">2. </w:t>
      </w:r>
      <w:r w:rsidR="001326BB" w:rsidRPr="004A47DC">
        <w:rPr>
          <w:rStyle w:val="rynqvb"/>
          <w:color w:val="000000" w:themeColor="text1"/>
        </w:rPr>
        <w:t>Shërbimi civil dhe menaxhimi i burimeve njerëzore;</w:t>
      </w:r>
    </w:p>
    <w:p w14:paraId="00C4BA60" w14:textId="079A060F" w:rsidR="001326BB" w:rsidRPr="004A47DC" w:rsidRDefault="001750A8" w:rsidP="001326BB">
      <w:pPr>
        <w:pStyle w:val="TEKSTIII"/>
        <w:rPr>
          <w:rStyle w:val="rynqvb"/>
          <w:color w:val="000000" w:themeColor="text1"/>
        </w:rPr>
      </w:pPr>
      <w:r w:rsidRPr="004A47DC">
        <w:rPr>
          <w:rStyle w:val="rynqvb"/>
          <w:color w:val="000000" w:themeColor="text1"/>
        </w:rPr>
        <w:t xml:space="preserve">3 </w:t>
      </w:r>
      <w:r w:rsidR="001326BB" w:rsidRPr="004A47DC">
        <w:rPr>
          <w:rStyle w:val="rynqvb"/>
          <w:color w:val="000000" w:themeColor="text1"/>
        </w:rPr>
        <w:t>Organizimi, llogaridhënia dhe transparenca;</w:t>
      </w:r>
    </w:p>
    <w:p w14:paraId="162EB64A" w14:textId="196B01AB" w:rsidR="001326BB" w:rsidRPr="004A47DC" w:rsidRDefault="001750A8" w:rsidP="001326BB">
      <w:pPr>
        <w:pStyle w:val="TEKSTIII"/>
        <w:rPr>
          <w:rStyle w:val="rynqvb"/>
          <w:color w:val="000000" w:themeColor="text1"/>
        </w:rPr>
      </w:pPr>
      <w:r w:rsidRPr="004A47DC">
        <w:rPr>
          <w:rStyle w:val="rynqvb"/>
          <w:color w:val="000000" w:themeColor="text1"/>
        </w:rPr>
        <w:t xml:space="preserve">4. </w:t>
      </w:r>
      <w:r w:rsidR="001326BB" w:rsidRPr="004A47DC">
        <w:rPr>
          <w:rStyle w:val="rynqvb"/>
          <w:color w:val="000000" w:themeColor="text1"/>
        </w:rPr>
        <w:t>Ofrimi i shërbimeve;</w:t>
      </w:r>
    </w:p>
    <w:p w14:paraId="1913FE51" w14:textId="531E6D79" w:rsidR="001326BB" w:rsidRPr="004A47DC" w:rsidRDefault="001750A8" w:rsidP="001326BB">
      <w:pPr>
        <w:pStyle w:val="TEKSTIII"/>
        <w:rPr>
          <w:rStyle w:val="rynqvb"/>
          <w:color w:val="000000" w:themeColor="text1"/>
        </w:rPr>
      </w:pPr>
      <w:r w:rsidRPr="004A47DC">
        <w:rPr>
          <w:rStyle w:val="rynqvb"/>
          <w:color w:val="000000" w:themeColor="text1"/>
        </w:rPr>
        <w:t xml:space="preserve">5. </w:t>
      </w:r>
      <w:r w:rsidR="001326BB" w:rsidRPr="004A47DC">
        <w:rPr>
          <w:rStyle w:val="rynqvb"/>
          <w:color w:val="000000" w:themeColor="text1"/>
        </w:rPr>
        <w:t>Menaxhimi i financave publike.</w:t>
      </w:r>
    </w:p>
    <w:p w14:paraId="19F65739" w14:textId="6985657F" w:rsidR="001326BB" w:rsidRPr="004A47DC" w:rsidRDefault="001326BB" w:rsidP="00F473EA">
      <w:pPr>
        <w:pStyle w:val="TEKSTIII"/>
        <w:rPr>
          <w:color w:val="000000" w:themeColor="text1"/>
        </w:rPr>
      </w:pPr>
      <w:r w:rsidRPr="004A47DC">
        <w:rPr>
          <w:rStyle w:val="rynqvb"/>
          <w:color w:val="000000" w:themeColor="text1"/>
        </w:rPr>
        <w:t>Në secilën prej shtyllave të mësipërme planifikohen masa në drejtim të: i</w:t>
      </w:r>
      <w:r w:rsidR="00F473EA" w:rsidRPr="004A47DC">
        <w:rPr>
          <w:rStyle w:val="rynqvb"/>
          <w:color w:val="000000" w:themeColor="text1"/>
        </w:rPr>
        <w:t>.</w:t>
      </w:r>
      <w:r w:rsidRPr="004A47DC">
        <w:rPr>
          <w:rStyle w:val="rynqvb"/>
          <w:color w:val="000000" w:themeColor="text1"/>
        </w:rPr>
        <w:t xml:space="preserve"> fushave dhe nënfushave/parimeve; ii</w:t>
      </w:r>
      <w:r w:rsidR="00F473EA" w:rsidRPr="004A47DC">
        <w:rPr>
          <w:rStyle w:val="rynqvb"/>
          <w:color w:val="000000" w:themeColor="text1"/>
        </w:rPr>
        <w:t>.</w:t>
      </w:r>
      <w:r w:rsidRPr="004A47DC">
        <w:rPr>
          <w:rStyle w:val="rynqvb"/>
          <w:color w:val="000000" w:themeColor="text1"/>
        </w:rPr>
        <w:t xml:space="preserve"> kuadrit strategjik/legjislativ/institucional;</w:t>
      </w:r>
      <w:r w:rsidR="00F473EA" w:rsidRPr="004A47DC">
        <w:rPr>
          <w:rStyle w:val="rynqvb"/>
          <w:color w:val="000000" w:themeColor="text1"/>
        </w:rPr>
        <w:t xml:space="preserve"> </w:t>
      </w:r>
      <w:r w:rsidRPr="004A47DC">
        <w:rPr>
          <w:rStyle w:val="rynqvb"/>
          <w:color w:val="000000" w:themeColor="text1"/>
        </w:rPr>
        <w:t>iii</w:t>
      </w:r>
      <w:r w:rsidR="00F473EA" w:rsidRPr="004A47DC">
        <w:rPr>
          <w:rStyle w:val="rynqvb"/>
          <w:color w:val="000000" w:themeColor="text1"/>
        </w:rPr>
        <w:t>.</w:t>
      </w:r>
      <w:r w:rsidRPr="004A47DC">
        <w:rPr>
          <w:rStyle w:val="rynqvb"/>
          <w:color w:val="000000" w:themeColor="text1"/>
        </w:rPr>
        <w:t xml:space="preserve"> zbatimit të reformave dhe kapaciteteve institucionale; iv</w:t>
      </w:r>
      <w:r w:rsidR="00F473EA" w:rsidRPr="004A47DC">
        <w:rPr>
          <w:rStyle w:val="rynqvb"/>
          <w:color w:val="000000" w:themeColor="text1"/>
        </w:rPr>
        <w:t>.</w:t>
      </w:r>
      <w:r w:rsidRPr="004A47DC">
        <w:rPr>
          <w:rStyle w:val="rynqvb"/>
          <w:color w:val="000000" w:themeColor="text1"/>
        </w:rPr>
        <w:t xml:space="preserve"> funksionimit dhe performancës së administratës publike.</w:t>
      </w:r>
    </w:p>
    <w:p w14:paraId="1A7CEF07" w14:textId="676DCDF3" w:rsidR="001326BB" w:rsidRPr="004A47DC" w:rsidRDefault="001326BB" w:rsidP="001326BB">
      <w:pPr>
        <w:pStyle w:val="TEKSTIII"/>
        <w:rPr>
          <w:b/>
          <w:bCs/>
          <w:color w:val="000000" w:themeColor="text1"/>
        </w:rPr>
      </w:pPr>
      <w:r w:rsidRPr="004A47DC">
        <w:rPr>
          <w:b/>
          <w:bCs/>
          <w:color w:val="000000" w:themeColor="text1"/>
        </w:rPr>
        <w:t>Strategjia Ndërsektoriale për Decentralizimin dhe Qeverisjen Vendore 2023</w:t>
      </w:r>
      <w:r w:rsidR="00F473EA" w:rsidRPr="004A47DC">
        <w:rPr>
          <w:rStyle w:val="rynqvb"/>
          <w:color w:val="000000" w:themeColor="text1"/>
        </w:rPr>
        <w:t>–</w:t>
      </w:r>
      <w:r w:rsidRPr="004A47DC">
        <w:rPr>
          <w:b/>
          <w:bCs/>
          <w:color w:val="000000" w:themeColor="text1"/>
        </w:rPr>
        <w:t>2030</w:t>
      </w:r>
    </w:p>
    <w:p w14:paraId="45EA9C0C" w14:textId="04EE75F4" w:rsidR="001326BB" w:rsidRPr="004A47DC" w:rsidRDefault="001326BB" w:rsidP="001326BB">
      <w:pPr>
        <w:pStyle w:val="TEKSTIII"/>
        <w:rPr>
          <w:iCs/>
          <w:color w:val="000000" w:themeColor="text1"/>
        </w:rPr>
      </w:pPr>
      <w:r w:rsidRPr="004A47DC">
        <w:rPr>
          <w:iCs/>
          <w:color w:val="000000" w:themeColor="text1"/>
        </w:rPr>
        <w:t xml:space="preserve">Në vitin 2023, </w:t>
      </w:r>
      <w:r w:rsidRPr="004A47DC">
        <w:rPr>
          <w:rStyle w:val="rynqvb"/>
          <w:color w:val="000000" w:themeColor="text1"/>
        </w:rPr>
        <w:t>Qeveria Shqiptare miratoi Strategjinë Ndërsektoriale për Decentralizimin dhe Qeverisjen Vendore për periudhën 2023</w:t>
      </w:r>
      <w:r w:rsidR="00F473EA" w:rsidRPr="004A47DC">
        <w:rPr>
          <w:rStyle w:val="rynqvb"/>
          <w:color w:val="000000" w:themeColor="text1"/>
        </w:rPr>
        <w:t>–</w:t>
      </w:r>
      <w:r w:rsidRPr="004A47DC">
        <w:rPr>
          <w:rStyle w:val="rynqvb"/>
          <w:color w:val="000000" w:themeColor="text1"/>
        </w:rPr>
        <w:t>2030.</w:t>
      </w:r>
      <w:r w:rsidRPr="004A47DC">
        <w:rPr>
          <w:rStyle w:val="hwtze"/>
          <w:color w:val="000000" w:themeColor="text1"/>
        </w:rPr>
        <w:t xml:space="preserve"> </w:t>
      </w:r>
      <w:r w:rsidRPr="004A47DC">
        <w:rPr>
          <w:rStyle w:val="rynqvb"/>
          <w:color w:val="000000" w:themeColor="text1"/>
        </w:rPr>
        <w:t>Katër shtyllat kryesore strategjike të formuluara fokusohen në:</w:t>
      </w:r>
    </w:p>
    <w:p w14:paraId="547158E7" w14:textId="73029978" w:rsidR="001326BB" w:rsidRPr="004A47DC" w:rsidRDefault="001750A8" w:rsidP="001326BB">
      <w:pPr>
        <w:pStyle w:val="TEKSTIII"/>
        <w:rPr>
          <w:rStyle w:val="rynqvb"/>
          <w:bCs/>
          <w:iCs/>
          <w:color w:val="000000" w:themeColor="text1"/>
        </w:rPr>
      </w:pPr>
      <w:r w:rsidRPr="004A47DC">
        <w:rPr>
          <w:rStyle w:val="rynqvb"/>
          <w:color w:val="000000" w:themeColor="text1"/>
        </w:rPr>
        <w:t xml:space="preserve">1. </w:t>
      </w:r>
      <w:r w:rsidR="00F473EA" w:rsidRPr="004A47DC">
        <w:rPr>
          <w:rStyle w:val="rynqvb"/>
          <w:color w:val="000000" w:themeColor="text1"/>
        </w:rPr>
        <w:t>Konsolidimin e</w:t>
      </w:r>
      <w:r w:rsidR="001326BB" w:rsidRPr="004A47DC">
        <w:rPr>
          <w:rStyle w:val="rynqvb"/>
          <w:color w:val="000000" w:themeColor="text1"/>
        </w:rPr>
        <w:t xml:space="preserve"> kapaciteteve strategjike dhe operacionale të njësive të vetëqeverisjes vendore nëpërmjet objektivave specifik</w:t>
      </w:r>
      <w:r w:rsidR="00056667" w:rsidRPr="004A47DC">
        <w:rPr>
          <w:rStyle w:val="rynqvb"/>
          <w:color w:val="000000" w:themeColor="text1"/>
        </w:rPr>
        <w:t>ë</w:t>
      </w:r>
      <w:r w:rsidR="00B526E3" w:rsidRPr="004A47DC">
        <w:rPr>
          <w:rStyle w:val="rynqvb"/>
          <w:color w:val="000000" w:themeColor="text1"/>
        </w:rPr>
        <w:t>,</w:t>
      </w:r>
      <w:r w:rsidR="001326BB" w:rsidRPr="004A47DC">
        <w:rPr>
          <w:rStyle w:val="rynqvb"/>
          <w:color w:val="000000" w:themeColor="text1"/>
        </w:rPr>
        <w:t xml:space="preserve"> ku përfshihen konsolidimi i kapaciteteve të strukturave administrative, aplikimi i shërbimeve të integruara administrative me teknologjinë e informacionit për bashkitë dhe forcimi i dialogut mes qeverisë qendrore dhe asaj vendore</w:t>
      </w:r>
      <w:r w:rsidR="00B526E3" w:rsidRPr="004A47DC">
        <w:rPr>
          <w:rStyle w:val="rynqvb"/>
          <w:color w:val="000000" w:themeColor="text1"/>
        </w:rPr>
        <w:t>,</w:t>
      </w:r>
      <w:r w:rsidR="001326BB" w:rsidRPr="004A47DC">
        <w:rPr>
          <w:rStyle w:val="rynqvb"/>
          <w:color w:val="000000" w:themeColor="text1"/>
        </w:rPr>
        <w:t xml:space="preserve"> dhe llogaridhënies së dyanshme;</w:t>
      </w:r>
    </w:p>
    <w:p w14:paraId="1B6C84AA" w14:textId="6B92E923" w:rsidR="001326BB" w:rsidRPr="004A47DC" w:rsidRDefault="001750A8" w:rsidP="001750A8">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2. </w:t>
      </w:r>
      <w:r w:rsidR="00F473EA" w:rsidRPr="004A47DC">
        <w:rPr>
          <w:rStyle w:val="Heading4Char"/>
          <w:rFonts w:ascii="Garamond" w:eastAsia="Calibri" w:hAnsi="Garamond"/>
          <w:b w:val="0"/>
          <w:bCs w:val="0"/>
          <w:color w:val="000000" w:themeColor="text1"/>
          <w:sz w:val="24"/>
          <w:szCs w:val="24"/>
        </w:rPr>
        <w:t>Forcimin e</w:t>
      </w:r>
      <w:r w:rsidR="001326BB" w:rsidRPr="004A47DC">
        <w:rPr>
          <w:rStyle w:val="Heading4Char"/>
          <w:rFonts w:ascii="Garamond" w:eastAsia="Calibri" w:hAnsi="Garamond"/>
          <w:b w:val="0"/>
          <w:bCs w:val="0"/>
          <w:color w:val="000000" w:themeColor="text1"/>
          <w:sz w:val="24"/>
          <w:szCs w:val="24"/>
        </w:rPr>
        <w:t xml:space="preserve"> financave vendore dhe autonomisë fiskale, me objektiva si</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konsolidimi i sistemit të të ardhurave vendore, rritja e ndarjes së të ardhurave nga taksat kombëtare me bashkitë, përmirësimi i parashikueshmërisë dhe stabilitetit të sistemeve të transfertave qeveritare, rritja e kapaciteteve të </w:t>
      </w:r>
      <w:r w:rsidR="00B526E3" w:rsidRPr="004A47DC">
        <w:rPr>
          <w:rStyle w:val="Heading4Char"/>
          <w:rFonts w:ascii="Garamond" w:eastAsia="Calibri" w:hAnsi="Garamond"/>
          <w:b w:val="0"/>
          <w:bCs w:val="0"/>
          <w:color w:val="000000" w:themeColor="text1"/>
          <w:sz w:val="24"/>
          <w:szCs w:val="24"/>
        </w:rPr>
        <w:t xml:space="preserve">njësive të vetëqeverisjes vendore </w:t>
      </w:r>
      <w:r w:rsidR="001326BB" w:rsidRPr="004A47DC">
        <w:rPr>
          <w:rStyle w:val="Heading4Char"/>
          <w:rFonts w:ascii="Garamond" w:eastAsia="Calibri" w:hAnsi="Garamond"/>
          <w:b w:val="0"/>
          <w:bCs w:val="0"/>
          <w:color w:val="000000" w:themeColor="text1"/>
          <w:sz w:val="24"/>
          <w:szCs w:val="24"/>
        </w:rPr>
        <w:t>(NJVQV) për të përdorur huamarrjen për financimin e projekteve kapitale brenda politikave kombëtare të borxhit publik dhe forcimi i sistemit të menaxhimit të financave publike në nivelin vendor;</w:t>
      </w:r>
    </w:p>
    <w:p w14:paraId="2D2A3311" w14:textId="688C9F78" w:rsidR="001326BB" w:rsidRPr="004A47DC" w:rsidRDefault="001750A8" w:rsidP="001750A8">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3. </w:t>
      </w:r>
      <w:r w:rsidR="00F473EA" w:rsidRPr="004A47DC">
        <w:rPr>
          <w:rStyle w:val="Heading4Char"/>
          <w:rFonts w:ascii="Garamond" w:eastAsia="Calibri" w:hAnsi="Garamond"/>
          <w:b w:val="0"/>
          <w:bCs w:val="0"/>
          <w:color w:val="000000" w:themeColor="text1"/>
          <w:sz w:val="24"/>
          <w:szCs w:val="24"/>
        </w:rPr>
        <w:t xml:space="preserve">Promovimin </w:t>
      </w:r>
      <w:r w:rsidR="00F473EA" w:rsidRPr="004A47DC">
        <w:rPr>
          <w:rStyle w:val="rynqvb"/>
          <w:color w:val="000000" w:themeColor="text1"/>
        </w:rPr>
        <w:t>e</w:t>
      </w:r>
      <w:r w:rsidR="001326BB" w:rsidRPr="004A47DC">
        <w:rPr>
          <w:rStyle w:val="rynqvb"/>
          <w:color w:val="000000" w:themeColor="text1"/>
        </w:rPr>
        <w:t xml:space="preserve"> zhvillimit të qëndrueshëm vendor nëpërmjet zbatimit efikas të funksioneve brenda një kuadri ligjor të qartë dhe të harmonizuar, sigurimit të zhvillimit të qëndrueshëm ekonomik vendor dhe duke ngritur dhe përditësuar standardet minimale kombëtare për shërbimet vendore;</w:t>
      </w:r>
      <w:r w:rsidR="001326BB" w:rsidRPr="004A47DC">
        <w:rPr>
          <w:rStyle w:val="hwtze"/>
          <w:color w:val="000000" w:themeColor="text1"/>
        </w:rPr>
        <w:t xml:space="preserve"> </w:t>
      </w:r>
      <w:r w:rsidR="001326BB" w:rsidRPr="004A47DC">
        <w:rPr>
          <w:rStyle w:val="rynqvb"/>
          <w:color w:val="000000" w:themeColor="text1"/>
        </w:rPr>
        <w:t>dhe</w:t>
      </w:r>
    </w:p>
    <w:p w14:paraId="46F5EDB0" w14:textId="0C6D7F8B" w:rsidR="001326BB" w:rsidRPr="004A47DC" w:rsidRDefault="001750A8" w:rsidP="001750A8">
      <w:pPr>
        <w:pStyle w:val="TEKSTIII"/>
        <w:rPr>
          <w:color w:val="000000" w:themeColor="text1"/>
        </w:rPr>
      </w:pPr>
      <w:r w:rsidRPr="004A47DC">
        <w:rPr>
          <w:rStyle w:val="Heading4Char"/>
          <w:rFonts w:ascii="Garamond" w:eastAsia="Calibri" w:hAnsi="Garamond"/>
          <w:b w:val="0"/>
          <w:bCs w:val="0"/>
          <w:color w:val="000000" w:themeColor="text1"/>
          <w:sz w:val="24"/>
          <w:szCs w:val="24"/>
        </w:rPr>
        <w:t xml:space="preserve">4. </w:t>
      </w:r>
      <w:r w:rsidR="001326BB" w:rsidRPr="004A47DC">
        <w:rPr>
          <w:rStyle w:val="Heading4Char"/>
          <w:rFonts w:ascii="Garamond" w:eastAsia="Calibri" w:hAnsi="Garamond"/>
          <w:b w:val="0"/>
          <w:bCs w:val="0"/>
          <w:color w:val="000000" w:themeColor="text1"/>
          <w:sz w:val="24"/>
          <w:szCs w:val="24"/>
        </w:rPr>
        <w:t>Forcimi</w:t>
      </w:r>
      <w:r w:rsidR="00F473EA" w:rsidRPr="004A47DC">
        <w:rPr>
          <w:rStyle w:val="Heading4Char"/>
          <w:rFonts w:ascii="Garamond" w:eastAsia="Calibri" w:hAnsi="Garamond"/>
          <w:b w:val="0"/>
          <w:bCs w:val="0"/>
          <w:color w:val="000000" w:themeColor="text1"/>
          <w:sz w:val="24"/>
          <w:szCs w:val="24"/>
        </w:rPr>
        <w:t>n</w:t>
      </w:r>
      <w:r w:rsidR="001326BB" w:rsidRPr="004A47DC">
        <w:rPr>
          <w:rStyle w:val="Heading4Char"/>
          <w:rFonts w:ascii="Garamond" w:eastAsia="Calibri" w:hAnsi="Garamond"/>
          <w:b w:val="0"/>
          <w:bCs w:val="0"/>
          <w:color w:val="000000" w:themeColor="text1"/>
          <w:sz w:val="24"/>
          <w:szCs w:val="24"/>
        </w:rPr>
        <w:t xml:space="preserve"> </w:t>
      </w:r>
      <w:r w:rsidR="00F473EA" w:rsidRPr="004A47DC">
        <w:rPr>
          <w:rStyle w:val="Heading4Char"/>
          <w:rFonts w:ascii="Garamond" w:eastAsia="Calibri" w:hAnsi="Garamond"/>
          <w:b w:val="0"/>
          <w:bCs w:val="0"/>
          <w:color w:val="000000" w:themeColor="text1"/>
          <w:sz w:val="24"/>
          <w:szCs w:val="24"/>
        </w:rPr>
        <w:t>e</w:t>
      </w:r>
      <w:r w:rsidR="001326BB" w:rsidRPr="004A47DC">
        <w:rPr>
          <w:rStyle w:val="Heading4Char"/>
          <w:rFonts w:ascii="Garamond" w:eastAsia="Calibri" w:hAnsi="Garamond"/>
          <w:b w:val="0"/>
          <w:bCs w:val="0"/>
          <w:color w:val="000000" w:themeColor="text1"/>
          <w:sz w:val="24"/>
          <w:szCs w:val="24"/>
        </w:rPr>
        <w:t xml:space="preserve"> qeverisjes së mirë në nivelin vendor, sigurimi i qeverisjes së hapur, transparenca, përgjegjshmëria dhe shtrirja më e madhe e </w:t>
      </w:r>
      <w:r w:rsidR="001326BB" w:rsidRPr="004A47DC">
        <w:rPr>
          <w:rStyle w:val="Heading4Char"/>
          <w:rFonts w:ascii="Garamond" w:eastAsia="Calibri" w:hAnsi="Garamond"/>
          <w:b w:val="0"/>
          <w:bCs w:val="0"/>
          <w:i/>
          <w:color w:val="000000" w:themeColor="text1"/>
          <w:sz w:val="24"/>
          <w:szCs w:val="24"/>
        </w:rPr>
        <w:t>e-qeverisjes</w:t>
      </w:r>
      <w:r w:rsidR="001326BB" w:rsidRPr="004A47DC">
        <w:rPr>
          <w:color w:val="000000" w:themeColor="text1"/>
        </w:rPr>
        <w:t>.</w:t>
      </w:r>
    </w:p>
    <w:p w14:paraId="63AC62F6" w14:textId="77777777" w:rsidR="001326BB" w:rsidRPr="004A47DC" w:rsidRDefault="001326BB" w:rsidP="001750A8">
      <w:pPr>
        <w:pStyle w:val="TEKSTIII"/>
        <w:rPr>
          <w:color w:val="000000" w:themeColor="text1"/>
        </w:rPr>
      </w:pPr>
      <w:r w:rsidRPr="004A47DC">
        <w:rPr>
          <w:color w:val="000000" w:themeColor="text1"/>
        </w:rPr>
        <w:t>Shtylla e dytë dhe e katërt e strategjisë janë të rëndësishme për MFP-në.</w:t>
      </w:r>
    </w:p>
    <w:p w14:paraId="0220CE82" w14:textId="17550B77" w:rsidR="001326BB" w:rsidRPr="004A47DC" w:rsidRDefault="001326BB" w:rsidP="001326BB">
      <w:pPr>
        <w:pStyle w:val="TEKSTIII"/>
        <w:rPr>
          <w:color w:val="000000" w:themeColor="text1"/>
        </w:rPr>
      </w:pPr>
      <w:r w:rsidRPr="004A47DC">
        <w:rPr>
          <w:b/>
          <w:bCs/>
          <w:color w:val="000000" w:themeColor="text1"/>
        </w:rPr>
        <w:t>Strategjia Ndërsektoriale kundër Korrupsionit 2024</w:t>
      </w:r>
      <w:r w:rsidR="00F473EA" w:rsidRPr="004A47DC">
        <w:rPr>
          <w:rStyle w:val="rynqvb"/>
          <w:b/>
          <w:color w:val="000000" w:themeColor="text1"/>
        </w:rPr>
        <w:t>–</w:t>
      </w:r>
      <w:r w:rsidRPr="004A47DC">
        <w:rPr>
          <w:b/>
          <w:bCs/>
          <w:color w:val="000000" w:themeColor="text1"/>
        </w:rPr>
        <w:t>2030</w:t>
      </w:r>
    </w:p>
    <w:p w14:paraId="11394608" w14:textId="77777777" w:rsidR="001326BB" w:rsidRPr="004A47DC" w:rsidRDefault="001326BB" w:rsidP="001326BB">
      <w:pPr>
        <w:pStyle w:val="TEKSTIII"/>
        <w:rPr>
          <w:color w:val="000000" w:themeColor="text1"/>
        </w:rPr>
      </w:pPr>
      <w:r w:rsidRPr="004A47DC">
        <w:rPr>
          <w:b/>
          <w:bCs/>
          <w:color w:val="000000" w:themeColor="text1"/>
        </w:rPr>
        <w:t xml:space="preserve">Programi i Reformave Ekonomike </w:t>
      </w:r>
    </w:p>
    <w:p w14:paraId="5D406756" w14:textId="5A536704" w:rsidR="001326BB" w:rsidRPr="004A47DC" w:rsidRDefault="001326BB" w:rsidP="001326BB">
      <w:pPr>
        <w:pStyle w:val="TEKSTIII"/>
        <w:rPr>
          <w:rFonts w:ascii="Times New Roman" w:hAnsi="Times New Roman"/>
          <w:color w:val="000000" w:themeColor="text1"/>
        </w:rPr>
      </w:pPr>
      <w:r w:rsidRPr="004A47DC">
        <w:rPr>
          <w:iCs/>
          <w:color w:val="000000" w:themeColor="text1"/>
        </w:rPr>
        <w:t xml:space="preserve">Programi i Reformave Ekonomike </w:t>
      </w:r>
      <w:r w:rsidRPr="004A47DC">
        <w:rPr>
          <w:bCs/>
          <w:color w:val="000000" w:themeColor="text1"/>
        </w:rPr>
        <w:t>2023</w:t>
      </w:r>
      <w:r w:rsidR="00F473EA" w:rsidRPr="004A47DC">
        <w:rPr>
          <w:rStyle w:val="rynqvb"/>
          <w:color w:val="000000" w:themeColor="text1"/>
        </w:rPr>
        <w:t>–</w:t>
      </w:r>
      <w:r w:rsidRPr="004A47DC">
        <w:rPr>
          <w:bCs/>
          <w:color w:val="000000" w:themeColor="text1"/>
        </w:rPr>
        <w:t>2025</w:t>
      </w:r>
      <w:r w:rsidRPr="004A47DC">
        <w:rPr>
          <w:rStyle w:val="FootnoteReference"/>
          <w:rFonts w:ascii="Garamond" w:hAnsi="Garamond"/>
          <w:bCs/>
          <w:color w:val="000000" w:themeColor="text1"/>
          <w:sz w:val="24"/>
          <w:szCs w:val="24"/>
        </w:rPr>
        <w:footnoteReference w:id="2"/>
      </w:r>
      <w:r w:rsidRPr="004A47DC">
        <w:rPr>
          <w:iCs/>
          <w:color w:val="000000" w:themeColor="text1"/>
        </w:rPr>
        <w:t xml:space="preserve"> </w:t>
      </w:r>
      <w:r w:rsidRPr="004A47DC">
        <w:rPr>
          <w:rStyle w:val="rynqvb"/>
          <w:color w:val="000000" w:themeColor="text1"/>
        </w:rPr>
        <w:t>përshkruan politikat kryesore makroekonomike dhe fiskale që synojnë të vendosin ekuilibrin e qartë midis fuqive të brendshme dhe kërcënimeve të jashtme, me synimin për të mundësuar rritje të qëndrueshme, rritje të punësimit dhe ulje të borxhit publik.</w:t>
      </w:r>
      <w:r w:rsidRPr="004A47DC">
        <w:rPr>
          <w:rStyle w:val="hwtze"/>
          <w:color w:val="000000" w:themeColor="text1"/>
        </w:rPr>
        <w:t xml:space="preserve"> </w:t>
      </w:r>
      <w:r w:rsidRPr="004A47DC">
        <w:rPr>
          <w:rStyle w:val="rynqvb"/>
          <w:color w:val="000000" w:themeColor="text1"/>
        </w:rPr>
        <w:t>Për më tepër, PRE</w:t>
      </w:r>
      <w:r w:rsidR="00B526E3" w:rsidRPr="004A47DC">
        <w:rPr>
          <w:color w:val="000000" w:themeColor="text1"/>
        </w:rPr>
        <w:t>-ja</w:t>
      </w:r>
      <w:r w:rsidRPr="004A47DC">
        <w:rPr>
          <w:rStyle w:val="rynqvb"/>
          <w:color w:val="000000" w:themeColor="text1"/>
        </w:rPr>
        <w:t xml:space="preserve"> përmbledh reformat strukturore prioritare që Shqipëria po zbaton për të ardhmen afatshkurtër me synimin për të rritur prodhimin vendas, për të stimuluar investime të reja dhe për të siguruar rritje dhe konkurrencë të qëndrueshme dhe gjithëpërfshirëse.</w:t>
      </w:r>
      <w:r w:rsidRPr="004A47DC">
        <w:rPr>
          <w:rStyle w:val="hwtze"/>
          <w:color w:val="000000" w:themeColor="text1"/>
        </w:rPr>
        <w:t xml:space="preserve"> </w:t>
      </w:r>
      <w:r w:rsidRPr="004A47DC">
        <w:rPr>
          <w:rStyle w:val="rynqvb"/>
          <w:color w:val="000000" w:themeColor="text1"/>
        </w:rPr>
        <w:t>Gjithashtu, në këtë kontekst, Ministria e Financave (MF) po drejton zbatimin e reformës së përmirësimit të raportimit financiar të shoqërive tregtare</w:t>
      </w:r>
      <w:r w:rsidR="00B526E3" w:rsidRPr="004A47DC">
        <w:rPr>
          <w:rStyle w:val="rynqvb"/>
          <w:color w:val="000000" w:themeColor="text1"/>
        </w:rPr>
        <w:t>,</w:t>
      </w:r>
      <w:r w:rsidRPr="004A47DC">
        <w:rPr>
          <w:rStyle w:val="rynqvb"/>
          <w:color w:val="000000" w:themeColor="text1"/>
        </w:rPr>
        <w:t xml:space="preserve"> në përputhje me standardet dhe praktikat e mira ndërkombëtare, duke u fokusuar në përmirësimin e kornizës ligjore, forcimin e rolit të institucioneve</w:t>
      </w:r>
      <w:r w:rsidR="00B526E3" w:rsidRPr="004A47DC">
        <w:rPr>
          <w:rStyle w:val="rynqvb"/>
          <w:color w:val="000000" w:themeColor="text1"/>
        </w:rPr>
        <w:t>,</w:t>
      </w:r>
      <w:r w:rsidRPr="004A47DC">
        <w:rPr>
          <w:rStyle w:val="rynqvb"/>
          <w:color w:val="000000" w:themeColor="text1"/>
        </w:rPr>
        <w:t xml:space="preserve"> si dhe rritjen e kapaciteteve profesionale në fushën e raportimit financiar.</w:t>
      </w:r>
      <w:r w:rsidR="00B2411C" w:rsidRPr="004A47DC">
        <w:rPr>
          <w:rStyle w:val="rynqvb"/>
          <w:color w:val="000000" w:themeColor="text1"/>
        </w:rPr>
        <w:t xml:space="preserve"> </w:t>
      </w:r>
      <w:r w:rsidRPr="004A47DC">
        <w:rPr>
          <w:rStyle w:val="rynqvb"/>
          <w:color w:val="000000" w:themeColor="text1"/>
        </w:rPr>
        <w:t>Një sistem i shëndoshë dhe transparent i raportimit financiar është parakusht për rritjen e besimit të investitorëve të brendshëm dhe të huaj, si një kriter i rëndësishëm për inkurajimin e investimeve dhe rritjen ekonomike në vend. Në këtë kuadër, rishikimi i ligjit nr. 10091, datë 5.3.2009</w:t>
      </w:r>
      <w:r w:rsidR="00F473EA" w:rsidRPr="004A47DC">
        <w:rPr>
          <w:rStyle w:val="rynqvb"/>
          <w:color w:val="000000" w:themeColor="text1"/>
        </w:rPr>
        <w:t>,</w:t>
      </w:r>
      <w:r w:rsidRPr="004A47DC">
        <w:rPr>
          <w:rStyle w:val="rynqvb"/>
          <w:color w:val="000000" w:themeColor="text1"/>
        </w:rPr>
        <w:t xml:space="preserve"> </w:t>
      </w:r>
      <w:r w:rsidR="00E33A13" w:rsidRPr="004A47DC">
        <w:rPr>
          <w:rStyle w:val="rynqvb"/>
          <w:color w:val="000000" w:themeColor="text1"/>
        </w:rPr>
        <w:t>“</w:t>
      </w:r>
      <w:r w:rsidRPr="004A47DC">
        <w:rPr>
          <w:rStyle w:val="rynqvb"/>
          <w:color w:val="000000" w:themeColor="text1"/>
        </w:rPr>
        <w:t>Për auditimin ligjor, organizimin e profesionit të audituesit ligjor dhe të kontabilistit të miratuar</w:t>
      </w:r>
      <w:r w:rsidR="00B526E3" w:rsidRPr="004A47DC">
        <w:rPr>
          <w:rStyle w:val="rynqvb"/>
          <w:color w:val="000000" w:themeColor="text1"/>
        </w:rPr>
        <w:t>”</w:t>
      </w:r>
      <w:r w:rsidRPr="004A47DC">
        <w:rPr>
          <w:rStyle w:val="rynqvb"/>
          <w:color w:val="000000" w:themeColor="text1"/>
        </w:rPr>
        <w:t>, të ndryshuar</w:t>
      </w:r>
      <w:r w:rsidR="00B526E3" w:rsidRPr="004A47DC">
        <w:rPr>
          <w:rStyle w:val="rynqvb"/>
          <w:color w:val="000000" w:themeColor="text1"/>
        </w:rPr>
        <w:t>,</w:t>
      </w:r>
      <w:r w:rsidRPr="004A47DC">
        <w:rPr>
          <w:rStyle w:val="rynqvb"/>
          <w:color w:val="000000" w:themeColor="text1"/>
        </w:rPr>
        <w:t xml:space="preserve"> synon përmirësimin e profesionit kontabël</w:t>
      </w:r>
      <w:r w:rsidR="00B526E3" w:rsidRPr="004A47DC">
        <w:rPr>
          <w:rStyle w:val="rynqvb"/>
          <w:color w:val="000000" w:themeColor="text1"/>
        </w:rPr>
        <w:t>,</w:t>
      </w:r>
      <w:r w:rsidRPr="004A47DC">
        <w:rPr>
          <w:rStyle w:val="rynqvb"/>
          <w:color w:val="000000" w:themeColor="text1"/>
        </w:rPr>
        <w:t xml:space="preserve"> si dhe përafrimin e mëtejshëm të kuadrit rregullator të fushës me </w:t>
      </w:r>
      <w:r w:rsidRPr="004A47DC">
        <w:rPr>
          <w:rStyle w:val="rynqvb"/>
          <w:i/>
          <w:iCs/>
          <w:color w:val="000000" w:themeColor="text1"/>
        </w:rPr>
        <w:t>acquis communautaire</w:t>
      </w:r>
      <w:r w:rsidRPr="004A47DC">
        <w:rPr>
          <w:rStyle w:val="rynqvb"/>
          <w:color w:val="000000" w:themeColor="text1"/>
        </w:rPr>
        <w:t>, duke mbështetur kështu angazhimet strategjike të vendit për anëtarësim në BE.</w:t>
      </w:r>
    </w:p>
    <w:p w14:paraId="0AC9448F" w14:textId="4CA3E0D7" w:rsidR="001326BB" w:rsidRPr="004A47DC" w:rsidRDefault="001326BB" w:rsidP="001326BB">
      <w:pPr>
        <w:pStyle w:val="TEKSTIII"/>
        <w:rPr>
          <w:iCs/>
          <w:color w:val="000000" w:themeColor="text1"/>
        </w:rPr>
      </w:pPr>
      <w:r w:rsidRPr="004A47DC">
        <w:rPr>
          <w:rStyle w:val="rynqvb"/>
          <w:color w:val="000000" w:themeColor="text1"/>
        </w:rPr>
        <w:t>Konsolidimi fiskal vazhdon të jetë objektivi kryesor i politikës fiskale për të garantuar stabilitetin makroekonomik...</w:t>
      </w:r>
    </w:p>
    <w:p w14:paraId="518CB4D0" w14:textId="77777777" w:rsidR="001326BB" w:rsidRPr="004A47DC" w:rsidRDefault="001326BB" w:rsidP="001750A8">
      <w:pPr>
        <w:pStyle w:val="TEKSTIII"/>
        <w:rPr>
          <w:color w:val="000000" w:themeColor="text1"/>
        </w:rPr>
      </w:pPr>
      <w:r w:rsidRPr="004A47DC">
        <w:rPr>
          <w:color w:val="000000" w:themeColor="text1"/>
        </w:rPr>
        <w:t>PRE-ja paraqet udhëzimet e politikave të mëposhtme në lidhje me MFP-në:</w:t>
      </w:r>
    </w:p>
    <w:p w14:paraId="1E017910" w14:textId="06FED1F6" w:rsidR="001326BB" w:rsidRPr="004A47DC" w:rsidRDefault="00E56995" w:rsidP="001750A8">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1.2</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Kufizoni rishikimet e buxhetit në procesin e rregullt të rishikimit të përcaktuar </w:t>
      </w:r>
      <w:r w:rsidR="00F473EA" w:rsidRPr="004A47DC">
        <w:rPr>
          <w:rStyle w:val="Heading4Char"/>
          <w:rFonts w:ascii="Garamond" w:eastAsia="Calibri" w:hAnsi="Garamond"/>
          <w:b w:val="0"/>
          <w:bCs w:val="0"/>
          <w:color w:val="000000" w:themeColor="text1"/>
          <w:sz w:val="24"/>
          <w:szCs w:val="24"/>
        </w:rPr>
        <w:t>në ligjin për buxhetin dhe</w:t>
      </w:r>
      <w:r w:rsidR="001326BB" w:rsidRPr="004A47DC">
        <w:rPr>
          <w:rStyle w:val="Heading4Char"/>
          <w:rFonts w:ascii="Garamond" w:eastAsia="Calibri" w:hAnsi="Garamond"/>
          <w:b w:val="0"/>
          <w:bCs w:val="0"/>
          <w:color w:val="000000" w:themeColor="text1"/>
          <w:sz w:val="24"/>
          <w:szCs w:val="24"/>
        </w:rPr>
        <w:t xml:space="preserve"> përdorni procesin e rregullt legjislativ nëse bëhet i nevojshëm një ndryshim i </w:t>
      </w:r>
      <w:r w:rsidR="00B526E3" w:rsidRPr="004A47DC">
        <w:rPr>
          <w:rStyle w:val="Heading4Char"/>
          <w:rFonts w:ascii="Garamond" w:eastAsia="Calibri" w:hAnsi="Garamond"/>
          <w:b w:val="0"/>
          <w:bCs w:val="0"/>
          <w:color w:val="000000" w:themeColor="text1"/>
          <w:sz w:val="24"/>
          <w:szCs w:val="24"/>
        </w:rPr>
        <w:t>ligjit për buxhetin;</w:t>
      </w:r>
    </w:p>
    <w:p w14:paraId="398E2B10" w14:textId="67E476FF" w:rsidR="001326BB" w:rsidRPr="004A47DC" w:rsidRDefault="00E56995" w:rsidP="00E56995">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1.3</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Vlerësoni risqet fiskale nga ndërmarrjet shtetërore dhe hartoni propozimet për zbutjen e tyre</w:t>
      </w:r>
      <w:r w:rsidR="00B526E3" w:rsidRPr="004A47DC">
        <w:rPr>
          <w:rStyle w:val="Heading4Char"/>
          <w:rFonts w:ascii="Garamond" w:eastAsia="Calibri" w:hAnsi="Garamond"/>
          <w:b w:val="0"/>
          <w:bCs w:val="0"/>
          <w:color w:val="000000" w:themeColor="text1"/>
          <w:sz w:val="24"/>
          <w:szCs w:val="24"/>
        </w:rPr>
        <w:t>;</w:t>
      </w:r>
    </w:p>
    <w:p w14:paraId="1E16CCE5" w14:textId="3E4B3E93" w:rsidR="001326BB" w:rsidRPr="004A47DC" w:rsidRDefault="00E56995" w:rsidP="00E56995">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2.1</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Zbatoni aktivitetet e përshkruara në masën e reformës 10 të PRE-së për </w:t>
      </w:r>
      <w:r w:rsidR="00B526E3" w:rsidRPr="004A47DC">
        <w:rPr>
          <w:rStyle w:val="Heading4Char"/>
          <w:rFonts w:ascii="Garamond" w:eastAsia="Calibri" w:hAnsi="Garamond"/>
          <w:b w:val="0"/>
          <w:bCs w:val="0"/>
          <w:color w:val="000000" w:themeColor="text1"/>
          <w:sz w:val="24"/>
          <w:szCs w:val="24"/>
        </w:rPr>
        <w:t xml:space="preserve">investimet strategjike publike dhe në </w:t>
      </w:r>
      <w:r w:rsidR="001326BB" w:rsidRPr="004A47DC">
        <w:rPr>
          <w:rStyle w:val="Heading4Char"/>
          <w:rFonts w:ascii="Garamond" w:eastAsia="Calibri" w:hAnsi="Garamond"/>
          <w:b w:val="0"/>
          <w:bCs w:val="0"/>
          <w:color w:val="000000" w:themeColor="text1"/>
          <w:sz w:val="24"/>
          <w:szCs w:val="24"/>
        </w:rPr>
        <w:t>strategjinë e MFP-së për të përmirësuar menaxhimin e investimeve publike duke përfshirë PPP</w:t>
      </w:r>
      <w:r w:rsidR="00B526E3" w:rsidRPr="004A47DC">
        <w:rPr>
          <w:color w:val="000000" w:themeColor="text1"/>
        </w:rPr>
        <w:t>-në</w:t>
      </w:r>
      <w:r w:rsidR="00B526E3" w:rsidRPr="004A47DC">
        <w:rPr>
          <w:rStyle w:val="Heading4Char"/>
          <w:rFonts w:ascii="Garamond" w:eastAsia="Calibri" w:hAnsi="Garamond"/>
          <w:b w:val="0"/>
          <w:bCs w:val="0"/>
          <w:color w:val="000000" w:themeColor="text1"/>
          <w:sz w:val="24"/>
          <w:szCs w:val="24"/>
        </w:rPr>
        <w:t>;</w:t>
      </w:r>
    </w:p>
    <w:p w14:paraId="6BBF3CFD" w14:textId="5BBF6A2B" w:rsidR="001326BB" w:rsidRPr="004A47DC" w:rsidRDefault="00E56995" w:rsidP="00E56995">
      <w:pPr>
        <w:pStyle w:val="TEKSTIII"/>
        <w:rPr>
          <w:color w:val="000000" w:themeColor="text1"/>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2.2</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Miratoni strategjinë afatmesme të të ardhurave pas një konsultimi intensiv publik dhe plotësoni atë me një plan zbatimi të buxhetuar dhe operacional për të udhëhequr politikat tatimore në vitet e ardhshme</w:t>
      </w:r>
      <w:r w:rsidR="00B526E3" w:rsidRPr="004A47DC">
        <w:rPr>
          <w:color w:val="000000" w:themeColor="text1"/>
        </w:rPr>
        <w:t>;</w:t>
      </w:r>
    </w:p>
    <w:p w14:paraId="2293A0E9" w14:textId="5FEB30D4" w:rsidR="001326BB" w:rsidRPr="004A47DC" w:rsidRDefault="00E56995" w:rsidP="00E56995">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4.3</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Hartoni një plan veprimi strategjik dhe të koordinuar për zbatimin e politikave kundër informalitetit, bazuar, por pa u kufizuar, në strategjinë afatmesme të të ardhurave</w:t>
      </w:r>
      <w:r w:rsidR="00B526E3" w:rsidRPr="004A47DC">
        <w:rPr>
          <w:rStyle w:val="Heading4Char"/>
          <w:rFonts w:ascii="Garamond" w:eastAsia="Calibri" w:hAnsi="Garamond"/>
          <w:b w:val="0"/>
          <w:bCs w:val="0"/>
          <w:color w:val="000000" w:themeColor="text1"/>
          <w:sz w:val="24"/>
          <w:szCs w:val="24"/>
        </w:rPr>
        <w:t>.</w:t>
      </w:r>
    </w:p>
    <w:p w14:paraId="120DE397" w14:textId="77777777" w:rsidR="001326BB" w:rsidRPr="004A47DC" w:rsidRDefault="001326BB" w:rsidP="00E56995">
      <w:pPr>
        <w:pStyle w:val="TEKSTIII"/>
        <w:rPr>
          <w:color w:val="000000" w:themeColor="text1"/>
        </w:rPr>
      </w:pPr>
      <w:r w:rsidRPr="004A47DC">
        <w:rPr>
          <w:color w:val="000000" w:themeColor="text1"/>
        </w:rPr>
        <w:t>Për më tepër, PRE-ja identifikon masat e mëposhtme të reformës, të rëndësishme për MFP-në:</w:t>
      </w:r>
    </w:p>
    <w:p w14:paraId="39E0C8C9" w14:textId="13294CF7" w:rsidR="001326BB" w:rsidRPr="004A47DC" w:rsidRDefault="00E56995" w:rsidP="00E56995">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 xml:space="preserve">MR 09: Investimet </w:t>
      </w:r>
      <w:r w:rsidR="00B526E3" w:rsidRPr="004A47DC">
        <w:rPr>
          <w:rStyle w:val="Heading4Char"/>
          <w:rFonts w:ascii="Garamond" w:eastAsia="Calibri" w:hAnsi="Garamond"/>
          <w:b w:val="0"/>
          <w:bCs w:val="0"/>
          <w:color w:val="000000" w:themeColor="text1"/>
          <w:sz w:val="24"/>
          <w:szCs w:val="24"/>
        </w:rPr>
        <w:t>strategjike publike</w:t>
      </w:r>
      <w:r w:rsidR="001326BB" w:rsidRPr="004A47DC">
        <w:rPr>
          <w:rStyle w:val="Heading4Char"/>
          <w:rFonts w:ascii="Garamond" w:eastAsia="Calibri" w:hAnsi="Garamond"/>
          <w:b w:val="0"/>
          <w:bCs w:val="0"/>
          <w:color w:val="000000" w:themeColor="text1"/>
          <w:sz w:val="24"/>
          <w:szCs w:val="24"/>
        </w:rPr>
        <w:t xml:space="preserve">: a) </w:t>
      </w:r>
      <w:r w:rsidR="00B526E3" w:rsidRPr="004A47DC">
        <w:rPr>
          <w:rStyle w:val="Heading4Char"/>
          <w:rFonts w:ascii="Garamond" w:eastAsia="Calibri" w:hAnsi="Garamond"/>
          <w:b w:val="0"/>
          <w:bCs w:val="0"/>
          <w:color w:val="000000" w:themeColor="text1"/>
          <w:sz w:val="24"/>
          <w:szCs w:val="24"/>
        </w:rPr>
        <w:t>z</w:t>
      </w:r>
      <w:r w:rsidR="001326BB" w:rsidRPr="004A47DC">
        <w:rPr>
          <w:rStyle w:val="Heading4Char"/>
          <w:rFonts w:ascii="Garamond" w:eastAsia="Calibri" w:hAnsi="Garamond"/>
          <w:b w:val="0"/>
          <w:bCs w:val="0"/>
          <w:color w:val="000000" w:themeColor="text1"/>
          <w:sz w:val="24"/>
          <w:szCs w:val="24"/>
        </w:rPr>
        <w:t xml:space="preserve">hvillimi i një procedure të re të MIP-së duke përfshirë PPP-të; b) </w:t>
      </w:r>
      <w:r w:rsidR="00B526E3" w:rsidRPr="004A47DC">
        <w:rPr>
          <w:rStyle w:val="Heading4Char"/>
          <w:rFonts w:ascii="Garamond" w:eastAsia="Calibri" w:hAnsi="Garamond"/>
          <w:b w:val="0"/>
          <w:bCs w:val="0"/>
          <w:color w:val="000000" w:themeColor="text1"/>
          <w:sz w:val="24"/>
          <w:szCs w:val="24"/>
        </w:rPr>
        <w:t>f</w:t>
      </w:r>
      <w:r w:rsidR="001326BB" w:rsidRPr="004A47DC">
        <w:rPr>
          <w:rStyle w:val="Heading4Char"/>
          <w:rFonts w:ascii="Garamond" w:eastAsia="Calibri" w:hAnsi="Garamond"/>
          <w:b w:val="0"/>
          <w:bCs w:val="0"/>
          <w:color w:val="000000" w:themeColor="text1"/>
          <w:sz w:val="24"/>
          <w:szCs w:val="24"/>
        </w:rPr>
        <w:t>orcimi i kapaciteteve në të gjithë qeverinë për të vlerësuar projektet e investimeve publike; dhe c) përmirësimi i monitorimit të investimeve publike duke përfshirë projektet PPP dhe koncesionet.</w:t>
      </w:r>
    </w:p>
    <w:p w14:paraId="7F8391F2" w14:textId="66E4CECE" w:rsidR="001326BB" w:rsidRPr="004A47DC" w:rsidRDefault="00E56995" w:rsidP="00E56995">
      <w:pPr>
        <w:pStyle w:val="TEKSTIII"/>
        <w:rPr>
          <w:rStyle w:val="Heading4Char"/>
          <w:rFonts w:ascii="Garamond" w:eastAsia="Calibri" w:hAnsi="Garamond"/>
          <w:b w:val="0"/>
          <w:bCs w:val="0"/>
          <w:color w:val="000000" w:themeColor="text1"/>
          <w:sz w:val="24"/>
          <w:szCs w:val="24"/>
        </w:rPr>
      </w:pPr>
      <w:r w:rsidRPr="004A47DC">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MR 10: Masa e reformës 10: Forcimi i përgjegjshmërisë menaxheriale në njësitë e qeverisjes së përgjithshme nëpërmjet përmirësimit të kuadrit rregullator, vlerësimit të vazhdueshëm të sistemit të kontrollit të brendshëm, ofrimi</w:t>
      </w:r>
      <w:r w:rsidR="00B526E3" w:rsidRPr="004A47DC">
        <w:rPr>
          <w:rStyle w:val="Heading4Char"/>
          <w:rFonts w:ascii="Garamond" w:eastAsia="Calibri" w:hAnsi="Garamond"/>
          <w:b w:val="0"/>
          <w:bCs w:val="0"/>
          <w:color w:val="000000" w:themeColor="text1"/>
          <w:sz w:val="24"/>
          <w:szCs w:val="24"/>
        </w:rPr>
        <w:t>t</w:t>
      </w:r>
      <w:r w:rsidR="001326BB" w:rsidRPr="004A47DC">
        <w:rPr>
          <w:rStyle w:val="Heading4Char"/>
          <w:rFonts w:ascii="Garamond" w:eastAsia="Calibri" w:hAnsi="Garamond"/>
          <w:b w:val="0"/>
          <w:bCs w:val="0"/>
          <w:color w:val="000000" w:themeColor="text1"/>
          <w:sz w:val="24"/>
          <w:szCs w:val="24"/>
        </w:rPr>
        <w:t xml:space="preserve"> </w:t>
      </w:r>
      <w:r w:rsidR="00B526E3" w:rsidRPr="004A47DC">
        <w:rPr>
          <w:rStyle w:val="Heading4Char"/>
          <w:rFonts w:ascii="Garamond" w:eastAsia="Calibri" w:hAnsi="Garamond"/>
          <w:b w:val="0"/>
          <w:bCs w:val="0"/>
          <w:color w:val="000000" w:themeColor="text1"/>
          <w:sz w:val="24"/>
          <w:szCs w:val="24"/>
        </w:rPr>
        <w:t>të</w:t>
      </w:r>
      <w:r w:rsidR="001326BB" w:rsidRPr="004A47DC">
        <w:rPr>
          <w:rStyle w:val="Heading4Char"/>
          <w:rFonts w:ascii="Garamond" w:eastAsia="Calibri" w:hAnsi="Garamond"/>
          <w:b w:val="0"/>
          <w:bCs w:val="0"/>
          <w:color w:val="000000" w:themeColor="text1"/>
          <w:sz w:val="24"/>
          <w:szCs w:val="24"/>
        </w:rPr>
        <w:t xml:space="preserve"> asistencës teknike, ngritj</w:t>
      </w:r>
      <w:r w:rsidR="00B526E3" w:rsidRPr="004A47DC">
        <w:rPr>
          <w:rStyle w:val="Heading4Char"/>
          <w:rFonts w:ascii="Garamond" w:eastAsia="Calibri" w:hAnsi="Garamond"/>
          <w:b w:val="0"/>
          <w:bCs w:val="0"/>
          <w:color w:val="000000" w:themeColor="text1"/>
          <w:sz w:val="24"/>
          <w:szCs w:val="24"/>
        </w:rPr>
        <w:t>es</w:t>
      </w:r>
      <w:r w:rsidR="001326BB" w:rsidRPr="004A47DC">
        <w:rPr>
          <w:rStyle w:val="Heading4Char"/>
          <w:rFonts w:ascii="Garamond" w:eastAsia="Calibri" w:hAnsi="Garamond"/>
          <w:b w:val="0"/>
          <w:bCs w:val="0"/>
          <w:color w:val="000000" w:themeColor="text1"/>
          <w:sz w:val="24"/>
          <w:szCs w:val="24"/>
        </w:rPr>
        <w:t xml:space="preserve"> </w:t>
      </w:r>
      <w:r w:rsidR="00B526E3" w:rsidRPr="004A47DC">
        <w:rPr>
          <w:rStyle w:val="Heading4Char"/>
          <w:rFonts w:ascii="Garamond" w:eastAsia="Calibri" w:hAnsi="Garamond"/>
          <w:b w:val="0"/>
          <w:bCs w:val="0"/>
          <w:color w:val="000000" w:themeColor="text1"/>
          <w:sz w:val="24"/>
          <w:szCs w:val="24"/>
        </w:rPr>
        <w:t>së</w:t>
      </w:r>
      <w:r w:rsidR="001326BB" w:rsidRPr="004A47DC">
        <w:rPr>
          <w:rStyle w:val="Heading4Char"/>
          <w:rFonts w:ascii="Garamond" w:eastAsia="Calibri" w:hAnsi="Garamond"/>
          <w:b w:val="0"/>
          <w:bCs w:val="0"/>
          <w:color w:val="000000" w:themeColor="text1"/>
          <w:sz w:val="24"/>
          <w:szCs w:val="24"/>
        </w:rPr>
        <w:t xml:space="preserve"> kapaciteteve dhe rritj</w:t>
      </w:r>
      <w:r w:rsidR="00B526E3" w:rsidRPr="004A47DC">
        <w:rPr>
          <w:rStyle w:val="Heading4Char"/>
          <w:rFonts w:ascii="Garamond" w:eastAsia="Calibri" w:hAnsi="Garamond"/>
          <w:b w:val="0"/>
          <w:bCs w:val="0"/>
          <w:color w:val="000000" w:themeColor="text1"/>
          <w:sz w:val="24"/>
          <w:szCs w:val="24"/>
        </w:rPr>
        <w:t>es</w:t>
      </w:r>
      <w:r w:rsidR="001326BB" w:rsidRPr="004A47DC">
        <w:rPr>
          <w:rStyle w:val="Heading4Char"/>
          <w:rFonts w:ascii="Garamond" w:eastAsia="Calibri" w:hAnsi="Garamond"/>
          <w:b w:val="0"/>
          <w:bCs w:val="0"/>
          <w:color w:val="000000" w:themeColor="text1"/>
          <w:sz w:val="24"/>
          <w:szCs w:val="24"/>
        </w:rPr>
        <w:t xml:space="preserve"> </w:t>
      </w:r>
      <w:r w:rsidR="00B526E3" w:rsidRPr="004A47DC">
        <w:rPr>
          <w:rStyle w:val="Heading4Char"/>
          <w:rFonts w:ascii="Garamond" w:eastAsia="Calibri" w:hAnsi="Garamond"/>
          <w:b w:val="0"/>
          <w:bCs w:val="0"/>
          <w:color w:val="000000" w:themeColor="text1"/>
          <w:sz w:val="24"/>
          <w:szCs w:val="24"/>
        </w:rPr>
        <w:t>së</w:t>
      </w:r>
      <w:r w:rsidR="001326BB" w:rsidRPr="004A47DC">
        <w:rPr>
          <w:rStyle w:val="Heading4Char"/>
          <w:rFonts w:ascii="Garamond" w:eastAsia="Calibri" w:hAnsi="Garamond"/>
          <w:b w:val="0"/>
          <w:bCs w:val="0"/>
          <w:color w:val="000000" w:themeColor="text1"/>
          <w:sz w:val="24"/>
          <w:szCs w:val="24"/>
        </w:rPr>
        <w:t xml:space="preserve"> ndërgjegjësimit</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në lidhje me përmirësimin e mekanizmave të llogaridhënies menaxheriale.</w:t>
      </w:r>
    </w:p>
    <w:p w14:paraId="3957F571" w14:textId="72DEAA9F" w:rsidR="001326BB" w:rsidRPr="004A47DC" w:rsidRDefault="001326BB" w:rsidP="00E56995">
      <w:pPr>
        <w:pStyle w:val="TEKSTIII"/>
        <w:rPr>
          <w:color w:val="000000" w:themeColor="text1"/>
        </w:rPr>
      </w:pPr>
      <w:r w:rsidRPr="004A47DC">
        <w:rPr>
          <w:color w:val="000000" w:themeColor="text1"/>
        </w:rPr>
        <w:t>PRE 2024</w:t>
      </w:r>
      <w:r w:rsidR="00F473EA" w:rsidRPr="004A47DC">
        <w:rPr>
          <w:rStyle w:val="rynqvb"/>
          <w:color w:val="000000" w:themeColor="text1"/>
        </w:rPr>
        <w:t>–</w:t>
      </w:r>
      <w:r w:rsidRPr="004A47DC">
        <w:rPr>
          <w:color w:val="000000" w:themeColor="text1"/>
        </w:rPr>
        <w:t xml:space="preserve">2026 </w:t>
      </w:r>
      <w:r w:rsidRPr="004A47DC">
        <w:rPr>
          <w:rStyle w:val="FootnoteReference"/>
          <w:rFonts w:ascii="Garamond" w:hAnsi="Garamond"/>
          <w:color w:val="000000" w:themeColor="text1"/>
          <w:sz w:val="24"/>
          <w:szCs w:val="24"/>
        </w:rPr>
        <w:footnoteReference w:id="3"/>
      </w:r>
      <w:r w:rsidRPr="004A47DC">
        <w:rPr>
          <w:color w:val="000000" w:themeColor="text1"/>
        </w:rPr>
        <w:t xml:space="preserve"> paraqet udhëzimet e politikave të mëposhtme</w:t>
      </w:r>
      <w:r w:rsidR="00B526E3" w:rsidRPr="004A47DC">
        <w:rPr>
          <w:color w:val="000000" w:themeColor="text1"/>
        </w:rPr>
        <w:t>,</w:t>
      </w:r>
      <w:r w:rsidRPr="004A47DC">
        <w:rPr>
          <w:color w:val="000000" w:themeColor="text1"/>
        </w:rPr>
        <w:t xml:space="preserve"> në lidhje me MFP-në:</w:t>
      </w:r>
    </w:p>
    <w:p w14:paraId="7E6FC77D" w14:textId="6EB7742A" w:rsidR="001326BB" w:rsidRPr="004A47DC" w:rsidRDefault="00DD1E23" w:rsidP="00E56995">
      <w:pPr>
        <w:pStyle w:val="TEKSTIII"/>
        <w:rPr>
          <w:rStyle w:val="Heading4Char"/>
          <w:rFonts w:ascii="Garamond" w:eastAsia="Calibri" w:hAnsi="Garamond"/>
          <w:b w:val="0"/>
          <w:bCs w:val="0"/>
          <w:color w:val="000000" w:themeColor="text1"/>
          <w:sz w:val="24"/>
          <w:szCs w:val="24"/>
        </w:rPr>
      </w:pPr>
      <w:r>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1.1</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Të arrihet siç është parashikuar një balancë primare jo negative në vitin 2023</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duke ofruar</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nëse është e nevojshme</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mbështetje për familjet dhe bizneset</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me qëllim për të zbutur ndikimin e çmimeve të larta të energjisë dhe të zbatohet plani buxhetor afatmesëm që synon uljen e raportit të borxhit publik dhe rritjen e suficit primar</w:t>
      </w:r>
      <w:r w:rsidR="00B526E3"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duke përdorur procesin e rregullt të rishikimit për amendamentet e buxhetit.</w:t>
      </w:r>
    </w:p>
    <w:p w14:paraId="214505A4" w14:textId="6DA1C3B8" w:rsidR="001326BB" w:rsidRPr="004A47DC" w:rsidRDefault="00DD1E23" w:rsidP="00E56995">
      <w:pPr>
        <w:pStyle w:val="TEKSTIII"/>
        <w:rPr>
          <w:rStyle w:val="Heading4Char"/>
          <w:rFonts w:ascii="Garamond" w:eastAsia="Calibri" w:hAnsi="Garamond"/>
          <w:b w:val="0"/>
          <w:bCs w:val="0"/>
          <w:color w:val="000000" w:themeColor="text1"/>
          <w:sz w:val="24"/>
          <w:szCs w:val="24"/>
        </w:rPr>
      </w:pPr>
      <w:r>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1.2</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w:t>
      </w:r>
      <w:r w:rsidR="001326BB" w:rsidRPr="004A47DC">
        <w:rPr>
          <w:color w:val="000000" w:themeColor="text1"/>
        </w:rPr>
        <w:t>Mbani detyrimet e prapambetura të qeverisë së përgjithshme në çdo tremujor të 2023</w:t>
      </w:r>
      <w:r w:rsidR="00B526E3" w:rsidRPr="004A47DC">
        <w:rPr>
          <w:color w:val="000000" w:themeColor="text1"/>
        </w:rPr>
        <w:t>-shit</w:t>
      </w:r>
      <w:r w:rsidR="001326BB" w:rsidRPr="004A47DC">
        <w:rPr>
          <w:color w:val="000000" w:themeColor="text1"/>
        </w:rPr>
        <w:t xml:space="preserve"> në maksimum 2.5% të shpenzimeve totale dhe nën 2.4% të totalit të shpenzimeve në fund të 2023</w:t>
      </w:r>
      <w:r w:rsidR="00B526E3" w:rsidRPr="004A47DC">
        <w:rPr>
          <w:color w:val="000000" w:themeColor="text1"/>
        </w:rPr>
        <w:t>-shit</w:t>
      </w:r>
      <w:r w:rsidR="001326BB" w:rsidRPr="004A47DC">
        <w:rPr>
          <w:color w:val="000000" w:themeColor="text1"/>
        </w:rPr>
        <w:t>.</w:t>
      </w:r>
    </w:p>
    <w:p w14:paraId="6FF62889" w14:textId="799A8281" w:rsidR="001326BB" w:rsidRPr="004A47DC" w:rsidRDefault="00DD1E23" w:rsidP="00E56995">
      <w:pPr>
        <w:pStyle w:val="TEKSTIII"/>
        <w:rPr>
          <w:rStyle w:val="Heading4Char"/>
          <w:rFonts w:ascii="Garamond" w:eastAsia="Calibri" w:hAnsi="Garamond"/>
          <w:b w:val="0"/>
          <w:bCs w:val="0"/>
          <w:color w:val="000000" w:themeColor="text1"/>
          <w:sz w:val="24"/>
          <w:szCs w:val="24"/>
        </w:rPr>
      </w:pPr>
      <w:r>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1.3</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w:t>
      </w:r>
      <w:r w:rsidR="001326BB" w:rsidRPr="004A47DC">
        <w:rPr>
          <w:color w:val="000000" w:themeColor="text1"/>
        </w:rPr>
        <w:t>Njoftoni vendimet për garancitë e reja shtetërore dhe huadhënien e subjekteve publike nëpërmjet një vlerësimi sistematik të riskut.</w:t>
      </w:r>
    </w:p>
    <w:p w14:paraId="517E064E" w14:textId="4B40A1BC" w:rsidR="001326BB" w:rsidRPr="004A47DC" w:rsidRDefault="00DD1E23" w:rsidP="00E56995">
      <w:pPr>
        <w:pStyle w:val="TEKSTIII"/>
        <w:rPr>
          <w:rStyle w:val="Heading4Char"/>
          <w:rFonts w:ascii="Garamond" w:eastAsia="Calibri" w:hAnsi="Garamond"/>
          <w:b w:val="0"/>
          <w:bCs w:val="0"/>
          <w:color w:val="000000" w:themeColor="text1"/>
          <w:sz w:val="24"/>
          <w:szCs w:val="24"/>
        </w:rPr>
      </w:pPr>
      <w:r>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2.1</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w:t>
      </w:r>
      <w:r w:rsidR="001326BB" w:rsidRPr="004A47DC">
        <w:rPr>
          <w:color w:val="000000" w:themeColor="text1"/>
        </w:rPr>
        <w:t>Të vazhdojnë masat për të rritur të ardhurat tatimore si pjesë e PBB</w:t>
      </w:r>
      <w:r w:rsidR="00690CD9" w:rsidRPr="004A47DC">
        <w:rPr>
          <w:color w:val="000000" w:themeColor="text1"/>
        </w:rPr>
        <w:t>-së</w:t>
      </w:r>
      <w:r w:rsidR="001326BB" w:rsidRPr="004A47DC">
        <w:rPr>
          <w:color w:val="000000" w:themeColor="text1"/>
        </w:rPr>
        <w:t xml:space="preserve"> në një mënyrë </w:t>
      </w:r>
      <w:r w:rsidR="00E33A13" w:rsidRPr="004A47DC">
        <w:rPr>
          <w:color w:val="000000" w:themeColor="text1"/>
        </w:rPr>
        <w:t>“</w:t>
      </w:r>
      <w:r w:rsidR="001326BB" w:rsidRPr="004A47DC">
        <w:rPr>
          <w:color w:val="000000" w:themeColor="text1"/>
        </w:rPr>
        <w:t>miqësore</w:t>
      </w:r>
      <w:r w:rsidR="00E33A13" w:rsidRPr="004A47DC">
        <w:rPr>
          <w:color w:val="000000" w:themeColor="text1"/>
        </w:rPr>
        <w:t>”</w:t>
      </w:r>
      <w:r w:rsidR="001326BB" w:rsidRPr="004A47DC">
        <w:rPr>
          <w:color w:val="000000" w:themeColor="text1"/>
        </w:rPr>
        <w:t xml:space="preserve"> me rritjen, duke marrë parasysh rezultatet e një konsultimi të gjerë publik mbi politikat tatimore</w:t>
      </w:r>
      <w:r w:rsidR="001326BB" w:rsidRPr="004A47DC">
        <w:rPr>
          <w:rStyle w:val="Heading4Char"/>
          <w:rFonts w:ascii="Garamond" w:eastAsia="Calibri" w:hAnsi="Garamond"/>
          <w:b w:val="0"/>
          <w:bCs w:val="0"/>
          <w:color w:val="000000" w:themeColor="text1"/>
          <w:sz w:val="24"/>
          <w:szCs w:val="24"/>
        </w:rPr>
        <w:t>.</w:t>
      </w:r>
    </w:p>
    <w:p w14:paraId="6AC4C5F6" w14:textId="7C3EFE76" w:rsidR="001326BB" w:rsidRPr="004A47DC" w:rsidRDefault="00DD1E23" w:rsidP="00E56995">
      <w:pPr>
        <w:pStyle w:val="TEKSTIII"/>
        <w:rPr>
          <w:color w:val="000000" w:themeColor="text1"/>
        </w:rPr>
      </w:pPr>
      <w:r>
        <w:rPr>
          <w:rStyle w:val="Heading4Char"/>
          <w:rFonts w:ascii="Garamond" w:eastAsia="Calibri" w:hAnsi="Garamond"/>
          <w:b w:val="0"/>
          <w:bCs w:val="0"/>
          <w:color w:val="000000" w:themeColor="text1"/>
          <w:sz w:val="24"/>
          <w:szCs w:val="24"/>
        </w:rPr>
        <w:t xml:space="preserve">- </w:t>
      </w:r>
      <w:r w:rsidR="001326BB" w:rsidRPr="004A47DC">
        <w:rPr>
          <w:rStyle w:val="Heading4Char"/>
          <w:rFonts w:ascii="Garamond" w:eastAsia="Calibri" w:hAnsi="Garamond"/>
          <w:b w:val="0"/>
          <w:bCs w:val="0"/>
          <w:color w:val="000000" w:themeColor="text1"/>
          <w:sz w:val="24"/>
          <w:szCs w:val="24"/>
        </w:rPr>
        <w:t>UP 2.2</w:t>
      </w:r>
      <w:r w:rsidR="00F473EA" w:rsidRPr="004A47DC">
        <w:rPr>
          <w:rStyle w:val="Heading4Char"/>
          <w:rFonts w:ascii="Garamond" w:eastAsia="Calibri" w:hAnsi="Garamond"/>
          <w:b w:val="0"/>
          <w:bCs w:val="0"/>
          <w:color w:val="000000" w:themeColor="text1"/>
          <w:sz w:val="24"/>
          <w:szCs w:val="24"/>
        </w:rPr>
        <w:t>:</w:t>
      </w:r>
      <w:r w:rsidR="001326BB" w:rsidRPr="004A47DC">
        <w:rPr>
          <w:rStyle w:val="Heading4Char"/>
          <w:rFonts w:ascii="Garamond" w:eastAsia="Calibri" w:hAnsi="Garamond"/>
          <w:b w:val="0"/>
          <w:bCs w:val="0"/>
          <w:color w:val="000000" w:themeColor="text1"/>
          <w:sz w:val="24"/>
          <w:szCs w:val="24"/>
        </w:rPr>
        <w:t xml:space="preserve"> </w:t>
      </w:r>
      <w:r w:rsidR="001326BB" w:rsidRPr="004A47DC">
        <w:rPr>
          <w:color w:val="000000" w:themeColor="text1"/>
        </w:rPr>
        <w:t>Plotësoni procedurat për të krijuar plotësisht Listën Unike të Projekteve me Rëndësi Kombëtare dhe për të avancuar ndryshimet e nevojshme ligjore për të integruar plotësisht PPP-të në Listën Unike të Projekteve me Rëndësi Kombëtare.</w:t>
      </w:r>
    </w:p>
    <w:p w14:paraId="73717D16" w14:textId="69F94D9C" w:rsidR="001326BB" w:rsidRPr="004A47DC" w:rsidRDefault="001326BB" w:rsidP="001326BB">
      <w:pPr>
        <w:pStyle w:val="TEKSTIII"/>
        <w:rPr>
          <w:b/>
          <w:bCs/>
          <w:color w:val="000000" w:themeColor="text1"/>
          <w:highlight w:val="yellow"/>
          <w:vertAlign w:val="superscript"/>
        </w:rPr>
      </w:pPr>
      <w:r w:rsidRPr="004A47DC">
        <w:rPr>
          <w:b/>
          <w:bCs/>
          <w:color w:val="000000" w:themeColor="text1"/>
        </w:rPr>
        <w:t>Programi i Statistikave Zyrtare 2022</w:t>
      </w:r>
      <w:r w:rsidR="00F473EA" w:rsidRPr="004A47DC">
        <w:rPr>
          <w:rStyle w:val="rynqvb"/>
          <w:color w:val="000000" w:themeColor="text1"/>
        </w:rPr>
        <w:t>–</w:t>
      </w:r>
      <w:r w:rsidRPr="004A47DC">
        <w:rPr>
          <w:b/>
          <w:bCs/>
          <w:color w:val="000000" w:themeColor="text1"/>
        </w:rPr>
        <w:t>2026</w:t>
      </w:r>
      <w:r w:rsidRPr="004A47DC">
        <w:rPr>
          <w:color w:val="000000" w:themeColor="text1"/>
          <w:vertAlign w:val="superscript"/>
        </w:rPr>
        <w:footnoteReference w:id="4"/>
      </w:r>
    </w:p>
    <w:p w14:paraId="63D8A1C9" w14:textId="2CA96254" w:rsidR="001326BB" w:rsidRPr="004A47DC" w:rsidRDefault="00E33A13" w:rsidP="001326BB">
      <w:pPr>
        <w:pStyle w:val="TEKSTIII"/>
        <w:rPr>
          <w:color w:val="000000" w:themeColor="text1"/>
          <w:highlight w:val="yellow"/>
        </w:rPr>
      </w:pPr>
      <w:r w:rsidRPr="004A47DC">
        <w:rPr>
          <w:color w:val="000000" w:themeColor="text1"/>
        </w:rPr>
        <w:t>“</w:t>
      </w:r>
      <w:r w:rsidR="001326BB" w:rsidRPr="004A47DC">
        <w:rPr>
          <w:color w:val="000000" w:themeColor="text1"/>
        </w:rPr>
        <w:t>Programi i Statistikave Zyrtare 2022</w:t>
      </w:r>
      <w:r w:rsidR="00F473EA" w:rsidRPr="004A47DC">
        <w:rPr>
          <w:rStyle w:val="rynqvb"/>
          <w:color w:val="000000" w:themeColor="text1"/>
        </w:rPr>
        <w:t>–</w:t>
      </w:r>
      <w:r w:rsidR="001326BB" w:rsidRPr="004A47DC">
        <w:rPr>
          <w:color w:val="000000" w:themeColor="text1"/>
        </w:rPr>
        <w:t>2026</w:t>
      </w:r>
      <w:r w:rsidRPr="004A47DC">
        <w:rPr>
          <w:color w:val="000000" w:themeColor="text1"/>
        </w:rPr>
        <w:t>”</w:t>
      </w:r>
      <w:r w:rsidR="001326BB" w:rsidRPr="004A47DC">
        <w:rPr>
          <w:color w:val="000000" w:themeColor="text1"/>
        </w:rPr>
        <w:t xml:space="preserve"> i Shqipërisë, i miratuar nga Kuvendi i Republikës së Shqipërisë me </w:t>
      </w:r>
      <w:r w:rsidR="00F473EA" w:rsidRPr="004A47DC">
        <w:rPr>
          <w:color w:val="000000" w:themeColor="text1"/>
        </w:rPr>
        <w:t>l</w:t>
      </w:r>
      <w:r w:rsidR="001326BB" w:rsidRPr="004A47DC">
        <w:rPr>
          <w:color w:val="000000" w:themeColor="text1"/>
        </w:rPr>
        <w:t xml:space="preserve">igjin nr. 30/2022, përshkruan strategjinë për zhvillimin e statistikave zyrtare për një periudhë pesëvjeçare. Ai fokusohet në përmirësimin e Sistemit Kombëtar Statistikor (SKS), integrimin e aktiviteteve statistikore në Sistemin Statistikor Evropian dhe sigurimin e cilësisë dhe mbledhjes gjithëpërfshirëse të të dhënave. Programi synon përputhjen me standardet statistikore të BE-së, adresimin e nevojave specifike të përdoruesve dhe të përmirësojë efikasitetin, transparencën dhe cilësinë e proceseve dhe shërbimeve statistikore. Ai gjithashtu thekson modernizimin e metodave të mbledhjes së të dhënave dhe integrimin e metodologjive të reja statistikore. Në lidhje me MFP-në, PSZ-ja planifikon përmirësimin e statistikave makroekonomike përfshirë </w:t>
      </w:r>
      <w:r w:rsidR="00F473EA" w:rsidRPr="004A47DC">
        <w:rPr>
          <w:color w:val="000000" w:themeColor="text1"/>
        </w:rPr>
        <w:t xml:space="preserve">statistikat financiare të qeverisë dhe tabelat e procedurës së deficitit të tejkaluar </w:t>
      </w:r>
      <w:r w:rsidR="001326BB" w:rsidRPr="004A47DC">
        <w:rPr>
          <w:color w:val="000000" w:themeColor="text1"/>
        </w:rPr>
        <w:t>(PDT); harmonizimin e mëtejshëm të tyre me sistemin evropian të llogarive SELL 2010</w:t>
      </w:r>
      <w:r w:rsidR="00887310" w:rsidRPr="004A47DC">
        <w:rPr>
          <w:color w:val="000000" w:themeColor="text1"/>
        </w:rPr>
        <w:t>,</w:t>
      </w:r>
      <w:r w:rsidR="001326BB" w:rsidRPr="004A47DC">
        <w:rPr>
          <w:color w:val="000000" w:themeColor="text1"/>
        </w:rPr>
        <w:t xml:space="preserve"> nëpërmjet zgjerimit të bazë së të dhënave për njësitë ekstra</w:t>
      </w:r>
      <w:r w:rsidR="00510359">
        <w:rPr>
          <w:color w:val="000000" w:themeColor="text1"/>
        </w:rPr>
        <w:t>-</w:t>
      </w:r>
      <w:r w:rsidR="001326BB" w:rsidRPr="004A47DC">
        <w:rPr>
          <w:color w:val="000000" w:themeColor="text1"/>
        </w:rPr>
        <w:t>buxhetore dhe integrimin e tyre në sistemin e të dhënave të qeverisë së përgjithshme; integrimin e të gjitha njësive të qeverisjes së përgjithshme në sistemin SIFQ dhe hartimin e bilanceve të llogarive të qeverisë</w:t>
      </w:r>
      <w:r w:rsidR="00887310" w:rsidRPr="004A47DC">
        <w:rPr>
          <w:color w:val="000000" w:themeColor="text1"/>
        </w:rPr>
        <w:t>,</w:t>
      </w:r>
      <w:r w:rsidR="001326BB" w:rsidRPr="004A47DC">
        <w:rPr>
          <w:color w:val="000000" w:themeColor="text1"/>
        </w:rPr>
        <w:t xml:space="preserve"> në përputhje me standardet ndërkombëtare të llogarive të sektorit publik.</w:t>
      </w:r>
    </w:p>
    <w:p w14:paraId="51D19973" w14:textId="793ED1E7" w:rsidR="001326BB" w:rsidRPr="004A47DC" w:rsidRDefault="001326BB" w:rsidP="001326BB">
      <w:pPr>
        <w:pStyle w:val="TEKSTIII"/>
        <w:rPr>
          <w:color w:val="000000" w:themeColor="text1"/>
        </w:rPr>
      </w:pPr>
      <w:r w:rsidRPr="004A47DC">
        <w:rPr>
          <w:b/>
          <w:bCs/>
          <w:color w:val="000000" w:themeColor="text1"/>
        </w:rPr>
        <w:t>A</w:t>
      </w:r>
      <w:r w:rsidR="00F473EA" w:rsidRPr="004A47DC">
        <w:rPr>
          <w:b/>
          <w:bCs/>
          <w:color w:val="000000" w:themeColor="text1"/>
        </w:rPr>
        <w:t>gj</w:t>
      </w:r>
      <w:r w:rsidRPr="004A47DC">
        <w:rPr>
          <w:b/>
          <w:bCs/>
          <w:color w:val="000000" w:themeColor="text1"/>
        </w:rPr>
        <w:t>enda e Kombeve të Bashkuara për Zhvillim të Qëndrueshëm 2030</w:t>
      </w:r>
    </w:p>
    <w:p w14:paraId="70F8B10F" w14:textId="2EC4BF5C" w:rsidR="001326BB" w:rsidRPr="004A47DC" w:rsidRDefault="001326BB" w:rsidP="001326BB">
      <w:pPr>
        <w:pStyle w:val="TEKSTIII"/>
        <w:rPr>
          <w:color w:val="000000" w:themeColor="text1"/>
          <w:highlight w:val="yellow"/>
        </w:rPr>
      </w:pPr>
      <w:r w:rsidRPr="004A47DC">
        <w:rPr>
          <w:color w:val="000000" w:themeColor="text1"/>
        </w:rPr>
        <w:t xml:space="preserve">Qeveria Shqiptare ka miratuar </w:t>
      </w:r>
      <w:r w:rsidR="00887310" w:rsidRPr="004A47DC">
        <w:rPr>
          <w:color w:val="000000" w:themeColor="text1"/>
        </w:rPr>
        <w:t xml:space="preserve">objektivat e zhvillimit të qëndrueshëm </w:t>
      </w:r>
      <w:r w:rsidRPr="004A47DC">
        <w:rPr>
          <w:color w:val="000000" w:themeColor="text1"/>
        </w:rPr>
        <w:t xml:space="preserve">siç është rënë dakord në </w:t>
      </w:r>
      <w:r w:rsidR="00887310" w:rsidRPr="004A47DC">
        <w:rPr>
          <w:color w:val="000000" w:themeColor="text1"/>
        </w:rPr>
        <w:t xml:space="preserve">Agjendën </w:t>
      </w:r>
      <w:r w:rsidRPr="004A47DC">
        <w:rPr>
          <w:color w:val="000000" w:themeColor="text1"/>
        </w:rPr>
        <w:t xml:space="preserve">e Kombeve të Bashkuara 2030 për Zhvillimin e Qëndrueshëm. Menaxhimi efektiv i financave publike ose aftësia e qeverive për të mbledhur në mënyrë efikase të ardhurat dhe për </w:t>
      </w:r>
      <w:r w:rsidR="001415B2" w:rsidRPr="004A47DC">
        <w:rPr>
          <w:color w:val="000000" w:themeColor="text1"/>
        </w:rPr>
        <w:t>t</w:t>
      </w:r>
      <w:r w:rsidR="00CE6AE5" w:rsidRPr="004A47DC">
        <w:rPr>
          <w:color w:val="000000" w:themeColor="text1"/>
        </w:rPr>
        <w:t>’</w:t>
      </w:r>
      <w:r w:rsidR="001415B2" w:rsidRPr="004A47DC">
        <w:rPr>
          <w:color w:val="000000" w:themeColor="text1"/>
        </w:rPr>
        <w:t xml:space="preserve">i </w:t>
      </w:r>
      <w:r w:rsidRPr="004A47DC">
        <w:rPr>
          <w:color w:val="000000" w:themeColor="text1"/>
        </w:rPr>
        <w:t>shpenzuar ato në një mënyrë të përgjegjshme dhe transparente, është thelbësore për rritjen ekonomike dhe rritjen e burimeve të disponueshme për të ndjekur objektivat kombëtar</w:t>
      </w:r>
      <w:r w:rsidR="00056667" w:rsidRPr="004A47DC">
        <w:rPr>
          <w:color w:val="000000" w:themeColor="text1"/>
        </w:rPr>
        <w:t>ë</w:t>
      </w:r>
      <w:r w:rsidRPr="004A47DC">
        <w:rPr>
          <w:color w:val="000000" w:themeColor="text1"/>
        </w:rPr>
        <w:t>, të cilat nga ana e tyre janë të lidhura me OZhQ-të dhe kështu a</w:t>
      </w:r>
      <w:r w:rsidR="00F473EA" w:rsidRPr="004A47DC">
        <w:rPr>
          <w:color w:val="000000" w:themeColor="text1"/>
        </w:rPr>
        <w:t>gj</w:t>
      </w:r>
      <w:r w:rsidRPr="004A47DC">
        <w:rPr>
          <w:color w:val="000000" w:themeColor="text1"/>
        </w:rPr>
        <w:t xml:space="preserve">enda e reformës së MFP-së është në mbështetje të të gjitha OZhQ-ve të miratuara. </w:t>
      </w:r>
      <w:r w:rsidRPr="004A47DC">
        <w:rPr>
          <w:rStyle w:val="rynqvb"/>
          <w:color w:val="000000" w:themeColor="text1"/>
        </w:rPr>
        <w:t>Objektivat e Zhvillimit të Qëndrueshëm 2030</w:t>
      </w:r>
      <w:r w:rsidR="00887310" w:rsidRPr="004A47DC">
        <w:rPr>
          <w:rStyle w:val="rynqvb"/>
          <w:color w:val="000000" w:themeColor="text1"/>
        </w:rPr>
        <w:t>,</w:t>
      </w:r>
      <w:r w:rsidRPr="004A47DC">
        <w:rPr>
          <w:rStyle w:val="rynqvb"/>
          <w:color w:val="000000" w:themeColor="text1"/>
        </w:rPr>
        <w:t xml:space="preserve"> të pranuara plotësisht nga Komisioni Evropian</w:t>
      </w:r>
      <w:r w:rsidR="00887310" w:rsidRPr="004A47DC">
        <w:rPr>
          <w:rStyle w:val="rynqvb"/>
          <w:color w:val="000000" w:themeColor="text1"/>
        </w:rPr>
        <w:t>,</w:t>
      </w:r>
      <w:r w:rsidRPr="004A47DC">
        <w:rPr>
          <w:rStyle w:val="rynqvb"/>
          <w:color w:val="000000" w:themeColor="text1"/>
        </w:rPr>
        <w:t xml:space="preserve"> e konsiderojnë në mënyrë eksplicite barazinë gjinore si një nga çështjet më urgjente për politikat e ardhshme të orientuara nga qëndrueshmëria.</w:t>
      </w:r>
      <w:r w:rsidRPr="004A47DC">
        <w:rPr>
          <w:rStyle w:val="hwtze"/>
          <w:color w:val="000000" w:themeColor="text1"/>
        </w:rPr>
        <w:t xml:space="preserve"> </w:t>
      </w:r>
      <w:r w:rsidRPr="004A47DC">
        <w:rPr>
          <w:rStyle w:val="rynqvb"/>
          <w:color w:val="000000" w:themeColor="text1"/>
        </w:rPr>
        <w:t xml:space="preserve">Mundësia e reduktimit të hendeqeve gjinore është e njohur për nxitjen e rritjes ekonomike duke rritur punësimin dhe konkurrencën dhe duke reduktuar varfërinë. </w:t>
      </w:r>
      <w:r w:rsidRPr="004A47DC">
        <w:rPr>
          <w:color w:val="000000" w:themeColor="text1"/>
        </w:rPr>
        <w:t>Strategjia e MFP-së në veçanti kontribuon në OZhQ 17</w:t>
      </w:r>
      <w:r w:rsidR="00887310" w:rsidRPr="004A47DC">
        <w:rPr>
          <w:color w:val="000000" w:themeColor="text1"/>
        </w:rPr>
        <w:t>:</w:t>
      </w:r>
      <w:r w:rsidRPr="004A47DC">
        <w:rPr>
          <w:color w:val="000000" w:themeColor="text1"/>
        </w:rPr>
        <w:t xml:space="preserve"> Forcimi i mjeteve të zbatimit dhe rivitalizimi i Partneritetit Global për Zhvillim të Qëndrueshëm, Objektivi 17.1</w:t>
      </w:r>
      <w:r w:rsidR="00887310" w:rsidRPr="004A47DC">
        <w:rPr>
          <w:color w:val="000000" w:themeColor="text1"/>
        </w:rPr>
        <w:t>:</w:t>
      </w:r>
      <w:r w:rsidRPr="004A47DC">
        <w:rPr>
          <w:color w:val="000000" w:themeColor="text1"/>
        </w:rPr>
        <w:t xml:space="preserve"> Forcimi i mobilizimit të burimeve të brendshme (përmirësimi i kapaciteteve të brendshme për mbledhjen e taksave dhe të ardhurave të tjera).</w:t>
      </w:r>
    </w:p>
    <w:p w14:paraId="7430F21F" w14:textId="65227E34" w:rsidR="001326BB" w:rsidRPr="004A47DC" w:rsidRDefault="00FF230A" w:rsidP="001326BB">
      <w:pPr>
        <w:pStyle w:val="TEKSTIII"/>
        <w:rPr>
          <w:b/>
          <w:color w:val="000000" w:themeColor="text1"/>
        </w:rPr>
      </w:pPr>
      <w:bookmarkStart w:id="2" w:name="_Toc168918669"/>
      <w:r>
        <w:rPr>
          <w:b/>
          <w:color w:val="000000" w:themeColor="text1"/>
        </w:rPr>
        <w:t xml:space="preserve">1.4 </w:t>
      </w:r>
      <w:r w:rsidR="001326BB" w:rsidRPr="004A47DC">
        <w:rPr>
          <w:b/>
          <w:color w:val="000000" w:themeColor="text1"/>
        </w:rPr>
        <w:t>Strategjitë plotësuese të reformës së MFP-së</w:t>
      </w:r>
      <w:bookmarkEnd w:id="2"/>
    </w:p>
    <w:p w14:paraId="789C6B4E" w14:textId="4CEDEC09" w:rsidR="001326BB" w:rsidRPr="004A47DC" w:rsidRDefault="001326BB" w:rsidP="001326BB">
      <w:pPr>
        <w:pStyle w:val="TEKSTIII"/>
        <w:rPr>
          <w:color w:val="000000" w:themeColor="text1"/>
        </w:rPr>
      </w:pPr>
      <w:r w:rsidRPr="004A47DC">
        <w:rPr>
          <w:color w:val="000000" w:themeColor="text1"/>
        </w:rPr>
        <w:t xml:space="preserve">Në fushën e MFP-së ekzistojnë disa strategji plotësuese që mbulojnë një nënfushë specifike të MFP-së: </w:t>
      </w:r>
    </w:p>
    <w:p w14:paraId="23CD7ED5" w14:textId="0644226F"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Afatmesme e të Ardhurave (SAA) 2022</w:t>
      </w:r>
      <w:r w:rsidR="0062578A" w:rsidRPr="004A47DC">
        <w:rPr>
          <w:rStyle w:val="rynqvb"/>
          <w:color w:val="000000" w:themeColor="text1"/>
        </w:rPr>
        <w:t>–</w:t>
      </w:r>
      <w:r w:rsidR="001326BB" w:rsidRPr="004A47DC">
        <w:rPr>
          <w:color w:val="000000" w:themeColor="text1"/>
        </w:rPr>
        <w:t>2026</w:t>
      </w:r>
      <w:r w:rsidR="0062578A" w:rsidRPr="004A47DC">
        <w:rPr>
          <w:color w:val="000000" w:themeColor="text1"/>
        </w:rPr>
        <w:t>;</w:t>
      </w:r>
    </w:p>
    <w:p w14:paraId="1D876FA6" w14:textId="7EE99D70"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e Biznesit të Administratës Doganore Shqiptare 2023</w:t>
      </w:r>
      <w:r w:rsidR="0062578A" w:rsidRPr="004A47DC">
        <w:rPr>
          <w:rStyle w:val="rynqvb"/>
          <w:color w:val="000000" w:themeColor="text1"/>
        </w:rPr>
        <w:t>–</w:t>
      </w:r>
      <w:r w:rsidR="001326BB" w:rsidRPr="004A47DC">
        <w:rPr>
          <w:color w:val="000000" w:themeColor="text1"/>
        </w:rPr>
        <w:t>2027</w:t>
      </w:r>
      <w:r w:rsidR="0062578A" w:rsidRPr="004A47DC">
        <w:rPr>
          <w:color w:val="000000" w:themeColor="text1"/>
        </w:rPr>
        <w:t>;</w:t>
      </w:r>
    </w:p>
    <w:p w14:paraId="6FD2E49B" w14:textId="6349DCD4"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Afatmesme e Menaxhimit të Borxhit (SMB) 2022</w:t>
      </w:r>
      <w:r w:rsidR="0062578A" w:rsidRPr="004A47DC">
        <w:rPr>
          <w:rStyle w:val="rynqvb"/>
          <w:color w:val="000000" w:themeColor="text1"/>
        </w:rPr>
        <w:t>–</w:t>
      </w:r>
      <w:r w:rsidR="001326BB" w:rsidRPr="004A47DC">
        <w:rPr>
          <w:color w:val="000000" w:themeColor="text1"/>
        </w:rPr>
        <w:t>2026</w:t>
      </w:r>
      <w:r w:rsidR="0062578A" w:rsidRPr="004A47DC">
        <w:rPr>
          <w:color w:val="000000" w:themeColor="text1"/>
        </w:rPr>
        <w:t>;</w:t>
      </w:r>
    </w:p>
    <w:p w14:paraId="0898FC15" w14:textId="23A996B2"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Kombëtare për Prokurimin Publik 2020</w:t>
      </w:r>
      <w:r w:rsidR="0062578A" w:rsidRPr="004A47DC">
        <w:rPr>
          <w:rStyle w:val="rynqvb"/>
          <w:color w:val="000000" w:themeColor="text1"/>
        </w:rPr>
        <w:t>–</w:t>
      </w:r>
      <w:r w:rsidR="001326BB" w:rsidRPr="004A47DC">
        <w:rPr>
          <w:color w:val="000000" w:themeColor="text1"/>
        </w:rPr>
        <w:t>2023</w:t>
      </w:r>
      <w:r w:rsidR="0062578A" w:rsidRPr="004A47DC">
        <w:rPr>
          <w:color w:val="000000" w:themeColor="text1"/>
        </w:rPr>
        <w:t>;</w:t>
      </w:r>
    </w:p>
    <w:p w14:paraId="700B6926" w14:textId="3C06F0CC"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dhe Plani i Veprimit për Kontabilitetin e Sektorit Publik</w:t>
      </w:r>
      <w:r w:rsidR="0062578A" w:rsidRPr="004A47DC">
        <w:rPr>
          <w:color w:val="000000" w:themeColor="text1"/>
        </w:rPr>
        <w:t>;</w:t>
      </w:r>
    </w:p>
    <w:p w14:paraId="00CDC780" w14:textId="71509C8C" w:rsidR="001326BB" w:rsidRPr="004A47DC" w:rsidRDefault="00D16C56" w:rsidP="001326BB">
      <w:pPr>
        <w:pStyle w:val="TEKSTIII"/>
        <w:rPr>
          <w:color w:val="000000" w:themeColor="text1"/>
        </w:rPr>
      </w:pPr>
      <w:r w:rsidRPr="004A47DC">
        <w:rPr>
          <w:color w:val="000000" w:themeColor="text1"/>
        </w:rPr>
        <w:t xml:space="preserve">- </w:t>
      </w:r>
      <w:r w:rsidR="001326BB" w:rsidRPr="004A47DC">
        <w:rPr>
          <w:color w:val="000000" w:themeColor="text1"/>
        </w:rPr>
        <w:t>Strategjia e Zhvillimit të Kontrollit të Lartë të Shtetit 2023</w:t>
      </w:r>
      <w:r w:rsidR="0062578A" w:rsidRPr="004A47DC">
        <w:rPr>
          <w:rStyle w:val="rynqvb"/>
          <w:color w:val="000000" w:themeColor="text1"/>
        </w:rPr>
        <w:t>–</w:t>
      </w:r>
      <w:r w:rsidR="001326BB" w:rsidRPr="004A47DC">
        <w:rPr>
          <w:color w:val="000000" w:themeColor="text1"/>
        </w:rPr>
        <w:t>2027</w:t>
      </w:r>
      <w:r w:rsidR="0062578A" w:rsidRPr="004A47DC">
        <w:rPr>
          <w:color w:val="000000" w:themeColor="text1"/>
        </w:rPr>
        <w:t>.</w:t>
      </w:r>
    </w:p>
    <w:p w14:paraId="38BD3814" w14:textId="5CC1B4F1" w:rsidR="001326BB" w:rsidRPr="004A47DC" w:rsidRDefault="001326BB" w:rsidP="001326BB">
      <w:pPr>
        <w:pStyle w:val="TEKSTIII"/>
        <w:rPr>
          <w:color w:val="000000" w:themeColor="text1"/>
        </w:rPr>
      </w:pPr>
      <w:r w:rsidRPr="004A47DC">
        <w:rPr>
          <w:color w:val="000000" w:themeColor="text1"/>
        </w:rPr>
        <w:t>Këto strategji plotësuese përbëjnë një pjesë integrale të strategjisë së përgjithshme sektoriale të MFP-së 2023-2030 dhe kuadrit të saj monitorues. Në strategjinë sektoriale 2023</w:t>
      </w:r>
      <w:r w:rsidR="0062578A" w:rsidRPr="004A47DC">
        <w:rPr>
          <w:rStyle w:val="rynqvb"/>
          <w:color w:val="000000" w:themeColor="text1"/>
        </w:rPr>
        <w:t>–</w:t>
      </w:r>
      <w:r w:rsidRPr="004A47DC">
        <w:rPr>
          <w:color w:val="000000" w:themeColor="text1"/>
        </w:rPr>
        <w:t xml:space="preserve">2030 integrohen kurdoherë që janë relevante objektivat, masat, aktivitetet, vlerat e synuara dhe treguesit e performancës nga këto strategji. </w:t>
      </w:r>
    </w:p>
    <w:p w14:paraId="50CF2C08" w14:textId="4A8E62F3" w:rsidR="001326BB" w:rsidRPr="004A47DC" w:rsidRDefault="001326BB" w:rsidP="001326BB">
      <w:pPr>
        <w:pStyle w:val="TEKSTIII"/>
        <w:rPr>
          <w:b/>
          <w:bCs/>
          <w:color w:val="000000" w:themeColor="text1"/>
        </w:rPr>
      </w:pPr>
      <w:r w:rsidRPr="004A47DC">
        <w:rPr>
          <w:b/>
          <w:bCs/>
          <w:color w:val="000000" w:themeColor="text1"/>
        </w:rPr>
        <w:t>Strategjia Afatmesme e të Ardhurave 2022</w:t>
      </w:r>
      <w:r w:rsidR="0062578A" w:rsidRPr="004A47DC">
        <w:rPr>
          <w:rStyle w:val="rynqvb"/>
          <w:color w:val="000000" w:themeColor="text1"/>
        </w:rPr>
        <w:t>–</w:t>
      </w:r>
      <w:r w:rsidRPr="004A47DC">
        <w:rPr>
          <w:b/>
          <w:bCs/>
          <w:color w:val="000000" w:themeColor="text1"/>
        </w:rPr>
        <w:t>2026</w:t>
      </w:r>
    </w:p>
    <w:p w14:paraId="36D91363" w14:textId="5525ED3F" w:rsidR="001326BB" w:rsidRPr="004A47DC" w:rsidRDefault="001326BB" w:rsidP="001326BB">
      <w:pPr>
        <w:pStyle w:val="TEKSTIII"/>
        <w:rPr>
          <w:bCs/>
          <w:color w:val="000000" w:themeColor="text1"/>
        </w:rPr>
      </w:pPr>
      <w:r w:rsidRPr="004A47DC">
        <w:rPr>
          <w:color w:val="000000" w:themeColor="text1"/>
        </w:rPr>
        <w:t>Shqipëria ka hartuar Strategjinë Afatmesme të të Ardhurave 2022</w:t>
      </w:r>
      <w:r w:rsidR="0062578A" w:rsidRPr="004A47DC">
        <w:rPr>
          <w:rStyle w:val="rynqvb"/>
          <w:color w:val="000000" w:themeColor="text1"/>
        </w:rPr>
        <w:t>–</w:t>
      </w:r>
      <w:r w:rsidRPr="004A47DC">
        <w:rPr>
          <w:color w:val="000000" w:themeColor="text1"/>
        </w:rPr>
        <w:t>2026 dhe që nga janari 2022 është në proces zbatimi i masave të përshkruara. Strategjia është një udhërrëfyes i nivelit të lartë në periudhën afatmesme për reformën e sistemit tatimor, e nevojshme për të ndihmuar në financimin e objektivave strategjik</w:t>
      </w:r>
      <w:r w:rsidR="00056667" w:rsidRPr="004A47DC">
        <w:rPr>
          <w:color w:val="000000" w:themeColor="text1"/>
        </w:rPr>
        <w:t>ë</w:t>
      </w:r>
      <w:r w:rsidRPr="004A47DC">
        <w:rPr>
          <w:color w:val="000000" w:themeColor="text1"/>
        </w:rPr>
        <w:t xml:space="preserve"> </w:t>
      </w:r>
      <w:r w:rsidR="00266F23" w:rsidRPr="004A47DC">
        <w:rPr>
          <w:color w:val="000000" w:themeColor="text1"/>
        </w:rPr>
        <w:t>të</w:t>
      </w:r>
      <w:r w:rsidRPr="004A47DC">
        <w:rPr>
          <w:color w:val="000000" w:themeColor="text1"/>
        </w:rPr>
        <w:t xml:space="preserve"> qeverisë. Strategjia pasqyron reformat në fushën e politikave tatimore dhe administratës tatimore dhe doganore që pritet të ndërmerren gjatë këtij pesëvjeçari, me synim përmirësimin e politikave fiskale, rritjen e të ardhurave tatimore dhe efektivitetin e administratës tatimore dhe doganore në mbledhjen e tyre.</w:t>
      </w:r>
      <w:r w:rsidRPr="004A47DC">
        <w:rPr>
          <w:bCs/>
          <w:color w:val="000000" w:themeColor="text1"/>
        </w:rPr>
        <w:t xml:space="preserve"> Në të njëjtën mënyrë janë përgatitur komponentët 3.1 dhe 3.3 (pjesë e shtyllës 3</w:t>
      </w:r>
      <w:r w:rsidR="00887310" w:rsidRPr="004A47DC">
        <w:rPr>
          <w:bCs/>
          <w:color w:val="000000" w:themeColor="text1"/>
        </w:rPr>
        <w:t>,</w:t>
      </w:r>
      <w:r w:rsidRPr="004A47DC">
        <w:rPr>
          <w:bCs/>
          <w:color w:val="000000" w:themeColor="text1"/>
        </w:rPr>
        <w:t xml:space="preserve"> </w:t>
      </w:r>
      <w:r w:rsidR="00887310" w:rsidRPr="004A47DC">
        <w:rPr>
          <w:bCs/>
          <w:color w:val="000000" w:themeColor="text1"/>
        </w:rPr>
        <w:t>menaxhimi dhe mobilizimi i të ardhurave</w:t>
      </w:r>
      <w:r w:rsidRPr="004A47DC">
        <w:rPr>
          <w:bCs/>
          <w:color w:val="000000" w:themeColor="text1"/>
        </w:rPr>
        <w:t>) ku zhvillohen masat që synojnë rritjen e mobilizimit të të ardhurave.</w:t>
      </w:r>
    </w:p>
    <w:p w14:paraId="0E412A51" w14:textId="5A76F2D1" w:rsidR="001326BB" w:rsidRPr="004A47DC" w:rsidRDefault="001326BB" w:rsidP="001326BB">
      <w:pPr>
        <w:pStyle w:val="TEKSTIII"/>
        <w:rPr>
          <w:b/>
          <w:bCs/>
          <w:color w:val="000000" w:themeColor="text1"/>
        </w:rPr>
      </w:pPr>
      <w:r w:rsidRPr="004A47DC">
        <w:rPr>
          <w:b/>
          <w:bCs/>
          <w:color w:val="000000" w:themeColor="text1"/>
        </w:rPr>
        <w:t xml:space="preserve">Strategjia e Biznesit </w:t>
      </w:r>
      <w:r w:rsidR="00887310" w:rsidRPr="004A47DC">
        <w:rPr>
          <w:b/>
          <w:bCs/>
          <w:color w:val="000000" w:themeColor="text1"/>
        </w:rPr>
        <w:t>të</w:t>
      </w:r>
      <w:r w:rsidRPr="004A47DC">
        <w:rPr>
          <w:b/>
          <w:bCs/>
          <w:color w:val="000000" w:themeColor="text1"/>
        </w:rPr>
        <w:t xml:space="preserve"> Administratës Doganore 2023</w:t>
      </w:r>
      <w:r w:rsidR="0062578A" w:rsidRPr="004A47DC">
        <w:rPr>
          <w:rStyle w:val="rynqvb"/>
          <w:color w:val="000000" w:themeColor="text1"/>
        </w:rPr>
        <w:t>–</w:t>
      </w:r>
      <w:r w:rsidRPr="004A47DC">
        <w:rPr>
          <w:b/>
          <w:bCs/>
          <w:color w:val="000000" w:themeColor="text1"/>
        </w:rPr>
        <w:t>2027</w:t>
      </w:r>
    </w:p>
    <w:p w14:paraId="75011C1F" w14:textId="0896C0BA" w:rsidR="001326BB" w:rsidRPr="004A47DC" w:rsidRDefault="001326BB" w:rsidP="001326BB">
      <w:pPr>
        <w:pStyle w:val="TEKSTIII"/>
        <w:rPr>
          <w:b/>
          <w:bCs/>
          <w:color w:val="000000" w:themeColor="text1"/>
        </w:rPr>
      </w:pPr>
      <w:r w:rsidRPr="004A47DC">
        <w:rPr>
          <w:color w:val="000000" w:themeColor="text1"/>
        </w:rPr>
        <w:t xml:space="preserve">Strategjia e MFP-së është në përputhje edhe me draft </w:t>
      </w:r>
      <w:r w:rsidR="00560436" w:rsidRPr="004A47DC">
        <w:rPr>
          <w:color w:val="000000" w:themeColor="text1"/>
        </w:rPr>
        <w:t>s</w:t>
      </w:r>
      <w:r w:rsidRPr="004A47DC">
        <w:rPr>
          <w:color w:val="000000" w:themeColor="text1"/>
        </w:rPr>
        <w:t>trategjinë e Biznesit të Administratës Doganore Shqiptare 2023</w:t>
      </w:r>
      <w:r w:rsidR="0062578A" w:rsidRPr="004A47DC">
        <w:rPr>
          <w:rStyle w:val="rynqvb"/>
          <w:color w:val="000000" w:themeColor="text1"/>
        </w:rPr>
        <w:t>–</w:t>
      </w:r>
      <w:r w:rsidRPr="004A47DC">
        <w:rPr>
          <w:color w:val="000000" w:themeColor="text1"/>
        </w:rPr>
        <w:t xml:space="preserve">2027. Strategjia është hartuar për të udhëhequr aktivitetet e Administratës Doganore Shqiptare në periudhën nga viti 2023 deri në vitin 2027 në arritjen e misionit dhe vizionit të saj. Strategjia e Biznesit të Administratës Doganore fokusohet në disa fusha kyçe, duke përfshirë modernizimin legjislativ, lehtësimin e tregtisë, kontributin për sigurinë dhe sigurinë e shoqërisë, ruajtjen më të mirë të shëndetit të qytetarëve dhe mbrojtjen e mjedisit, ngritjen e kapaciteteve dhe modernizimin e administratës dhe zhvillimit të TI-së. </w:t>
      </w:r>
      <w:r w:rsidRPr="004A47DC">
        <w:rPr>
          <w:rStyle w:val="rynqvb"/>
          <w:color w:val="000000" w:themeColor="text1"/>
        </w:rPr>
        <w:t>Ajo synon të krijojë një administratë doganore moderne dhe efikase</w:t>
      </w:r>
      <w:r w:rsidR="00560436" w:rsidRPr="004A47DC">
        <w:rPr>
          <w:rStyle w:val="rynqvb"/>
          <w:color w:val="000000" w:themeColor="text1"/>
        </w:rPr>
        <w:t>,</w:t>
      </w:r>
      <w:r w:rsidRPr="004A47DC">
        <w:rPr>
          <w:rStyle w:val="rynqvb"/>
          <w:color w:val="000000" w:themeColor="text1"/>
        </w:rPr>
        <w:t xml:space="preserve"> plotësisht në përputhje me standardet dhe praktikat më të mira të BE-së, e cila është e aftë të përmbushë nevojat e komunitetit të biznesit duke zbatuar në mënyrë efektive ligjet dhe rregulloret doganore.</w:t>
      </w:r>
      <w:r w:rsidRPr="004A47DC">
        <w:rPr>
          <w:color w:val="000000" w:themeColor="text1"/>
        </w:rPr>
        <w:t xml:space="preserve"> </w:t>
      </w:r>
    </w:p>
    <w:p w14:paraId="20406E9F" w14:textId="7BE14D29" w:rsidR="001326BB" w:rsidRPr="004A47DC" w:rsidRDefault="001326BB" w:rsidP="001326BB">
      <w:pPr>
        <w:pStyle w:val="TEKSTIII"/>
        <w:rPr>
          <w:color w:val="000000" w:themeColor="text1"/>
        </w:rPr>
      </w:pPr>
      <w:r w:rsidRPr="004A47DC">
        <w:rPr>
          <w:b/>
          <w:bCs/>
          <w:color w:val="000000" w:themeColor="text1"/>
        </w:rPr>
        <w:t>Strategjia Kombëtare për Prokurimin Publik 2020</w:t>
      </w:r>
      <w:r w:rsidR="0062578A" w:rsidRPr="004A47DC">
        <w:rPr>
          <w:rStyle w:val="rynqvb"/>
          <w:color w:val="000000" w:themeColor="text1"/>
        </w:rPr>
        <w:t>–</w:t>
      </w:r>
      <w:r w:rsidRPr="004A47DC">
        <w:rPr>
          <w:b/>
          <w:bCs/>
          <w:color w:val="000000" w:themeColor="text1"/>
        </w:rPr>
        <w:t>2023</w:t>
      </w:r>
      <w:r w:rsidRPr="004A47DC">
        <w:rPr>
          <w:color w:val="000000" w:themeColor="text1"/>
        </w:rPr>
        <w:t xml:space="preserve"> </w:t>
      </w:r>
    </w:p>
    <w:p w14:paraId="62E088B3" w14:textId="642AADCB" w:rsidR="001326BB" w:rsidRPr="004A47DC" w:rsidRDefault="001326BB" w:rsidP="001326BB">
      <w:pPr>
        <w:pStyle w:val="TEKSTIII"/>
        <w:rPr>
          <w:color w:val="000000" w:themeColor="text1"/>
        </w:rPr>
      </w:pPr>
      <w:r w:rsidRPr="004A47DC">
        <w:rPr>
          <w:color w:val="000000" w:themeColor="text1"/>
        </w:rPr>
        <w:t>Aktualisht ekziston një Strategji Kombëtare për Prokurimin Publik 2020</w:t>
      </w:r>
      <w:r w:rsidR="0062578A" w:rsidRPr="004A47DC">
        <w:rPr>
          <w:rStyle w:val="rynqvb"/>
          <w:color w:val="000000" w:themeColor="text1"/>
        </w:rPr>
        <w:t>–</w:t>
      </w:r>
      <w:r w:rsidRPr="004A47DC">
        <w:rPr>
          <w:color w:val="000000" w:themeColor="text1"/>
        </w:rPr>
        <w:t>2023 dhe qeveria po planifikon të miratojë një strategji të re të Prokurimit Publik për të përafruar më tej me strategjinë e MFP-së. Strategjia e Prokurimit parashtron një grup gjithëpërfshirës aktivitetesh në fushën e kontratave publike, koncesioneve dhe partneriteteve publiko-private (PPP) si për kuadrin ligjor ashtu edhe për atë institucional që do të ndërmerret në periudhën 2020</w:t>
      </w:r>
      <w:r w:rsidR="0062578A" w:rsidRPr="004A47DC">
        <w:rPr>
          <w:rStyle w:val="rynqvb"/>
          <w:color w:val="000000" w:themeColor="text1"/>
        </w:rPr>
        <w:t>–</w:t>
      </w:r>
      <w:r w:rsidRPr="004A47DC">
        <w:rPr>
          <w:color w:val="000000" w:themeColor="text1"/>
        </w:rPr>
        <w:t>2023. Duke marrë parasysh fushat kryesore të ndërhyrjes, të cilat janë pjesë e prokurimit, strategjia është organizuar në pesë shtylla kryesore: 1</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Prokurimi </w:t>
      </w:r>
      <w:r w:rsidRPr="004A47DC">
        <w:rPr>
          <w:color w:val="000000" w:themeColor="text1"/>
        </w:rPr>
        <w:t>publik efi</w:t>
      </w:r>
      <w:r w:rsidR="0062578A" w:rsidRPr="004A47DC">
        <w:rPr>
          <w:color w:val="000000" w:themeColor="text1"/>
        </w:rPr>
        <w:t>ci</w:t>
      </w:r>
      <w:r w:rsidRPr="004A47DC">
        <w:rPr>
          <w:color w:val="000000" w:themeColor="text1"/>
        </w:rPr>
        <w:t>ent dhe i qëndrueshëm; 2</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Përmirësimi </w:t>
      </w:r>
      <w:r w:rsidRPr="004A47DC">
        <w:rPr>
          <w:color w:val="000000" w:themeColor="text1"/>
        </w:rPr>
        <w:t>i kuadrit ligjor për koncesionet dhe partneritetin publik-privat; 3</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Riorganizimi </w:t>
      </w:r>
      <w:r w:rsidRPr="004A47DC">
        <w:rPr>
          <w:color w:val="000000" w:themeColor="text1"/>
        </w:rPr>
        <w:t>i prokurimeve në fushën e mbrojtjes dhe sigurisë; 4</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Blerja </w:t>
      </w:r>
      <w:r w:rsidRPr="004A47DC">
        <w:rPr>
          <w:color w:val="000000" w:themeColor="text1"/>
        </w:rPr>
        <w:t>e përqendruar; 5</w:t>
      </w:r>
      <w:r w:rsidR="0062578A" w:rsidRPr="004A47DC">
        <w:rPr>
          <w:color w:val="000000" w:themeColor="text1"/>
        </w:rPr>
        <w:t xml:space="preserve">. </w:t>
      </w:r>
      <w:r w:rsidR="00560436" w:rsidRPr="004A47DC">
        <w:rPr>
          <w:color w:val="000000" w:themeColor="text1"/>
        </w:rPr>
        <w:t xml:space="preserve">Shqyrtimi </w:t>
      </w:r>
      <w:r w:rsidRPr="004A47DC">
        <w:rPr>
          <w:color w:val="000000" w:themeColor="text1"/>
        </w:rPr>
        <w:t>dhe kontrolli i ankesave. Shtylla</w:t>
      </w:r>
      <w:r w:rsidR="0062578A" w:rsidRPr="004A47DC">
        <w:rPr>
          <w:color w:val="000000" w:themeColor="text1"/>
        </w:rPr>
        <w:t>t</w:t>
      </w:r>
      <w:r w:rsidRPr="004A47DC">
        <w:rPr>
          <w:color w:val="000000" w:themeColor="text1"/>
        </w:rPr>
        <w:t xml:space="preserve"> 2 dhe 5 </w:t>
      </w:r>
      <w:r w:rsidR="0062578A" w:rsidRPr="004A47DC">
        <w:rPr>
          <w:color w:val="000000" w:themeColor="text1"/>
        </w:rPr>
        <w:t>të</w:t>
      </w:r>
      <w:r w:rsidRPr="004A47DC">
        <w:rPr>
          <w:color w:val="000000" w:themeColor="text1"/>
        </w:rPr>
        <w:t xml:space="preserve"> kësaj </w:t>
      </w:r>
      <w:r w:rsidR="0062578A" w:rsidRPr="004A47DC">
        <w:rPr>
          <w:color w:val="000000" w:themeColor="text1"/>
        </w:rPr>
        <w:t>s</w:t>
      </w:r>
      <w:r w:rsidRPr="004A47DC">
        <w:rPr>
          <w:color w:val="000000" w:themeColor="text1"/>
        </w:rPr>
        <w:t xml:space="preserve">trategjie janë të lidhura me </w:t>
      </w:r>
      <w:r w:rsidR="0062578A" w:rsidRPr="004A47DC">
        <w:rPr>
          <w:color w:val="000000" w:themeColor="text1"/>
        </w:rPr>
        <w:t>s</w:t>
      </w:r>
      <w:r w:rsidRPr="004A47DC">
        <w:rPr>
          <w:color w:val="000000" w:themeColor="text1"/>
        </w:rPr>
        <w:t>htyllën 4 (</w:t>
      </w:r>
      <w:r w:rsidR="00560436" w:rsidRPr="004A47DC">
        <w:rPr>
          <w:color w:val="000000" w:themeColor="text1"/>
        </w:rPr>
        <w:t xml:space="preserve">komponenti </w:t>
      </w:r>
      <w:r w:rsidRPr="004A47DC">
        <w:rPr>
          <w:color w:val="000000" w:themeColor="text1"/>
        </w:rPr>
        <w:t>4.3) te Strategjia e MFP-së.</w:t>
      </w:r>
    </w:p>
    <w:p w14:paraId="3E25340A" w14:textId="3C9FEEBA" w:rsidR="001326BB" w:rsidRPr="004A47DC" w:rsidRDefault="001326BB" w:rsidP="001326BB">
      <w:pPr>
        <w:pStyle w:val="TEKSTIII"/>
        <w:rPr>
          <w:b/>
          <w:bCs/>
          <w:color w:val="000000" w:themeColor="text1"/>
        </w:rPr>
      </w:pPr>
      <w:r w:rsidRPr="004A47DC">
        <w:rPr>
          <w:b/>
          <w:bCs/>
          <w:color w:val="000000" w:themeColor="text1"/>
        </w:rPr>
        <w:t>Strategjia Afatmesme e Menaxhimit të Borxhit 2022</w:t>
      </w:r>
      <w:r w:rsidR="00754BCF" w:rsidRPr="004A47DC">
        <w:rPr>
          <w:b/>
          <w:bCs/>
          <w:color w:val="000000" w:themeColor="text1"/>
        </w:rPr>
        <w:t>–</w:t>
      </w:r>
      <w:r w:rsidRPr="004A47DC">
        <w:rPr>
          <w:b/>
          <w:bCs/>
          <w:color w:val="000000" w:themeColor="text1"/>
        </w:rPr>
        <w:t>2026</w:t>
      </w:r>
    </w:p>
    <w:p w14:paraId="344A44D1" w14:textId="115699D0" w:rsidR="001326BB" w:rsidRPr="004A47DC" w:rsidRDefault="001326BB" w:rsidP="001326BB">
      <w:pPr>
        <w:pStyle w:val="TEKSTIII"/>
        <w:rPr>
          <w:color w:val="000000" w:themeColor="text1"/>
        </w:rPr>
      </w:pPr>
      <w:r w:rsidRPr="004A47DC">
        <w:rPr>
          <w:color w:val="000000" w:themeColor="text1"/>
        </w:rPr>
        <w:t>Gjatë vitit 2022, Ministria e Financave dhe Ekonomisë ka miratuar Strategjinë Afatmesme të Menaxhimit të Borxhit 2022</w:t>
      </w:r>
      <w:r w:rsidR="0062578A" w:rsidRPr="004A47DC">
        <w:rPr>
          <w:rStyle w:val="rynqvb"/>
          <w:color w:val="000000" w:themeColor="text1"/>
        </w:rPr>
        <w:t>–</w:t>
      </w:r>
      <w:r w:rsidRPr="004A47DC">
        <w:rPr>
          <w:color w:val="000000" w:themeColor="text1"/>
        </w:rPr>
        <w:t>2026</w:t>
      </w:r>
      <w:r w:rsidR="00560436" w:rsidRPr="004A47DC">
        <w:rPr>
          <w:color w:val="000000" w:themeColor="text1"/>
        </w:rPr>
        <w:t>,</w:t>
      </w:r>
      <w:r w:rsidRPr="004A47DC">
        <w:rPr>
          <w:color w:val="000000" w:themeColor="text1"/>
        </w:rPr>
        <w:t xml:space="preserve"> me qëllim që të përvijojë planet e financimit dhe aktivitetet që do të ndërmerren në periudhën afatmesme për të siguruar menaxhim efektiv të borxhit publik. Objektivat kryesor</w:t>
      </w:r>
      <w:r w:rsidR="00056667" w:rsidRPr="004A47DC">
        <w:rPr>
          <w:color w:val="000000" w:themeColor="text1"/>
        </w:rPr>
        <w:t>ë</w:t>
      </w:r>
      <w:r w:rsidRPr="004A47DC">
        <w:rPr>
          <w:color w:val="000000" w:themeColor="text1"/>
        </w:rPr>
        <w:t xml:space="preserve"> të SMB-së janë: i</w:t>
      </w:r>
      <w:r w:rsidR="0062578A" w:rsidRPr="004A47DC">
        <w:rPr>
          <w:color w:val="000000" w:themeColor="text1"/>
        </w:rPr>
        <w:t>.</w:t>
      </w:r>
      <w:r w:rsidRPr="004A47DC">
        <w:rPr>
          <w:color w:val="000000" w:themeColor="text1"/>
        </w:rPr>
        <w:t xml:space="preserve"> plotësimi i nevojave të qeverisë në kohën e duhur, duke përfshirë nevojën për të shërbyer borxhin aktual me koston më të ulët të mundshme duke ruajtur nivele të pranueshme të ekspozimit ndaj riskut; ii</w:t>
      </w:r>
      <w:r w:rsidR="0062578A" w:rsidRPr="004A47DC">
        <w:rPr>
          <w:color w:val="000000" w:themeColor="text1"/>
        </w:rPr>
        <w:t>.</w:t>
      </w:r>
      <w:r w:rsidRPr="004A47DC">
        <w:rPr>
          <w:color w:val="000000" w:themeColor="text1"/>
        </w:rPr>
        <w:t xml:space="preserve"> përmirësimi dhe mbështetja e efikasitetit të tregut primar, mbështetur nga zhvillimi i mëtejshëm i tregut sekondar; iii</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zhvillimi </w:t>
      </w:r>
      <w:r w:rsidRPr="004A47DC">
        <w:rPr>
          <w:color w:val="000000" w:themeColor="text1"/>
        </w:rPr>
        <w:t>i tregut të titujve shtetërorë</w:t>
      </w:r>
      <w:r w:rsidR="0062578A" w:rsidRPr="004A47DC">
        <w:rPr>
          <w:color w:val="000000" w:themeColor="text1"/>
        </w:rPr>
        <w:t>;</w:t>
      </w:r>
      <w:r w:rsidRPr="004A47DC">
        <w:rPr>
          <w:color w:val="000000" w:themeColor="text1"/>
        </w:rPr>
        <w:t xml:space="preserve"> iv</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hartimi </w:t>
      </w:r>
      <w:r w:rsidRPr="004A47DC">
        <w:rPr>
          <w:color w:val="000000" w:themeColor="text1"/>
        </w:rPr>
        <w:t>dhe publikimi i një plani vjetor të huamarrjes; v</w:t>
      </w:r>
      <w:r w:rsidR="0062578A" w:rsidRPr="004A47DC">
        <w:rPr>
          <w:color w:val="000000" w:themeColor="text1"/>
        </w:rPr>
        <w:t>.</w:t>
      </w:r>
      <w:r w:rsidRPr="004A47DC">
        <w:rPr>
          <w:color w:val="000000" w:themeColor="text1"/>
        </w:rPr>
        <w:t xml:space="preserve"> </w:t>
      </w:r>
      <w:r w:rsidR="00560436" w:rsidRPr="004A47DC">
        <w:rPr>
          <w:color w:val="000000" w:themeColor="text1"/>
        </w:rPr>
        <w:t xml:space="preserve">vlerësimi </w:t>
      </w:r>
      <w:r w:rsidRPr="004A47DC">
        <w:rPr>
          <w:color w:val="000000" w:themeColor="text1"/>
        </w:rPr>
        <w:t xml:space="preserve">i mundësisë së përdorimit të alternativave të reja të burimeve të financimit (të gjelbërta, sociale, etj.). Strategjia është në linjë me </w:t>
      </w:r>
      <w:r w:rsidR="00560436" w:rsidRPr="004A47DC">
        <w:rPr>
          <w:color w:val="000000" w:themeColor="text1"/>
        </w:rPr>
        <w:t xml:space="preserve">shtyllën </w:t>
      </w:r>
      <w:r w:rsidRPr="004A47DC">
        <w:rPr>
          <w:color w:val="000000" w:themeColor="text1"/>
        </w:rPr>
        <w:t>e katërt të MFP-së (</w:t>
      </w:r>
      <w:r w:rsidR="00560436" w:rsidRPr="004A47DC">
        <w:rPr>
          <w:color w:val="000000" w:themeColor="text1"/>
        </w:rPr>
        <w:t xml:space="preserve">komponenti </w:t>
      </w:r>
      <w:r w:rsidRPr="004A47DC">
        <w:rPr>
          <w:color w:val="000000" w:themeColor="text1"/>
        </w:rPr>
        <w:t>4.4).</w:t>
      </w:r>
    </w:p>
    <w:p w14:paraId="24BCAF2A" w14:textId="77777777" w:rsidR="001326BB" w:rsidRPr="004A47DC" w:rsidRDefault="001326BB" w:rsidP="001326BB">
      <w:pPr>
        <w:pStyle w:val="TEKSTIII"/>
        <w:rPr>
          <w:b/>
          <w:bCs/>
          <w:color w:val="000000" w:themeColor="text1"/>
        </w:rPr>
      </w:pPr>
      <w:r w:rsidRPr="002F5ED0">
        <w:rPr>
          <w:b/>
          <w:bCs/>
          <w:color w:val="000000" w:themeColor="text1"/>
        </w:rPr>
        <w:t>Strategjia d</w:t>
      </w:r>
      <w:r w:rsidRPr="004A47DC">
        <w:rPr>
          <w:b/>
          <w:bCs/>
          <w:color w:val="000000" w:themeColor="text1"/>
        </w:rPr>
        <w:t>he Plani i Veprimit për Kontabilitetin e Sektorit Publik</w:t>
      </w:r>
    </w:p>
    <w:p w14:paraId="7598AAD5" w14:textId="7450FCF1" w:rsidR="001326BB" w:rsidRPr="004A47DC" w:rsidRDefault="001326BB" w:rsidP="001326BB">
      <w:pPr>
        <w:pStyle w:val="TEKSTIII"/>
        <w:rPr>
          <w:color w:val="000000" w:themeColor="text1"/>
          <w:highlight w:val="yellow"/>
        </w:rPr>
      </w:pPr>
      <w:r w:rsidRPr="004A47DC">
        <w:rPr>
          <w:color w:val="000000" w:themeColor="text1"/>
        </w:rPr>
        <w:t>Strategjia Kombëtare dhe Plani i Veprimit për Kontabilitetin dhe Raportimin Financiar të Sektorit Publik është finalizuar dhe miratuar nga Komiteti Drejtues në tetor 2019, duke ofruar udhëzime strategjike për zbatimin e Standardeve Ndërkombëtare të Kontabilitetit Publik (SNKP) në periudhën afatmesme dhe afatgjatë. Reformat e Kontabilitetit të Sektorit Publik përfaqësojnë nisma ambicioze, veçanërisht në kontekstin e Shqipërisë. Zbatimi i suksesshëm kërkon shpërndarjen e burimeve të rëndësishme - financiare dhe njerëzore - si dhe planifikim dhe koordinim të përpiktë. Disa detyra kryesore të Strategjisë Kombëtare dhe Planit të Veprimit janë: i</w:t>
      </w:r>
      <w:r w:rsidR="00754BCF" w:rsidRPr="004A47DC">
        <w:rPr>
          <w:color w:val="000000" w:themeColor="text1"/>
        </w:rPr>
        <w:t>.</w:t>
      </w:r>
      <w:r w:rsidRPr="004A47DC">
        <w:rPr>
          <w:color w:val="000000" w:themeColor="text1"/>
        </w:rPr>
        <w:t xml:space="preserve"> rishikimi dhe krijimi i kuadrit ligjor për të lehtësuar miratimin dhe përgatitjen e pasqyrave financiare të sektorit publik në bazë të drejtash dhe detyrimesh të konstatuara; ii</w:t>
      </w:r>
      <w:r w:rsidR="00754BCF" w:rsidRPr="004A47DC">
        <w:rPr>
          <w:color w:val="000000" w:themeColor="text1"/>
        </w:rPr>
        <w:t>.</w:t>
      </w:r>
      <w:r w:rsidRPr="004A47DC">
        <w:rPr>
          <w:color w:val="000000" w:themeColor="text1"/>
        </w:rPr>
        <w:t xml:space="preserve"> programi i ndërtimit të kapaciteteve; iii</w:t>
      </w:r>
      <w:r w:rsidR="00754BCF" w:rsidRPr="004A47DC">
        <w:rPr>
          <w:color w:val="000000" w:themeColor="text1"/>
        </w:rPr>
        <w:t>.</w:t>
      </w:r>
      <w:r w:rsidRPr="004A47DC">
        <w:rPr>
          <w:color w:val="000000" w:themeColor="text1"/>
        </w:rPr>
        <w:t xml:space="preserve"> përgatitja për miratimin e SNKSP, iv</w:t>
      </w:r>
      <w:r w:rsidR="00754BCF" w:rsidRPr="004A47DC">
        <w:rPr>
          <w:color w:val="000000" w:themeColor="text1"/>
        </w:rPr>
        <w:t>.</w:t>
      </w:r>
      <w:r w:rsidRPr="004A47DC">
        <w:rPr>
          <w:color w:val="000000" w:themeColor="text1"/>
        </w:rPr>
        <w:t xml:space="preserve"> të krijojë korniza efektive të qeverisjes të nevojshme për të mbështetur zbatimin e suksesshëm të SNKSP</w:t>
      </w:r>
      <w:r w:rsidR="00C92B27" w:rsidRPr="004A47DC">
        <w:rPr>
          <w:color w:val="000000" w:themeColor="text1"/>
        </w:rPr>
        <w:t>-</w:t>
      </w:r>
      <w:r w:rsidR="005A2A99">
        <w:rPr>
          <w:color w:val="000000" w:themeColor="text1"/>
        </w:rPr>
        <w:t>ve</w:t>
      </w:r>
      <w:r w:rsidRPr="004A47DC">
        <w:rPr>
          <w:color w:val="000000" w:themeColor="text1"/>
        </w:rPr>
        <w:t xml:space="preserve"> dhe raportimin financiar të sektorit publik mbi baza ak</w:t>
      </w:r>
      <w:r w:rsidR="00C92B27" w:rsidRPr="004A47DC">
        <w:rPr>
          <w:color w:val="000000" w:themeColor="text1"/>
        </w:rPr>
        <w:t>t</w:t>
      </w:r>
      <w:r w:rsidRPr="004A47DC">
        <w:rPr>
          <w:color w:val="000000" w:themeColor="text1"/>
        </w:rPr>
        <w:t>uale; v</w:t>
      </w:r>
      <w:r w:rsidR="00754BCF" w:rsidRPr="004A47DC">
        <w:rPr>
          <w:color w:val="000000" w:themeColor="text1"/>
        </w:rPr>
        <w:t>.</w:t>
      </w:r>
      <w:r w:rsidRPr="004A47DC">
        <w:rPr>
          <w:color w:val="000000" w:themeColor="text1"/>
        </w:rPr>
        <w:t xml:space="preserve"> Hapja e SNKSP</w:t>
      </w:r>
      <w:r w:rsidR="00C92B27" w:rsidRPr="004A47DC">
        <w:rPr>
          <w:color w:val="000000" w:themeColor="text1"/>
        </w:rPr>
        <w:t>-</w:t>
      </w:r>
      <w:r w:rsidR="005A2A99">
        <w:rPr>
          <w:color w:val="000000" w:themeColor="text1"/>
        </w:rPr>
        <w:t>ve</w:t>
      </w:r>
      <w:r w:rsidRPr="004A47DC">
        <w:rPr>
          <w:color w:val="000000" w:themeColor="text1"/>
        </w:rPr>
        <w:t xml:space="preserve"> e kombinuar me shpërndarjen e sistemit të ri të SIFQ-së; vi</w:t>
      </w:r>
      <w:r w:rsidR="00754BCF" w:rsidRPr="004A47DC">
        <w:rPr>
          <w:color w:val="000000" w:themeColor="text1"/>
        </w:rPr>
        <w:t>.</w:t>
      </w:r>
      <w:r w:rsidRPr="004A47DC">
        <w:rPr>
          <w:color w:val="000000" w:themeColor="text1"/>
        </w:rPr>
        <w:t xml:space="preserve"> </w:t>
      </w:r>
      <w:r w:rsidR="00981E9F" w:rsidRPr="004A47DC">
        <w:rPr>
          <w:color w:val="000000" w:themeColor="text1"/>
        </w:rPr>
        <w:t>z</w:t>
      </w:r>
      <w:r w:rsidRPr="004A47DC">
        <w:rPr>
          <w:color w:val="000000" w:themeColor="text1"/>
        </w:rPr>
        <w:t xml:space="preserve">hvillimi i përgatitjes dhe prezantimit të pasqyrave financiare dhe disa detyrave të tjera. Disa nga aktivitetet e planifikuara deri në vitin 2026 janë të përfshira në Strategjinë e MFP-së, në kuadër të </w:t>
      </w:r>
      <w:r w:rsidR="00981E9F" w:rsidRPr="004A47DC">
        <w:rPr>
          <w:color w:val="000000" w:themeColor="text1"/>
        </w:rPr>
        <w:t xml:space="preserve">shtyllës </w:t>
      </w:r>
      <w:r w:rsidRPr="004A47DC">
        <w:rPr>
          <w:color w:val="000000" w:themeColor="text1"/>
        </w:rPr>
        <w:t xml:space="preserve">4, </w:t>
      </w:r>
      <w:r w:rsidR="00981E9F" w:rsidRPr="004A47DC">
        <w:rPr>
          <w:color w:val="000000" w:themeColor="text1"/>
        </w:rPr>
        <w:t xml:space="preserve">komponenti </w:t>
      </w:r>
      <w:r w:rsidRPr="004A47DC">
        <w:rPr>
          <w:color w:val="000000" w:themeColor="text1"/>
        </w:rPr>
        <w:t>4.2.</w:t>
      </w:r>
    </w:p>
    <w:p w14:paraId="039F56EF" w14:textId="09D7EDF6" w:rsidR="001326BB" w:rsidRPr="004A47DC" w:rsidRDefault="001326BB" w:rsidP="001326BB">
      <w:pPr>
        <w:pStyle w:val="TEKSTIII"/>
        <w:rPr>
          <w:color w:val="000000" w:themeColor="text1"/>
        </w:rPr>
      </w:pPr>
      <w:r w:rsidRPr="004A47DC">
        <w:rPr>
          <w:b/>
          <w:bCs/>
          <w:color w:val="000000" w:themeColor="text1"/>
        </w:rPr>
        <w:t>Strategjia e Zhvillimit të Kontrollit të Lartë të Shtetit 2023</w:t>
      </w:r>
      <w:r w:rsidR="00754BCF" w:rsidRPr="004A47DC">
        <w:rPr>
          <w:b/>
          <w:bCs/>
          <w:color w:val="000000" w:themeColor="text1"/>
        </w:rPr>
        <w:t>–</w:t>
      </w:r>
      <w:r w:rsidRPr="004A47DC">
        <w:rPr>
          <w:b/>
          <w:bCs/>
          <w:color w:val="000000" w:themeColor="text1"/>
        </w:rPr>
        <w:t>2027</w:t>
      </w:r>
      <w:r w:rsidRPr="004A47DC">
        <w:rPr>
          <w:color w:val="000000" w:themeColor="text1"/>
        </w:rPr>
        <w:t xml:space="preserve"> </w:t>
      </w:r>
    </w:p>
    <w:p w14:paraId="12D6C826" w14:textId="70BD8BA2" w:rsidR="001326BB" w:rsidRPr="004A47DC" w:rsidRDefault="001326BB" w:rsidP="001326BB">
      <w:pPr>
        <w:pStyle w:val="TEKSTIII"/>
        <w:rPr>
          <w:color w:val="000000" w:themeColor="text1"/>
        </w:rPr>
      </w:pPr>
      <w:r w:rsidRPr="004A47DC">
        <w:rPr>
          <w:color w:val="000000" w:themeColor="text1"/>
        </w:rPr>
        <w:t>Strategjia e zhvillimit të KLSH-së synon zhvillimin e mëtejshëm të KLSH-së</w:t>
      </w:r>
      <w:r w:rsidR="00981E9F" w:rsidRPr="004A47DC">
        <w:rPr>
          <w:color w:val="000000" w:themeColor="text1"/>
        </w:rPr>
        <w:t>,</w:t>
      </w:r>
      <w:r w:rsidRPr="004A47DC">
        <w:rPr>
          <w:color w:val="000000" w:themeColor="text1"/>
        </w:rPr>
        <w:t xml:space="preserve"> në përputhje me vlerat, parimet dhe standardet e vendosura nga ONISA. Strategjia formulon tre objektiva strategjikë: i</w:t>
      </w:r>
      <w:r w:rsidR="00754BCF" w:rsidRPr="004A47DC">
        <w:rPr>
          <w:color w:val="000000" w:themeColor="text1"/>
        </w:rPr>
        <w:t>.</w:t>
      </w:r>
      <w:r w:rsidRPr="004A47DC">
        <w:rPr>
          <w:color w:val="000000" w:themeColor="text1"/>
        </w:rPr>
        <w:t xml:space="preserve"> </w:t>
      </w:r>
      <w:r w:rsidR="00981E9F" w:rsidRPr="004A47DC">
        <w:rPr>
          <w:color w:val="000000" w:themeColor="text1"/>
        </w:rPr>
        <w:t xml:space="preserve">rritjen </w:t>
      </w:r>
      <w:r w:rsidRPr="004A47DC">
        <w:rPr>
          <w:color w:val="000000" w:themeColor="text1"/>
        </w:rPr>
        <w:t>dhe përmirësimin e rolit të KLSH-së si mbështetëse e Kuvendit për llogaridhënie efektive, shqyrtim të kujdesshëm dhe të thelluar të subjekteve që përdorin fondet publike; ii</w:t>
      </w:r>
      <w:r w:rsidR="00754BCF" w:rsidRPr="004A47DC">
        <w:rPr>
          <w:color w:val="000000" w:themeColor="text1"/>
        </w:rPr>
        <w:t>.</w:t>
      </w:r>
      <w:r w:rsidRPr="004A47DC">
        <w:rPr>
          <w:color w:val="000000" w:themeColor="text1"/>
        </w:rPr>
        <w:t xml:space="preserve"> </w:t>
      </w:r>
      <w:r w:rsidR="00981E9F" w:rsidRPr="004A47DC">
        <w:rPr>
          <w:color w:val="000000" w:themeColor="text1"/>
        </w:rPr>
        <w:t xml:space="preserve">rritja </w:t>
      </w:r>
      <w:r w:rsidRPr="004A47DC">
        <w:rPr>
          <w:color w:val="000000" w:themeColor="text1"/>
        </w:rPr>
        <w:t>e ndikimit të punës së auditimit në qeverisjen e mirë, nëpërmjet përmirësimit të nivelit të zbatimit të rekomandimeve</w:t>
      </w:r>
      <w:r w:rsidR="00754BCF" w:rsidRPr="004A47DC">
        <w:rPr>
          <w:color w:val="000000" w:themeColor="text1"/>
        </w:rPr>
        <w:t>;</w:t>
      </w:r>
      <w:r w:rsidRPr="004A47DC">
        <w:rPr>
          <w:color w:val="000000" w:themeColor="text1"/>
        </w:rPr>
        <w:t xml:space="preserve"> dhe iii</w:t>
      </w:r>
      <w:r w:rsidR="00754BCF" w:rsidRPr="004A47DC">
        <w:rPr>
          <w:color w:val="000000" w:themeColor="text1"/>
        </w:rPr>
        <w:t>.</w:t>
      </w:r>
      <w:r w:rsidRPr="004A47DC">
        <w:rPr>
          <w:color w:val="000000" w:themeColor="text1"/>
        </w:rPr>
        <w:t xml:space="preserve"> </w:t>
      </w:r>
      <w:r w:rsidR="00981E9F" w:rsidRPr="004A47DC">
        <w:rPr>
          <w:color w:val="000000" w:themeColor="text1"/>
        </w:rPr>
        <w:t>o</w:t>
      </w:r>
      <w:r w:rsidRPr="004A47DC">
        <w:rPr>
          <w:color w:val="000000" w:themeColor="text1"/>
        </w:rPr>
        <w:t xml:space="preserve">ptimizimit të kapaciteteve profesionale për të përvetësuar njohuri novatore në punën e auditimit. Strategjia e KLSH-së është e lidhur me shtyllën 6 të </w:t>
      </w:r>
      <w:r w:rsidR="00981E9F" w:rsidRPr="004A47DC">
        <w:rPr>
          <w:color w:val="000000" w:themeColor="text1"/>
        </w:rPr>
        <w:t>s</w:t>
      </w:r>
      <w:r w:rsidRPr="004A47DC">
        <w:rPr>
          <w:color w:val="000000" w:themeColor="text1"/>
        </w:rPr>
        <w:t>trategjisë së MFP-së.</w:t>
      </w:r>
    </w:p>
    <w:p w14:paraId="2D670E7E" w14:textId="6A2D3B4C" w:rsidR="00A575D4" w:rsidRPr="004A47DC" w:rsidRDefault="00A575D4" w:rsidP="00A575D4">
      <w:pPr>
        <w:pStyle w:val="TEKSTIII"/>
        <w:rPr>
          <w:b/>
          <w:color w:val="000000" w:themeColor="text1"/>
        </w:rPr>
      </w:pPr>
      <w:r w:rsidRPr="004A47DC">
        <w:rPr>
          <w:b/>
          <w:color w:val="000000" w:themeColor="text1"/>
        </w:rPr>
        <w:t>2</w:t>
      </w:r>
      <w:r w:rsidR="002C06AA">
        <w:rPr>
          <w:b/>
          <w:color w:val="000000" w:themeColor="text1"/>
        </w:rPr>
        <w:t>.</w:t>
      </w:r>
      <w:r w:rsidRPr="004A47DC">
        <w:rPr>
          <w:b/>
          <w:color w:val="000000" w:themeColor="text1"/>
        </w:rPr>
        <w:t xml:space="preserve"> Shtylla 1: Programimi Makroekonomik dhe Monitorimi i Riskut</w:t>
      </w:r>
    </w:p>
    <w:p w14:paraId="576E3410" w14:textId="4C4184AD" w:rsidR="00A575D4" w:rsidRPr="004A47DC" w:rsidRDefault="00A575D4" w:rsidP="00A575D4">
      <w:pPr>
        <w:pStyle w:val="TEKSTIII"/>
        <w:rPr>
          <w:b/>
          <w:color w:val="000000" w:themeColor="text1"/>
        </w:rPr>
      </w:pPr>
      <w:r w:rsidRPr="004A47DC">
        <w:rPr>
          <w:b/>
          <w:color w:val="000000" w:themeColor="text1"/>
        </w:rPr>
        <w:t>2.1 Hyrje</w:t>
      </w:r>
    </w:p>
    <w:p w14:paraId="0073352A" w14:textId="6790F48F" w:rsidR="00A575D4" w:rsidRPr="004A47DC" w:rsidRDefault="00A575D4" w:rsidP="00A575D4">
      <w:pPr>
        <w:pStyle w:val="TEKSTIII"/>
        <w:rPr>
          <w:color w:val="000000" w:themeColor="text1"/>
        </w:rPr>
      </w:pPr>
      <w:r w:rsidRPr="004A47DC">
        <w:rPr>
          <w:color w:val="000000" w:themeColor="text1"/>
        </w:rPr>
        <w:t xml:space="preserve">Objektivi </w:t>
      </w:r>
      <w:r w:rsidR="001415B2" w:rsidRPr="004A47DC">
        <w:rPr>
          <w:color w:val="000000" w:themeColor="text1"/>
        </w:rPr>
        <w:t>s</w:t>
      </w:r>
      <w:r w:rsidRPr="004A47DC">
        <w:rPr>
          <w:color w:val="000000" w:themeColor="text1"/>
        </w:rPr>
        <w:t xml:space="preserve">pecifik i shtyllës së parë është </w:t>
      </w:r>
      <w:r w:rsidR="00E33A13" w:rsidRPr="004A47DC">
        <w:rPr>
          <w:color w:val="000000" w:themeColor="text1"/>
        </w:rPr>
        <w:t>“</w:t>
      </w:r>
      <w:r w:rsidRPr="004A47DC">
        <w:rPr>
          <w:color w:val="000000" w:themeColor="text1"/>
        </w:rPr>
        <w:t>Programimi makroekonomik dhe monitorimi i riskut</w:t>
      </w:r>
      <w:r w:rsidR="00E33A13" w:rsidRPr="004A47DC">
        <w:rPr>
          <w:color w:val="000000" w:themeColor="text1"/>
        </w:rPr>
        <w:t>”</w:t>
      </w:r>
      <w:r w:rsidRPr="004A47DC">
        <w:rPr>
          <w:color w:val="000000" w:themeColor="text1"/>
        </w:rPr>
        <w:t xml:space="preserve"> dhe mbulon komponentët e programimit makroekonomik të matur dhe realist, </w:t>
      </w:r>
      <w:r w:rsidR="00193527" w:rsidRPr="004A47DC">
        <w:rPr>
          <w:color w:val="000000" w:themeColor="text1"/>
        </w:rPr>
        <w:t xml:space="preserve">Analizës </w:t>
      </w:r>
      <w:r w:rsidRPr="004A47DC">
        <w:rPr>
          <w:color w:val="000000" w:themeColor="text1"/>
        </w:rPr>
        <w:t xml:space="preserve">së </w:t>
      </w:r>
      <w:r w:rsidR="00193527" w:rsidRPr="004A47DC">
        <w:rPr>
          <w:color w:val="000000" w:themeColor="text1"/>
        </w:rPr>
        <w:t xml:space="preserve">Qëndrueshmërisë </w:t>
      </w:r>
      <w:r w:rsidRPr="004A47DC">
        <w:rPr>
          <w:color w:val="000000" w:themeColor="text1"/>
        </w:rPr>
        <w:t xml:space="preserve">së </w:t>
      </w:r>
      <w:r w:rsidR="00193527" w:rsidRPr="004A47DC">
        <w:rPr>
          <w:color w:val="000000" w:themeColor="text1"/>
        </w:rPr>
        <w:t>Borxhit</w:t>
      </w:r>
      <w:r w:rsidRPr="004A47DC">
        <w:rPr>
          <w:color w:val="000000" w:themeColor="text1"/>
        </w:rPr>
        <w:t>, menaxhimit të riskut fiskal dhe mbikëqyrjes fiskale.</w:t>
      </w:r>
    </w:p>
    <w:p w14:paraId="258447A7" w14:textId="77777777" w:rsidR="00981E9F" w:rsidRPr="004A47DC" w:rsidRDefault="00A575D4" w:rsidP="00754BCF">
      <w:pPr>
        <w:pStyle w:val="TEKSTIII"/>
        <w:rPr>
          <w:b/>
          <w:bCs/>
          <w:color w:val="000000" w:themeColor="text1"/>
        </w:rPr>
      </w:pPr>
      <w:r w:rsidRPr="004A47DC">
        <w:rPr>
          <w:b/>
          <w:bCs/>
          <w:color w:val="000000" w:themeColor="text1"/>
        </w:rPr>
        <w:t>Komponenti 1.1</w:t>
      </w:r>
      <w:r w:rsidR="00754BCF" w:rsidRPr="004A47DC">
        <w:rPr>
          <w:b/>
          <w:bCs/>
          <w:color w:val="000000" w:themeColor="text1"/>
        </w:rPr>
        <w:t>:</w:t>
      </w:r>
      <w:r w:rsidRPr="004A47DC">
        <w:rPr>
          <w:b/>
          <w:bCs/>
          <w:color w:val="000000" w:themeColor="text1"/>
        </w:rPr>
        <w:t xml:space="preserve"> Programim makroekonomik i matur dhe realist</w:t>
      </w:r>
      <w:r w:rsidR="00754BCF" w:rsidRPr="004A47DC">
        <w:rPr>
          <w:b/>
          <w:bCs/>
          <w:color w:val="000000" w:themeColor="text1"/>
        </w:rPr>
        <w:t xml:space="preserve"> </w:t>
      </w:r>
    </w:p>
    <w:p w14:paraId="726A5388" w14:textId="32A2AAEE" w:rsidR="00754BCF" w:rsidRPr="004A47DC" w:rsidRDefault="00A575D4" w:rsidP="00754BCF">
      <w:pPr>
        <w:pStyle w:val="TEKSTIII"/>
        <w:rPr>
          <w:color w:val="000000" w:themeColor="text1"/>
        </w:rPr>
      </w:pPr>
      <w:r w:rsidRPr="004A47DC">
        <w:rPr>
          <w:color w:val="000000" w:themeColor="text1"/>
        </w:rPr>
        <w:t>Synimi 2030: Synimi për vitin 2030 është të krijohet një sistem rregullash fiskale përgjithësisht të pranuara në kombinim me praktika solide për programimin dhe parashikimin makroekonomik dhe zhvillimin e një kuadri fiskal afatmesëm të besueshëm që do të formojë një bazë të shëndoshë për formulimin e politikës fiskale afatmesme dhe Programin Buxhetor Afatmesëm. Masat për vitet 2023</w:t>
      </w:r>
      <w:r w:rsidR="00754BCF" w:rsidRPr="004A47DC">
        <w:rPr>
          <w:color w:val="000000" w:themeColor="text1"/>
        </w:rPr>
        <w:t>–</w:t>
      </w:r>
      <w:r w:rsidRPr="004A47DC">
        <w:rPr>
          <w:color w:val="000000" w:themeColor="text1"/>
        </w:rPr>
        <w:t>2026:</w:t>
      </w:r>
    </w:p>
    <w:p w14:paraId="690299EC" w14:textId="5EBD8751" w:rsidR="00A575D4" w:rsidRPr="004A47DC" w:rsidRDefault="00754BCF" w:rsidP="00754BCF">
      <w:pPr>
        <w:pStyle w:val="TEKSTIII"/>
        <w:rPr>
          <w:color w:val="000000" w:themeColor="text1"/>
        </w:rPr>
      </w:pPr>
      <w:r w:rsidRPr="004A47DC">
        <w:rPr>
          <w:color w:val="000000" w:themeColor="text1"/>
        </w:rPr>
        <w:t xml:space="preserve">- </w:t>
      </w:r>
      <w:r w:rsidR="00A575D4" w:rsidRPr="004A47DC">
        <w:rPr>
          <w:color w:val="000000" w:themeColor="text1"/>
        </w:rPr>
        <w:t>Masa 1.1.1</w:t>
      </w:r>
      <w:r w:rsidR="001415B2" w:rsidRPr="004A47DC">
        <w:rPr>
          <w:color w:val="000000" w:themeColor="text1"/>
        </w:rPr>
        <w:t>:</w:t>
      </w:r>
      <w:r w:rsidR="00A575D4" w:rsidRPr="004A47DC">
        <w:rPr>
          <w:color w:val="000000" w:themeColor="text1"/>
        </w:rPr>
        <w:t xml:space="preserve"> Parashikim i matur i treguesve makroekonomik</w:t>
      </w:r>
      <w:r w:rsidR="00981E9F" w:rsidRPr="004A47DC">
        <w:rPr>
          <w:color w:val="000000" w:themeColor="text1"/>
        </w:rPr>
        <w:t>,</w:t>
      </w:r>
      <w:r w:rsidR="00A575D4" w:rsidRPr="004A47DC">
        <w:rPr>
          <w:color w:val="000000" w:themeColor="text1"/>
        </w:rPr>
        <w:t xml:space="preserve"> në përputhje me parashikuesit e pavarur dhe ndërkombëtarë;</w:t>
      </w:r>
    </w:p>
    <w:p w14:paraId="2CA1491B" w14:textId="27FD0A5D"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1.1.2</w:t>
      </w:r>
      <w:r w:rsidR="001415B2" w:rsidRPr="004A47DC">
        <w:rPr>
          <w:color w:val="000000" w:themeColor="text1"/>
        </w:rPr>
        <w:t>:</w:t>
      </w:r>
      <w:r w:rsidR="00A575D4" w:rsidRPr="004A47DC">
        <w:rPr>
          <w:color w:val="000000" w:themeColor="text1"/>
        </w:rPr>
        <w:t xml:space="preserve"> Parashikim i matur dhe realist i të ardhurave afatmesme</w:t>
      </w:r>
      <w:r w:rsidR="00981E9F" w:rsidRPr="004A47DC">
        <w:rPr>
          <w:color w:val="000000" w:themeColor="text1"/>
        </w:rPr>
        <w:t>,</w:t>
      </w:r>
      <w:r w:rsidR="00A575D4" w:rsidRPr="004A47DC">
        <w:rPr>
          <w:color w:val="000000" w:themeColor="text1"/>
        </w:rPr>
        <w:t xml:space="preserve"> në përputhje me parashikuesit e pavarur dhe ndërkombëtarë;</w:t>
      </w:r>
    </w:p>
    <w:p w14:paraId="7F4338A3" w14:textId="088D1CBF"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1.1.3</w:t>
      </w:r>
      <w:r w:rsidR="001415B2" w:rsidRPr="004A47DC">
        <w:rPr>
          <w:color w:val="000000" w:themeColor="text1"/>
        </w:rPr>
        <w:t>:</w:t>
      </w:r>
      <w:r w:rsidR="00A575D4" w:rsidRPr="004A47DC">
        <w:rPr>
          <w:color w:val="000000" w:themeColor="text1"/>
        </w:rPr>
        <w:t xml:space="preserve"> Ruajtja e financave publike të shëndosha përmes pajtueshmërisë së përhershme me rregullat fiskale. </w:t>
      </w:r>
    </w:p>
    <w:p w14:paraId="5A1F3F2C" w14:textId="5B62531E" w:rsidR="00A575D4" w:rsidRPr="004A47DC" w:rsidRDefault="00A575D4" w:rsidP="00A575D4">
      <w:pPr>
        <w:pStyle w:val="TEKSTIII"/>
        <w:rPr>
          <w:b/>
          <w:bCs/>
          <w:color w:val="000000" w:themeColor="text1"/>
        </w:rPr>
      </w:pPr>
      <w:r w:rsidRPr="004A47DC">
        <w:rPr>
          <w:b/>
          <w:bCs/>
          <w:color w:val="000000" w:themeColor="text1"/>
        </w:rPr>
        <w:t>Komponenti 1.2</w:t>
      </w:r>
      <w:r w:rsidR="00981E9F" w:rsidRPr="004A47DC">
        <w:rPr>
          <w:b/>
          <w:bCs/>
          <w:color w:val="000000" w:themeColor="text1"/>
        </w:rPr>
        <w:t>:</w:t>
      </w:r>
      <w:r w:rsidRPr="004A47DC">
        <w:rPr>
          <w:b/>
          <w:bCs/>
          <w:color w:val="000000" w:themeColor="text1"/>
        </w:rPr>
        <w:t xml:space="preserve"> Krijimi i një </w:t>
      </w:r>
      <w:r w:rsidR="002F5ED0" w:rsidRPr="004A47DC">
        <w:rPr>
          <w:b/>
          <w:bCs/>
          <w:color w:val="000000" w:themeColor="text1"/>
        </w:rPr>
        <w:t>analize gjithëpërfshirëse të qëndrueshmërisë së borxhit</w:t>
      </w:r>
    </w:p>
    <w:p w14:paraId="03BA976A" w14:textId="63ED512D" w:rsidR="00A575D4" w:rsidRPr="004A47DC" w:rsidRDefault="00A575D4" w:rsidP="00A575D4">
      <w:pPr>
        <w:pStyle w:val="TEKSTIII"/>
        <w:rPr>
          <w:color w:val="000000" w:themeColor="text1"/>
        </w:rPr>
      </w:pPr>
      <w:r w:rsidRPr="004A47DC">
        <w:rPr>
          <w:color w:val="000000" w:themeColor="text1"/>
        </w:rPr>
        <w:t xml:space="preserve">Synimi 2030: Krijimi i një kuadri gjithëpërfshirës të </w:t>
      </w:r>
      <w:r w:rsidR="002F5ED0" w:rsidRPr="004A47DC">
        <w:rPr>
          <w:color w:val="000000" w:themeColor="text1"/>
        </w:rPr>
        <w:t>analizës së qëndrueshmërisë së borxhit</w:t>
      </w:r>
      <w:r w:rsidRPr="004A47DC">
        <w:rPr>
          <w:color w:val="000000" w:themeColor="text1"/>
        </w:rPr>
        <w:t>.</w:t>
      </w:r>
      <w:r w:rsidR="001415B2" w:rsidRPr="004A47DC">
        <w:rPr>
          <w:color w:val="000000" w:themeColor="text1"/>
        </w:rPr>
        <w:t xml:space="preserve"> </w:t>
      </w:r>
      <w:r w:rsidRPr="004A47DC">
        <w:rPr>
          <w:color w:val="000000" w:themeColor="text1"/>
        </w:rPr>
        <w:t>Masat për vitet 2023</w:t>
      </w:r>
      <w:r w:rsidR="00754BCF" w:rsidRPr="004A47DC">
        <w:rPr>
          <w:color w:val="000000" w:themeColor="text1"/>
        </w:rPr>
        <w:t>–</w:t>
      </w:r>
      <w:r w:rsidRPr="004A47DC">
        <w:rPr>
          <w:color w:val="000000" w:themeColor="text1"/>
        </w:rPr>
        <w:t>2026:</w:t>
      </w:r>
    </w:p>
    <w:p w14:paraId="0D1B294A" w14:textId="6EAA873C"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1.2.1</w:t>
      </w:r>
      <w:r w:rsidR="001415B2" w:rsidRPr="004A47DC">
        <w:rPr>
          <w:color w:val="000000" w:themeColor="text1"/>
        </w:rPr>
        <w:t>:</w:t>
      </w:r>
      <w:r w:rsidR="00A575D4" w:rsidRPr="004A47DC">
        <w:rPr>
          <w:color w:val="000000" w:themeColor="text1"/>
        </w:rPr>
        <w:t xml:space="preserve"> Ofrimi i asistencës teknike për procesin e </w:t>
      </w:r>
      <w:r w:rsidR="002F5ED0" w:rsidRPr="004A47DC">
        <w:rPr>
          <w:color w:val="000000" w:themeColor="text1"/>
        </w:rPr>
        <w:t>analizës së qëndrueshmërisë së borxhit</w:t>
      </w:r>
      <w:r w:rsidR="00A575D4" w:rsidRPr="004A47DC">
        <w:rPr>
          <w:color w:val="000000" w:themeColor="text1"/>
        </w:rPr>
        <w:t>;</w:t>
      </w:r>
    </w:p>
    <w:p w14:paraId="572B2C69" w14:textId="75B67770"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1.2.2</w:t>
      </w:r>
      <w:r w:rsidR="001415B2" w:rsidRPr="004A47DC">
        <w:rPr>
          <w:color w:val="000000" w:themeColor="text1"/>
        </w:rPr>
        <w:t>:</w:t>
      </w:r>
      <w:r w:rsidR="00A575D4" w:rsidRPr="004A47DC">
        <w:rPr>
          <w:color w:val="000000" w:themeColor="text1"/>
        </w:rPr>
        <w:t xml:space="preserve"> Prezantimi i kuadrit të </w:t>
      </w:r>
      <w:r w:rsidR="002F5ED0" w:rsidRPr="004A47DC">
        <w:rPr>
          <w:color w:val="000000" w:themeColor="text1"/>
        </w:rPr>
        <w:t xml:space="preserve">analizës së qëndrueshmërisë së borxhit </w:t>
      </w:r>
      <w:r w:rsidR="00A575D4" w:rsidRPr="004A47DC">
        <w:rPr>
          <w:color w:val="000000" w:themeColor="text1"/>
        </w:rPr>
        <w:t xml:space="preserve">si një mjet programimi makroekonomik. </w:t>
      </w:r>
    </w:p>
    <w:p w14:paraId="2858DC79" w14:textId="1909D335" w:rsidR="00A575D4" w:rsidRPr="004A47DC" w:rsidRDefault="00A575D4" w:rsidP="00A575D4">
      <w:pPr>
        <w:pStyle w:val="TEKSTIII"/>
        <w:rPr>
          <w:b/>
          <w:bCs/>
          <w:color w:val="000000" w:themeColor="text1"/>
        </w:rPr>
      </w:pPr>
      <w:r w:rsidRPr="004A47DC">
        <w:rPr>
          <w:b/>
          <w:bCs/>
          <w:color w:val="000000" w:themeColor="text1"/>
        </w:rPr>
        <w:t>Komponenti 1.3</w:t>
      </w:r>
      <w:r w:rsidR="00981E9F" w:rsidRPr="004A47DC">
        <w:rPr>
          <w:b/>
          <w:bCs/>
          <w:color w:val="000000" w:themeColor="text1"/>
        </w:rPr>
        <w:t>:</w:t>
      </w:r>
      <w:r w:rsidRPr="004A47DC">
        <w:rPr>
          <w:b/>
          <w:bCs/>
          <w:color w:val="000000" w:themeColor="text1"/>
        </w:rPr>
        <w:t xml:space="preserve"> Menaxhimi i </w:t>
      </w:r>
      <w:r w:rsidR="001415B2" w:rsidRPr="004A47DC">
        <w:rPr>
          <w:b/>
          <w:bCs/>
          <w:color w:val="000000" w:themeColor="text1"/>
        </w:rPr>
        <w:t>risqeve fiskale</w:t>
      </w:r>
    </w:p>
    <w:p w14:paraId="6816FC51" w14:textId="710668DA" w:rsidR="00A575D4" w:rsidRPr="004A47DC" w:rsidRDefault="00A575D4" w:rsidP="00A575D4">
      <w:pPr>
        <w:pStyle w:val="TEKSTIII"/>
        <w:rPr>
          <w:color w:val="000000" w:themeColor="text1"/>
        </w:rPr>
      </w:pPr>
      <w:r w:rsidRPr="004A47DC">
        <w:rPr>
          <w:color w:val="000000" w:themeColor="text1"/>
        </w:rPr>
        <w:t xml:space="preserve">Synimi 2030: Ekziston një sistem gjithëpërfshirës i </w:t>
      </w:r>
      <w:r w:rsidR="002F5ED0" w:rsidRPr="004A47DC">
        <w:rPr>
          <w:color w:val="000000" w:themeColor="text1"/>
        </w:rPr>
        <w:t xml:space="preserve">menaxhimit të risqeve fiskale </w:t>
      </w:r>
      <w:r w:rsidRPr="004A47DC">
        <w:rPr>
          <w:color w:val="000000" w:themeColor="text1"/>
        </w:rPr>
        <w:t>dhe raportim që adreson detyrimet kryesore kontigjente përkatëse dhe risqet e tjera fiskale.</w:t>
      </w:r>
      <w:r w:rsidR="00754BCF" w:rsidRPr="004A47DC">
        <w:rPr>
          <w:color w:val="000000" w:themeColor="text1"/>
        </w:rPr>
        <w:t xml:space="preserve"> </w:t>
      </w:r>
      <w:r w:rsidRPr="004A47DC">
        <w:rPr>
          <w:color w:val="000000" w:themeColor="text1"/>
        </w:rPr>
        <w:t>Masat për vitet 2023</w:t>
      </w:r>
      <w:r w:rsidR="00754BCF" w:rsidRPr="004A47DC">
        <w:rPr>
          <w:color w:val="000000" w:themeColor="text1"/>
        </w:rPr>
        <w:t>–</w:t>
      </w:r>
      <w:r w:rsidRPr="004A47DC">
        <w:rPr>
          <w:color w:val="000000" w:themeColor="text1"/>
        </w:rPr>
        <w:t>2026:</w:t>
      </w:r>
    </w:p>
    <w:p w14:paraId="63711217" w14:textId="018C0BDC"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1.3.1</w:t>
      </w:r>
      <w:r w:rsidR="00DB1D7E" w:rsidRPr="004A47DC">
        <w:rPr>
          <w:color w:val="000000" w:themeColor="text1"/>
        </w:rPr>
        <w:t>:</w:t>
      </w:r>
      <w:r w:rsidR="00A575D4" w:rsidRPr="004A47DC">
        <w:rPr>
          <w:color w:val="000000" w:themeColor="text1"/>
        </w:rPr>
        <w:t xml:space="preserve"> Prezantimi i </w:t>
      </w:r>
      <w:r w:rsidR="001415B2" w:rsidRPr="004A47DC">
        <w:rPr>
          <w:color w:val="000000" w:themeColor="text1"/>
        </w:rPr>
        <w:t xml:space="preserve">deklaratës vjetore të riskut fiskal </w:t>
      </w:r>
      <w:r w:rsidR="00A575D4" w:rsidRPr="004A47DC">
        <w:rPr>
          <w:color w:val="000000" w:themeColor="text1"/>
        </w:rPr>
        <w:t>dhe zgjerimi gradual i fushës së monitorimit dhe raportimit të riskut fiskal;</w:t>
      </w:r>
    </w:p>
    <w:p w14:paraId="5B8C1D77" w14:textId="13878CF4"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1.3.2</w:t>
      </w:r>
      <w:r w:rsidR="00DB1D7E" w:rsidRPr="004A47DC">
        <w:rPr>
          <w:color w:val="000000" w:themeColor="text1"/>
        </w:rPr>
        <w:t>:</w:t>
      </w:r>
      <w:r w:rsidR="00A575D4" w:rsidRPr="004A47DC">
        <w:rPr>
          <w:color w:val="000000" w:themeColor="text1"/>
        </w:rPr>
        <w:t xml:space="preserve"> Forcimi i menaxhimit të </w:t>
      </w:r>
      <w:r w:rsidR="001415B2" w:rsidRPr="004A47DC">
        <w:rPr>
          <w:color w:val="000000" w:themeColor="text1"/>
        </w:rPr>
        <w:t>riskut fiskal</w:t>
      </w:r>
      <w:r w:rsidR="00A575D4" w:rsidRPr="004A47DC">
        <w:rPr>
          <w:color w:val="000000" w:themeColor="text1"/>
        </w:rPr>
        <w:t xml:space="preserve"> lidhur me PPP-të dhe kontratat koncesionare;</w:t>
      </w:r>
    </w:p>
    <w:p w14:paraId="7D46A668" w14:textId="4BE89A54"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1.3.3</w:t>
      </w:r>
      <w:r w:rsidR="00DB1D7E" w:rsidRPr="004A47DC">
        <w:rPr>
          <w:color w:val="000000" w:themeColor="text1"/>
        </w:rPr>
        <w:t>:</w:t>
      </w:r>
      <w:r w:rsidR="00A575D4" w:rsidRPr="004A47DC">
        <w:rPr>
          <w:color w:val="000000" w:themeColor="text1"/>
        </w:rPr>
        <w:t xml:space="preserve"> Forcimi i mbikëqyrjes fiskale të </w:t>
      </w:r>
      <w:r w:rsidR="002F5ED0" w:rsidRPr="004A47DC">
        <w:rPr>
          <w:color w:val="000000" w:themeColor="text1"/>
        </w:rPr>
        <w:t>ndërmarrjeve s</w:t>
      </w:r>
      <w:r w:rsidR="00A575D4" w:rsidRPr="004A47DC">
        <w:rPr>
          <w:color w:val="000000" w:themeColor="text1"/>
        </w:rPr>
        <w:t>htetërore;</w:t>
      </w:r>
    </w:p>
    <w:p w14:paraId="797ADED1" w14:textId="3925303C" w:rsidR="00A575D4" w:rsidRPr="004A47DC" w:rsidRDefault="00754BCF" w:rsidP="00A575D4">
      <w:pPr>
        <w:pStyle w:val="TEKSTIII"/>
        <w:rPr>
          <w:color w:val="000000" w:themeColor="text1"/>
        </w:rPr>
      </w:pPr>
      <w:r w:rsidRPr="004A47DC">
        <w:rPr>
          <w:color w:val="000000" w:themeColor="text1"/>
        </w:rPr>
        <w:t xml:space="preserve">- </w:t>
      </w:r>
      <w:r w:rsidR="00A575D4" w:rsidRPr="004A47DC">
        <w:rPr>
          <w:color w:val="000000" w:themeColor="text1"/>
        </w:rPr>
        <w:t>Masa 1.3.4</w:t>
      </w:r>
      <w:r w:rsidR="00DB1D7E" w:rsidRPr="004A47DC">
        <w:rPr>
          <w:color w:val="000000" w:themeColor="text1"/>
        </w:rPr>
        <w:t>:</w:t>
      </w:r>
      <w:r w:rsidR="00A575D4" w:rsidRPr="004A47DC">
        <w:rPr>
          <w:color w:val="000000" w:themeColor="text1"/>
        </w:rPr>
        <w:t xml:space="preserve"> Përmirësimi i mëtejshëm i menaxhimit të detyrimeve të prapambetura.</w:t>
      </w:r>
    </w:p>
    <w:p w14:paraId="43C20942" w14:textId="3E3AFADB" w:rsidR="00A575D4" w:rsidRPr="004A47DC" w:rsidRDefault="00A575D4" w:rsidP="00A575D4">
      <w:pPr>
        <w:pStyle w:val="TEKSTIII"/>
        <w:rPr>
          <w:b/>
          <w:bCs/>
          <w:color w:val="000000" w:themeColor="text1"/>
        </w:rPr>
      </w:pPr>
      <w:r w:rsidRPr="004A47DC">
        <w:rPr>
          <w:b/>
          <w:bCs/>
          <w:color w:val="000000" w:themeColor="text1"/>
        </w:rPr>
        <w:t>Komponenti 1.4</w:t>
      </w:r>
      <w:r w:rsidR="00DB1D7E" w:rsidRPr="004A47DC">
        <w:rPr>
          <w:b/>
          <w:bCs/>
          <w:color w:val="000000" w:themeColor="text1"/>
        </w:rPr>
        <w:t>:</w:t>
      </w:r>
      <w:r w:rsidRPr="004A47DC">
        <w:rPr>
          <w:b/>
          <w:bCs/>
          <w:color w:val="000000" w:themeColor="text1"/>
        </w:rPr>
        <w:t xml:space="preserve"> Këshilli Fiskal</w:t>
      </w:r>
    </w:p>
    <w:p w14:paraId="1373B861" w14:textId="4A6FC34A" w:rsidR="00A575D4" w:rsidRPr="004A47DC" w:rsidRDefault="00A575D4" w:rsidP="00A575D4">
      <w:pPr>
        <w:pStyle w:val="TEKSTIII"/>
        <w:rPr>
          <w:color w:val="000000" w:themeColor="text1"/>
        </w:rPr>
      </w:pPr>
      <w:r w:rsidRPr="004A47DC">
        <w:rPr>
          <w:color w:val="000000" w:themeColor="text1"/>
        </w:rPr>
        <w:t>Synimi 2030: Është krijuar Këshilli Fiskal për vlerësimin e politikës fiskale të Qeverisë.</w:t>
      </w:r>
      <w:r w:rsidR="00DB1D7E" w:rsidRPr="004A47DC">
        <w:rPr>
          <w:color w:val="000000" w:themeColor="text1"/>
        </w:rPr>
        <w:t xml:space="preserve"> </w:t>
      </w:r>
      <w:r w:rsidRPr="004A47DC">
        <w:rPr>
          <w:color w:val="000000" w:themeColor="text1"/>
        </w:rPr>
        <w:t xml:space="preserve">Masa </w:t>
      </w:r>
      <w:r w:rsidR="00DB1D7E" w:rsidRPr="004A47DC">
        <w:rPr>
          <w:color w:val="000000" w:themeColor="text1"/>
        </w:rPr>
        <w:t>2023–2026</w:t>
      </w:r>
      <w:r w:rsidRPr="004A47DC">
        <w:rPr>
          <w:color w:val="000000" w:themeColor="text1"/>
        </w:rPr>
        <w:t>:</w:t>
      </w:r>
    </w:p>
    <w:p w14:paraId="35534CBD" w14:textId="5EB0CEB6" w:rsidR="00A575D4" w:rsidRPr="004A47DC" w:rsidRDefault="00DB1D7E" w:rsidP="00A575D4">
      <w:pPr>
        <w:pStyle w:val="TEKSTIII"/>
        <w:rPr>
          <w:b/>
          <w:bCs/>
          <w:color w:val="000000" w:themeColor="text1"/>
          <w:sz w:val="18"/>
          <w:szCs w:val="18"/>
        </w:rPr>
      </w:pPr>
      <w:r w:rsidRPr="004A47DC">
        <w:rPr>
          <w:color w:val="000000" w:themeColor="text1"/>
        </w:rPr>
        <w:t xml:space="preserve">- </w:t>
      </w:r>
      <w:r w:rsidR="00A575D4" w:rsidRPr="004A47DC">
        <w:rPr>
          <w:color w:val="000000" w:themeColor="text1"/>
        </w:rPr>
        <w:t>Masa 1.</w:t>
      </w:r>
      <w:r w:rsidR="00AB485C">
        <w:rPr>
          <w:color w:val="000000" w:themeColor="text1"/>
        </w:rPr>
        <w:t>4</w:t>
      </w:r>
      <w:r w:rsidR="00A575D4" w:rsidRPr="004A47DC">
        <w:rPr>
          <w:color w:val="000000" w:themeColor="text1"/>
        </w:rPr>
        <w:t>.1 Krijimi i Këshillit Fiskal.</w:t>
      </w:r>
    </w:p>
    <w:p w14:paraId="4D50B5E0" w14:textId="0DD2300C" w:rsidR="00A575D4" w:rsidRPr="004A47DC" w:rsidRDefault="004A47DC" w:rsidP="00A575D4">
      <w:pPr>
        <w:pStyle w:val="TEKSTIII"/>
        <w:rPr>
          <w:b/>
          <w:color w:val="000000" w:themeColor="text1"/>
        </w:rPr>
      </w:pPr>
      <w:r>
        <w:rPr>
          <w:b/>
          <w:color w:val="000000" w:themeColor="text1"/>
        </w:rPr>
        <w:t>2</w:t>
      </w:r>
      <w:r w:rsidR="00A575D4" w:rsidRPr="004A47DC">
        <w:rPr>
          <w:b/>
          <w:color w:val="000000" w:themeColor="text1"/>
        </w:rPr>
        <w:t>.2 Komponenti 1.1</w:t>
      </w:r>
      <w:r w:rsidR="00981E9F" w:rsidRPr="004A47DC">
        <w:rPr>
          <w:b/>
          <w:color w:val="000000" w:themeColor="text1"/>
        </w:rPr>
        <w:t>:</w:t>
      </w:r>
      <w:r w:rsidR="00A575D4" w:rsidRPr="004A47DC">
        <w:rPr>
          <w:b/>
          <w:color w:val="000000" w:themeColor="text1"/>
        </w:rPr>
        <w:t xml:space="preserve"> Programimi makroekonomik i matur dhe realist</w:t>
      </w:r>
      <w:r w:rsidR="00B2411C" w:rsidRPr="004A47DC">
        <w:rPr>
          <w:b/>
          <w:color w:val="000000" w:themeColor="text1"/>
        </w:rPr>
        <w:t xml:space="preserve"> </w:t>
      </w:r>
    </w:p>
    <w:p w14:paraId="33E16B02" w14:textId="77777777" w:rsidR="00A575D4" w:rsidRPr="004A47DC" w:rsidRDefault="00A575D4" w:rsidP="00A575D4">
      <w:pPr>
        <w:pStyle w:val="TEKSTIII"/>
        <w:rPr>
          <w:b/>
          <w:color w:val="000000" w:themeColor="text1"/>
        </w:rPr>
      </w:pPr>
      <w:r w:rsidRPr="004A47DC">
        <w:rPr>
          <w:b/>
          <w:color w:val="000000" w:themeColor="text1"/>
        </w:rPr>
        <w:t>Objektivi</w:t>
      </w:r>
    </w:p>
    <w:p w14:paraId="69D2F082" w14:textId="01008B3C" w:rsidR="00A575D4" w:rsidRPr="004A47DC" w:rsidRDefault="00A575D4" w:rsidP="00A575D4">
      <w:pPr>
        <w:pStyle w:val="TEKSTIII"/>
        <w:rPr>
          <w:color w:val="000000" w:themeColor="text1"/>
        </w:rPr>
      </w:pPr>
      <w:r w:rsidRPr="004A47DC">
        <w:rPr>
          <w:color w:val="000000" w:themeColor="text1"/>
        </w:rPr>
        <w:t>Synimi për vitin 2030 është të krijohet një sistem rregullash fiskale përgjithësisht të pranuara në kombinim me praktika solide për programimin dhe parashikimin makroekonomik</w:t>
      </w:r>
      <w:r w:rsidR="004A47DC">
        <w:rPr>
          <w:color w:val="000000" w:themeColor="text1"/>
        </w:rPr>
        <w:t>,</w:t>
      </w:r>
      <w:r w:rsidRPr="004A47DC">
        <w:rPr>
          <w:color w:val="000000" w:themeColor="text1"/>
        </w:rPr>
        <w:t xml:space="preserve"> dhe zhvillimin e një kuadri fiskal afatmesëm të besueshëm</w:t>
      </w:r>
      <w:r w:rsidR="004A47DC">
        <w:rPr>
          <w:color w:val="000000" w:themeColor="text1"/>
        </w:rPr>
        <w:t>,</w:t>
      </w:r>
      <w:r w:rsidRPr="004A47DC">
        <w:rPr>
          <w:color w:val="000000" w:themeColor="text1"/>
        </w:rPr>
        <w:t xml:space="preserve"> që do të formojë një bazë të shëndoshë për formulimin e politikës fiskale afatmesme dhe Programin Buxhetor Afatmesëm.</w:t>
      </w:r>
    </w:p>
    <w:p w14:paraId="2884BD72" w14:textId="77777777" w:rsidR="00A575D4" w:rsidRPr="004A47DC" w:rsidRDefault="00A575D4" w:rsidP="00A575D4">
      <w:pPr>
        <w:pStyle w:val="TEKSTIII"/>
        <w:rPr>
          <w:b/>
          <w:color w:val="000000" w:themeColor="text1"/>
        </w:rPr>
      </w:pPr>
      <w:r w:rsidRPr="004A47DC">
        <w:rPr>
          <w:b/>
          <w:color w:val="000000" w:themeColor="text1"/>
        </w:rPr>
        <w:t>Konteksti</w:t>
      </w:r>
    </w:p>
    <w:p w14:paraId="07649675" w14:textId="792E01A9" w:rsidR="00A575D4" w:rsidRPr="004A47DC" w:rsidRDefault="00A575D4" w:rsidP="00A575D4">
      <w:pPr>
        <w:pStyle w:val="TEKSTIII"/>
        <w:rPr>
          <w:color w:val="000000" w:themeColor="text1"/>
        </w:rPr>
      </w:pPr>
      <w:r w:rsidRPr="004A47DC">
        <w:rPr>
          <w:color w:val="000000" w:themeColor="text1"/>
        </w:rPr>
        <w:t xml:space="preserve">Kapaciteti për programimin makroekonomik, duke përfshirë parashikimet makro-fiskale, është zhvilluar me kalimin e viteve, i përforcuar gjithashtu nga mbështetja dhe përpjekjet bashkëpunuese me Fondin Monetar Ndërkombëtarë (FMN) dhe Bashkimin Evropian. Objektivi kryesor i programimit makroekonomik është i dyfishtë: </w:t>
      </w:r>
      <w:r w:rsidRPr="004A47DC">
        <w:rPr>
          <w:i/>
          <w:color w:val="000000" w:themeColor="text1"/>
        </w:rPr>
        <w:t>së pari</w:t>
      </w:r>
      <w:r w:rsidRPr="004A47DC">
        <w:rPr>
          <w:color w:val="000000" w:themeColor="text1"/>
        </w:rPr>
        <w:t xml:space="preserve">, të mbështesë dhe forcojë stabilitetin makroekonomik të vendit; </w:t>
      </w:r>
      <w:r w:rsidRPr="004A47DC">
        <w:rPr>
          <w:i/>
          <w:color w:val="000000" w:themeColor="text1"/>
        </w:rPr>
        <w:t>së dyti</w:t>
      </w:r>
      <w:r w:rsidRPr="004A47DC">
        <w:rPr>
          <w:color w:val="000000" w:themeColor="text1"/>
        </w:rPr>
        <w:t>, për të nxitur një mjedis të favorshëm për rritje të lartë dhe të qëndrueshme ekonomike, duke u përpjekur përfundimisht për një konvergjencë të shpejtë drejt nivelit mesatar të mirëqenies së Bashkimit Evropian. Një grup gjithëpërfshirës rregullash të forta fiskale është institucionalizuar në kuadrin legjislativ që nga viti 2016. Projeksionet makro-fiskale shërbejnë si inpute integrale për PBA-në dhe Programin e Reformave Ekonomike, si dhe për buxhetet vjetore (si në deklaratën para</w:t>
      </w:r>
      <w:r w:rsidR="00510359">
        <w:rPr>
          <w:color w:val="000000" w:themeColor="text1"/>
        </w:rPr>
        <w:t>-</w:t>
      </w:r>
      <w:r w:rsidRPr="004A47DC">
        <w:rPr>
          <w:color w:val="000000" w:themeColor="text1"/>
        </w:rPr>
        <w:t xml:space="preserve">buxhetore ashtu edhe në raportin vjetor të monitorimit të buxhetit). Në përputhje me kërkesat legjislative, MF-ja i përafron projeksionet e saj të </w:t>
      </w:r>
      <w:r w:rsidR="009B1121" w:rsidRPr="004A47DC">
        <w:rPr>
          <w:color w:val="000000" w:themeColor="text1"/>
        </w:rPr>
        <w:t>variabl</w:t>
      </w:r>
      <w:r w:rsidR="005A2A99">
        <w:rPr>
          <w:color w:val="000000" w:themeColor="text1"/>
        </w:rPr>
        <w:t>a</w:t>
      </w:r>
      <w:r w:rsidR="009B1121" w:rsidRPr="004A47DC">
        <w:rPr>
          <w:color w:val="000000" w:themeColor="text1"/>
        </w:rPr>
        <w:t>ve</w:t>
      </w:r>
      <w:r w:rsidRPr="004A47DC">
        <w:rPr>
          <w:color w:val="000000" w:themeColor="text1"/>
        </w:rPr>
        <w:t xml:space="preserve"> kyç makroekonomikë me ato të FMN-së, një praktikë e mbajtur që nga viti 2016.</w:t>
      </w:r>
    </w:p>
    <w:p w14:paraId="6F1D2788" w14:textId="7CD05A61" w:rsidR="00A575D4" w:rsidRPr="004A47DC" w:rsidRDefault="00A575D4" w:rsidP="00A575D4">
      <w:pPr>
        <w:pStyle w:val="TEKSTIII"/>
        <w:rPr>
          <w:color w:val="000000" w:themeColor="text1"/>
        </w:rPr>
      </w:pPr>
      <w:r w:rsidRPr="004A47DC">
        <w:rPr>
          <w:color w:val="000000" w:themeColor="text1"/>
        </w:rPr>
        <w:t xml:space="preserve">Sigurimi i një parashikimi të matur, të drejtë dhe të kujdesshëm të treguesve makroekonomikë është një prioritet parësor. Kjo përfshin përdorimin e një qasjeje të kujdesshme dhe të mirëinformuar në parashikimin e </w:t>
      </w:r>
      <w:r w:rsidR="009B1121" w:rsidRPr="004A47DC">
        <w:rPr>
          <w:color w:val="000000" w:themeColor="text1"/>
        </w:rPr>
        <w:t>variabl</w:t>
      </w:r>
      <w:r w:rsidR="005A2A99">
        <w:rPr>
          <w:color w:val="000000" w:themeColor="text1"/>
        </w:rPr>
        <w:t>a</w:t>
      </w:r>
      <w:r w:rsidR="009B1121" w:rsidRPr="004A47DC">
        <w:rPr>
          <w:color w:val="000000" w:themeColor="text1"/>
        </w:rPr>
        <w:t>ve</w:t>
      </w:r>
      <w:r w:rsidRPr="004A47DC">
        <w:rPr>
          <w:color w:val="000000" w:themeColor="text1"/>
        </w:rPr>
        <w:t xml:space="preserve"> kryesor</w:t>
      </w:r>
      <w:r w:rsidR="009B1121">
        <w:rPr>
          <w:color w:val="000000" w:themeColor="text1"/>
        </w:rPr>
        <w:t>ë</w:t>
      </w:r>
      <w:r w:rsidRPr="004A47DC">
        <w:rPr>
          <w:color w:val="000000" w:themeColor="text1"/>
        </w:rPr>
        <w:t xml:space="preserve"> ekonomik</w:t>
      </w:r>
      <w:r w:rsidR="009B1121">
        <w:rPr>
          <w:color w:val="000000" w:themeColor="text1"/>
        </w:rPr>
        <w:t>ë</w:t>
      </w:r>
      <w:r w:rsidRPr="004A47DC">
        <w:rPr>
          <w:color w:val="000000" w:themeColor="text1"/>
        </w:rPr>
        <w:t xml:space="preserve">, duke ofruar një bazë për vendime të informuara të politikave. Për më tepër, theksimi i maturisë dhe realizmit në parashikimin afatmesëm të të ardhurave është thelbësor. Kjo përfshin adoptimin e një qasjeje të kujdesshme dhe të bazuar për të parashikuar rrjedhat e të ardhurave në afat të mesëm, duke mundësuar formulimin e politikave të shëndosha fiskale dhe shpërndarjen e burimeve. Gjithashtu, angazhim mbetet ruajtja e financave të shëndosha publike përmes pajtueshmërisë së përhershme me </w:t>
      </w:r>
      <w:r w:rsidR="00C15BE0" w:rsidRPr="004A47DC">
        <w:rPr>
          <w:color w:val="000000" w:themeColor="text1"/>
        </w:rPr>
        <w:t>rregullat fiskale</w:t>
      </w:r>
      <w:r w:rsidRPr="004A47DC">
        <w:rPr>
          <w:color w:val="000000" w:themeColor="text1"/>
        </w:rPr>
        <w:t>. Një fokus kryesor është edhe ruajtja e integritetit të financave publike duke iu përmbajtur rregullave fiskale. Ky angazhim për pajtueshmëri siguron një kuadër të qëndrueshëm fiskal, duke nxitur përgjegjësinë fiskale dhe qëndrueshmërinë gjatë periudhës së specifikuar. Një aderim i tillë kontribuon në stabilitetin e përgjithshëm ekonomik dhe qëndrueshmërinë e vendit.</w:t>
      </w:r>
    </w:p>
    <w:p w14:paraId="444291E9" w14:textId="77777777" w:rsidR="00A575D4" w:rsidRPr="004A47DC" w:rsidRDefault="00A575D4" w:rsidP="00A575D4">
      <w:pPr>
        <w:pStyle w:val="TEKSTIII"/>
        <w:rPr>
          <w:b/>
          <w:color w:val="000000" w:themeColor="text1"/>
        </w:rPr>
      </w:pPr>
      <w:r w:rsidRPr="004A47DC">
        <w:rPr>
          <w:b/>
          <w:color w:val="000000" w:themeColor="text1"/>
        </w:rPr>
        <w:t>Prioritetet</w:t>
      </w:r>
    </w:p>
    <w:p w14:paraId="48E45F6D" w14:textId="0404400D" w:rsidR="00A575D4" w:rsidRPr="004A47DC" w:rsidRDefault="00A575D4" w:rsidP="00A575D4">
      <w:pPr>
        <w:pStyle w:val="TEKSTIII"/>
        <w:rPr>
          <w:color w:val="000000" w:themeColor="text1"/>
        </w:rPr>
      </w:pPr>
      <w:r w:rsidRPr="004A47DC">
        <w:rPr>
          <w:color w:val="000000" w:themeColor="text1"/>
        </w:rPr>
        <w:t>Prioritetet për periudhën 2023</w:t>
      </w:r>
      <w:r w:rsidR="00DB1D7E" w:rsidRPr="004A47DC">
        <w:rPr>
          <w:color w:val="000000" w:themeColor="text1"/>
        </w:rPr>
        <w:t>–</w:t>
      </w:r>
      <w:r w:rsidRPr="004A47DC">
        <w:rPr>
          <w:color w:val="000000" w:themeColor="text1"/>
        </w:rPr>
        <w:t>2026 janë:</w:t>
      </w:r>
    </w:p>
    <w:p w14:paraId="7C2DB2E2" w14:textId="6F2CC495" w:rsidR="00A575D4" w:rsidRPr="004A47DC" w:rsidRDefault="00DB1D7E" w:rsidP="00A575D4">
      <w:pPr>
        <w:pStyle w:val="TEKSTIII"/>
        <w:rPr>
          <w:color w:val="000000" w:themeColor="text1"/>
        </w:rPr>
      </w:pPr>
      <w:r w:rsidRPr="004A47DC">
        <w:rPr>
          <w:color w:val="000000" w:themeColor="text1"/>
        </w:rPr>
        <w:t xml:space="preserve">- </w:t>
      </w:r>
      <w:r w:rsidR="00A575D4" w:rsidRPr="004A47DC">
        <w:rPr>
          <w:color w:val="000000" w:themeColor="text1"/>
        </w:rPr>
        <w:t>Parashikim i matur i treguesve makroekonomikë</w:t>
      </w:r>
      <w:r w:rsidR="009B1121">
        <w:rPr>
          <w:color w:val="000000" w:themeColor="text1"/>
        </w:rPr>
        <w:t>,</w:t>
      </w:r>
      <w:r w:rsidR="00A575D4" w:rsidRPr="004A47DC">
        <w:rPr>
          <w:color w:val="000000" w:themeColor="text1"/>
        </w:rPr>
        <w:t xml:space="preserve"> në përputhje me parashikuesit e pavarur dhe ndërkombëtarë</w:t>
      </w:r>
      <w:r w:rsidR="009B1121">
        <w:rPr>
          <w:color w:val="000000" w:themeColor="text1"/>
        </w:rPr>
        <w:t>;</w:t>
      </w:r>
    </w:p>
    <w:p w14:paraId="00348396" w14:textId="46722B86" w:rsidR="00A575D4" w:rsidRPr="004A47DC" w:rsidRDefault="00DB1D7E" w:rsidP="00A575D4">
      <w:pPr>
        <w:pStyle w:val="TEKSTIII"/>
        <w:rPr>
          <w:color w:val="000000" w:themeColor="text1"/>
        </w:rPr>
      </w:pPr>
      <w:r w:rsidRPr="004A47DC">
        <w:rPr>
          <w:color w:val="000000" w:themeColor="text1"/>
        </w:rPr>
        <w:t xml:space="preserve">- </w:t>
      </w:r>
      <w:r w:rsidR="00A575D4" w:rsidRPr="004A47DC">
        <w:rPr>
          <w:color w:val="000000" w:themeColor="text1"/>
        </w:rPr>
        <w:t>Parashikim i matur dhe realist i të ardhurave afatmesme në përputhje me parashikuesit e pavarur dhe ndërkombëtarë</w:t>
      </w:r>
      <w:r w:rsidR="009B1121">
        <w:rPr>
          <w:color w:val="000000" w:themeColor="text1"/>
        </w:rPr>
        <w:t>;</w:t>
      </w:r>
    </w:p>
    <w:p w14:paraId="79A8D227" w14:textId="28F20928" w:rsidR="00A575D4" w:rsidRPr="004A47DC" w:rsidRDefault="00DB1D7E" w:rsidP="00A575D4">
      <w:pPr>
        <w:pStyle w:val="TEKSTIII"/>
        <w:rPr>
          <w:color w:val="000000" w:themeColor="text1"/>
        </w:rPr>
      </w:pPr>
      <w:r w:rsidRPr="004A47DC">
        <w:rPr>
          <w:color w:val="000000" w:themeColor="text1"/>
        </w:rPr>
        <w:t xml:space="preserve">- </w:t>
      </w:r>
      <w:r w:rsidR="00A575D4" w:rsidRPr="004A47DC">
        <w:rPr>
          <w:color w:val="000000" w:themeColor="text1"/>
        </w:rPr>
        <w:t xml:space="preserve">Ruajtja e financave të shëndosha publike nëpërmjet pajtueshmërisë së përhershme me </w:t>
      </w:r>
      <w:r w:rsidR="00C15BE0" w:rsidRPr="004A47DC">
        <w:rPr>
          <w:color w:val="000000" w:themeColor="text1"/>
        </w:rPr>
        <w:t>rregullat fiskale</w:t>
      </w:r>
      <w:r w:rsidR="00A575D4" w:rsidRPr="004A47DC">
        <w:rPr>
          <w:color w:val="000000" w:themeColor="text1"/>
        </w:rPr>
        <w:t>.</w:t>
      </w:r>
    </w:p>
    <w:p w14:paraId="7F95B5AF" w14:textId="26D031FE" w:rsidR="00A575D4" w:rsidRPr="004A47DC" w:rsidRDefault="00A575D4" w:rsidP="00C135D2">
      <w:pPr>
        <w:pStyle w:val="TEKSTIII"/>
        <w:rPr>
          <w:b/>
          <w:color w:val="000000" w:themeColor="text1"/>
          <w:highlight w:val="yellow"/>
        </w:rPr>
      </w:pPr>
    </w:p>
    <w:p w14:paraId="0AC16461" w14:textId="77777777" w:rsidR="00C135D2" w:rsidRPr="004A47DC" w:rsidRDefault="00C135D2" w:rsidP="00C135D2">
      <w:pPr>
        <w:pStyle w:val="TEKSTIII"/>
        <w:rPr>
          <w:b/>
          <w:color w:val="000000" w:themeColor="text1"/>
        </w:rPr>
      </w:pPr>
      <w:r w:rsidRPr="004A47DC">
        <w:rPr>
          <w:b/>
          <w:color w:val="000000" w:themeColor="text1"/>
        </w:rPr>
        <w:t>Masat dhe aktivitetet</w:t>
      </w:r>
    </w:p>
    <w:tbl>
      <w:tblPr>
        <w:tblStyle w:val="TableGrid"/>
        <w:tblW w:w="5000" w:type="pct"/>
        <w:tblCellMar>
          <w:top w:w="28" w:type="dxa"/>
          <w:left w:w="85" w:type="dxa"/>
          <w:bottom w:w="28" w:type="dxa"/>
          <w:right w:w="85" w:type="dxa"/>
        </w:tblCellMar>
        <w:tblLook w:val="04A0" w:firstRow="1" w:lastRow="0" w:firstColumn="1" w:lastColumn="0" w:noHBand="0" w:noVBand="1"/>
      </w:tblPr>
      <w:tblGrid>
        <w:gridCol w:w="2045"/>
        <w:gridCol w:w="3625"/>
        <w:gridCol w:w="800"/>
        <w:gridCol w:w="799"/>
        <w:gridCol w:w="1792"/>
      </w:tblGrid>
      <w:tr w:rsidR="004719D2" w:rsidRPr="004A47DC" w14:paraId="1DF673C9" w14:textId="77777777" w:rsidTr="00573F94">
        <w:trPr>
          <w:cantSplit/>
          <w:trHeight w:val="20"/>
          <w:tblHeader/>
        </w:trPr>
        <w:tc>
          <w:tcPr>
            <w:tcW w:w="2035" w:type="dxa"/>
            <w:shd w:val="clear" w:color="auto" w:fill="D9D9D9"/>
            <w:vAlign w:val="center"/>
          </w:tcPr>
          <w:p w14:paraId="2CB0AF2A"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Masa</w:t>
            </w:r>
          </w:p>
        </w:tc>
        <w:tc>
          <w:tcPr>
            <w:tcW w:w="3607" w:type="dxa"/>
            <w:shd w:val="clear" w:color="auto" w:fill="D9D9D9"/>
            <w:vAlign w:val="center"/>
          </w:tcPr>
          <w:p w14:paraId="113C9B67"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Aktiviteti</w:t>
            </w:r>
          </w:p>
        </w:tc>
        <w:tc>
          <w:tcPr>
            <w:tcW w:w="796" w:type="dxa"/>
            <w:shd w:val="clear" w:color="auto" w:fill="D9D9D9"/>
            <w:vAlign w:val="center"/>
          </w:tcPr>
          <w:p w14:paraId="5D227A49"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Fillimi</w:t>
            </w:r>
          </w:p>
        </w:tc>
        <w:tc>
          <w:tcPr>
            <w:tcW w:w="795" w:type="dxa"/>
            <w:shd w:val="clear" w:color="auto" w:fill="D9D9D9"/>
            <w:vAlign w:val="center"/>
          </w:tcPr>
          <w:p w14:paraId="0EBA2162"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Mbarimi</w:t>
            </w:r>
          </w:p>
        </w:tc>
        <w:tc>
          <w:tcPr>
            <w:tcW w:w="1783" w:type="dxa"/>
            <w:shd w:val="clear" w:color="auto" w:fill="D9D9D9"/>
            <w:vAlign w:val="center"/>
          </w:tcPr>
          <w:p w14:paraId="159F5E6F" w14:textId="79CA654F"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 xml:space="preserve">Grupet e </w:t>
            </w:r>
            <w:r w:rsidR="00573F94" w:rsidRPr="004A47DC">
              <w:rPr>
                <w:rFonts w:ascii="Garamond" w:hAnsi="Garamond"/>
                <w:b/>
                <w:bCs/>
                <w:color w:val="000000" w:themeColor="text1"/>
                <w:sz w:val="16"/>
                <w:szCs w:val="16"/>
              </w:rPr>
              <w:t>i</w:t>
            </w:r>
            <w:r w:rsidRPr="004A47DC">
              <w:rPr>
                <w:rFonts w:ascii="Garamond" w:hAnsi="Garamond"/>
                <w:b/>
                <w:bCs/>
                <w:color w:val="000000" w:themeColor="text1"/>
                <w:sz w:val="16"/>
                <w:szCs w:val="16"/>
              </w:rPr>
              <w:t>nteresit</w:t>
            </w:r>
          </w:p>
        </w:tc>
      </w:tr>
      <w:tr w:rsidR="004719D2" w:rsidRPr="004A47DC" w14:paraId="1212F694" w14:textId="77777777" w:rsidTr="00D571AD">
        <w:trPr>
          <w:cantSplit/>
          <w:trHeight w:val="456"/>
        </w:trPr>
        <w:tc>
          <w:tcPr>
            <w:tcW w:w="2035" w:type="dxa"/>
            <w:vMerge w:val="restart"/>
            <w:shd w:val="clear" w:color="auto" w:fill="auto"/>
          </w:tcPr>
          <w:p w14:paraId="12C4A6FC" w14:textId="77777777" w:rsidR="00C135D2" w:rsidRPr="004A47DC" w:rsidRDefault="00C135D2" w:rsidP="00C135D2">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1.1.1 </w:t>
            </w:r>
          </w:p>
          <w:p w14:paraId="1D46D788" w14:textId="05C5B066" w:rsidR="00C135D2" w:rsidRPr="004A47DC" w:rsidRDefault="00C135D2" w:rsidP="00C135D2">
            <w:pPr>
              <w:rPr>
                <w:rFonts w:ascii="Garamond" w:hAnsi="Garamond"/>
                <w:b/>
                <w:color w:val="000000" w:themeColor="text1"/>
                <w:sz w:val="16"/>
                <w:szCs w:val="16"/>
              </w:rPr>
            </w:pPr>
            <w:r w:rsidRPr="004A47DC">
              <w:rPr>
                <w:rFonts w:ascii="Garamond" w:hAnsi="Garamond"/>
                <w:b/>
                <w:color w:val="000000" w:themeColor="text1"/>
                <w:sz w:val="16"/>
                <w:szCs w:val="16"/>
              </w:rPr>
              <w:t>Parashikim i matur i treguesve makroekonomik</w:t>
            </w:r>
            <w:r w:rsidR="009B1121">
              <w:rPr>
                <w:rFonts w:ascii="Garamond" w:hAnsi="Garamond"/>
                <w:b/>
                <w:color w:val="000000" w:themeColor="text1"/>
                <w:sz w:val="16"/>
                <w:szCs w:val="16"/>
              </w:rPr>
              <w:t>,</w:t>
            </w:r>
            <w:r w:rsidRPr="004A47DC">
              <w:rPr>
                <w:rFonts w:ascii="Garamond" w:hAnsi="Garamond"/>
                <w:b/>
                <w:color w:val="000000" w:themeColor="text1"/>
                <w:sz w:val="16"/>
                <w:szCs w:val="16"/>
              </w:rPr>
              <w:t xml:space="preserve"> në përputhje me parashikuesit e pavarur dhe ndërkombëtar</w:t>
            </w:r>
          </w:p>
          <w:p w14:paraId="41C748E9" w14:textId="77777777" w:rsidR="00C135D2" w:rsidRPr="004A47DC" w:rsidRDefault="00C135D2" w:rsidP="00C135D2">
            <w:pPr>
              <w:rPr>
                <w:rFonts w:ascii="Garamond" w:eastAsia="Times New Roman" w:hAnsi="Garamond"/>
                <w:b/>
                <w:bCs/>
                <w:color w:val="000000" w:themeColor="text1"/>
                <w:sz w:val="16"/>
                <w:szCs w:val="16"/>
              </w:rPr>
            </w:pPr>
          </w:p>
        </w:tc>
        <w:tc>
          <w:tcPr>
            <w:tcW w:w="3607" w:type="dxa"/>
            <w:vAlign w:val="center"/>
          </w:tcPr>
          <w:p w14:paraId="1544D795" w14:textId="2ADC157E" w:rsidR="00C135D2" w:rsidRPr="004A47DC" w:rsidRDefault="00C135D2" w:rsidP="00C135D2">
            <w:pPr>
              <w:pStyle w:val="TEKSTIII"/>
              <w:ind w:firstLine="0"/>
              <w:rPr>
                <w:color w:val="000000" w:themeColor="text1"/>
                <w:sz w:val="16"/>
                <w:szCs w:val="16"/>
              </w:rPr>
            </w:pPr>
            <w:r w:rsidRPr="004A47DC">
              <w:rPr>
                <w:color w:val="000000" w:themeColor="text1"/>
                <w:sz w:val="16"/>
                <w:szCs w:val="16"/>
              </w:rPr>
              <w:t>1. Krahasimet e vazhdueshme të projeksioneve të treguesve makroekonomik të MF-së me parashikuesit e pavarur dhe ndërkombëtarë</w:t>
            </w:r>
            <w:r w:rsidR="009B1121">
              <w:rPr>
                <w:color w:val="000000" w:themeColor="text1"/>
                <w:sz w:val="16"/>
                <w:szCs w:val="16"/>
              </w:rPr>
              <w:t>,</w:t>
            </w:r>
            <w:r w:rsidRPr="004A47DC">
              <w:rPr>
                <w:color w:val="000000" w:themeColor="text1"/>
                <w:sz w:val="16"/>
                <w:szCs w:val="16"/>
              </w:rPr>
              <w:t xml:space="preserve"> dhe publikimi i këtyre krahasimeve çdo vit. Kjo analizë krahasuese do të shpërndahet përmes: </w:t>
            </w:r>
            <w:r w:rsidR="00E33A13" w:rsidRPr="004A47DC">
              <w:rPr>
                <w:color w:val="000000" w:themeColor="text1"/>
                <w:sz w:val="16"/>
                <w:szCs w:val="16"/>
              </w:rPr>
              <w:t>“</w:t>
            </w:r>
            <w:r w:rsidRPr="004A47DC">
              <w:rPr>
                <w:color w:val="000000" w:themeColor="text1"/>
                <w:sz w:val="16"/>
                <w:szCs w:val="16"/>
              </w:rPr>
              <w:t>Kuadrit Makroekonomik dhe Fiskal</w:t>
            </w:r>
            <w:r w:rsidR="00E33A13" w:rsidRPr="004A47DC">
              <w:rPr>
                <w:color w:val="000000" w:themeColor="text1"/>
                <w:sz w:val="16"/>
                <w:szCs w:val="16"/>
              </w:rPr>
              <w:t>”</w:t>
            </w:r>
            <w:r w:rsidRPr="004A47DC">
              <w:rPr>
                <w:color w:val="000000" w:themeColor="text1"/>
                <w:sz w:val="16"/>
                <w:szCs w:val="16"/>
              </w:rPr>
              <w:t xml:space="preserve"> &amp; </w:t>
            </w:r>
            <w:r w:rsidR="00E33A13" w:rsidRPr="004A47DC">
              <w:rPr>
                <w:color w:val="000000" w:themeColor="text1"/>
                <w:sz w:val="16"/>
                <w:szCs w:val="16"/>
              </w:rPr>
              <w:t>“</w:t>
            </w:r>
            <w:r w:rsidRPr="004A47DC">
              <w:rPr>
                <w:color w:val="000000" w:themeColor="text1"/>
                <w:sz w:val="16"/>
                <w:szCs w:val="16"/>
              </w:rPr>
              <w:t>Programit të Reformave Ekonomike</w:t>
            </w:r>
            <w:r w:rsidR="00E33A13" w:rsidRPr="004A47DC">
              <w:rPr>
                <w:color w:val="000000" w:themeColor="text1"/>
                <w:sz w:val="16"/>
                <w:szCs w:val="16"/>
              </w:rPr>
              <w:t>”</w:t>
            </w:r>
            <w:r w:rsidRPr="004A47DC">
              <w:rPr>
                <w:color w:val="000000" w:themeColor="text1"/>
                <w:sz w:val="16"/>
                <w:szCs w:val="16"/>
              </w:rPr>
              <w:t>.</w:t>
            </w:r>
          </w:p>
        </w:tc>
        <w:tc>
          <w:tcPr>
            <w:tcW w:w="796" w:type="dxa"/>
            <w:shd w:val="clear" w:color="auto" w:fill="auto"/>
            <w:vAlign w:val="center"/>
          </w:tcPr>
          <w:p w14:paraId="0D0F26CE" w14:textId="77777777" w:rsidR="00C135D2" w:rsidRPr="004A47DC" w:rsidRDefault="00C135D2" w:rsidP="00C135D2">
            <w:pPr>
              <w:jc w:val="both"/>
              <w:rPr>
                <w:rFonts w:ascii="Garamond" w:hAnsi="Garamond"/>
                <w:color w:val="000000" w:themeColor="text1"/>
                <w:sz w:val="16"/>
                <w:szCs w:val="16"/>
                <w:highlight w:val="yellow"/>
              </w:rPr>
            </w:pPr>
            <w:r w:rsidRPr="004A47DC">
              <w:rPr>
                <w:rFonts w:ascii="Garamond" w:hAnsi="Garamond"/>
                <w:color w:val="000000" w:themeColor="text1"/>
                <w:sz w:val="16"/>
                <w:szCs w:val="16"/>
              </w:rPr>
              <w:t>T1 2023</w:t>
            </w:r>
          </w:p>
        </w:tc>
        <w:tc>
          <w:tcPr>
            <w:tcW w:w="795" w:type="dxa"/>
            <w:vAlign w:val="center"/>
          </w:tcPr>
          <w:p w14:paraId="19505EBE" w14:textId="77777777" w:rsidR="00C135D2" w:rsidRPr="004A47DC" w:rsidRDefault="00C135D2" w:rsidP="00C135D2">
            <w:pPr>
              <w:jc w:val="both"/>
              <w:rPr>
                <w:rFonts w:ascii="Garamond" w:hAnsi="Garamond"/>
                <w:color w:val="000000" w:themeColor="text1"/>
                <w:sz w:val="16"/>
                <w:szCs w:val="16"/>
                <w:highlight w:val="yellow"/>
              </w:rPr>
            </w:pPr>
            <w:r w:rsidRPr="004A47DC">
              <w:rPr>
                <w:rFonts w:ascii="Garamond" w:hAnsi="Garamond"/>
                <w:color w:val="000000" w:themeColor="text1"/>
                <w:sz w:val="16"/>
                <w:szCs w:val="16"/>
              </w:rPr>
              <w:t>T4 2026</w:t>
            </w:r>
          </w:p>
        </w:tc>
        <w:tc>
          <w:tcPr>
            <w:tcW w:w="1783" w:type="dxa"/>
            <w:vMerge w:val="restart"/>
          </w:tcPr>
          <w:p w14:paraId="3B4F5173" w14:textId="77777777" w:rsidR="00C135D2" w:rsidRPr="004A47DC" w:rsidRDefault="00C135D2" w:rsidP="00C135D2">
            <w:pPr>
              <w:jc w:val="both"/>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6CF48BFB" w14:textId="413BBC04"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DPPMF</w:t>
            </w:r>
            <w:r w:rsidR="00D132AB">
              <w:rPr>
                <w:rFonts w:ascii="Garamond" w:hAnsi="Garamond"/>
                <w:color w:val="000000" w:themeColor="text1"/>
                <w:sz w:val="16"/>
                <w:szCs w:val="16"/>
              </w:rPr>
              <w:t>-ja</w:t>
            </w:r>
            <w:r w:rsidRPr="004A47DC">
              <w:rPr>
                <w:rFonts w:ascii="Garamond" w:hAnsi="Garamond"/>
                <w:color w:val="000000" w:themeColor="text1"/>
                <w:sz w:val="16"/>
                <w:szCs w:val="16"/>
              </w:rPr>
              <w:t xml:space="preserve"> (lider)</w:t>
            </w:r>
            <w:r w:rsidRPr="004A47DC">
              <w:rPr>
                <w:rFonts w:ascii="Garamond" w:hAnsi="Garamond" w:cs="Open Sans Light"/>
                <w:color w:val="000000" w:themeColor="text1"/>
                <w:sz w:val="16"/>
                <w:szCs w:val="16"/>
                <w:vertAlign w:val="superscript"/>
              </w:rPr>
              <w:footnoteReference w:id="5"/>
            </w:r>
          </w:p>
          <w:p w14:paraId="7CAB08E7" w14:textId="77777777" w:rsidR="00C135D2" w:rsidRPr="004A47DC" w:rsidRDefault="00C135D2" w:rsidP="00C135D2">
            <w:pPr>
              <w:jc w:val="both"/>
              <w:rPr>
                <w:rFonts w:ascii="Garamond" w:hAnsi="Garamond"/>
                <w:b/>
                <w:bCs/>
                <w:color w:val="000000" w:themeColor="text1"/>
                <w:sz w:val="16"/>
                <w:szCs w:val="16"/>
              </w:rPr>
            </w:pPr>
          </w:p>
          <w:p w14:paraId="48817556"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b/>
                <w:bCs/>
                <w:color w:val="000000" w:themeColor="text1"/>
                <w:sz w:val="16"/>
                <w:szCs w:val="16"/>
              </w:rPr>
              <w:t>Parterët:</w:t>
            </w:r>
            <w:r w:rsidRPr="004A47DC">
              <w:rPr>
                <w:rFonts w:ascii="Garamond" w:hAnsi="Garamond"/>
                <w:color w:val="000000" w:themeColor="text1"/>
                <w:sz w:val="16"/>
                <w:szCs w:val="16"/>
              </w:rPr>
              <w:t xml:space="preserve"> </w:t>
            </w:r>
          </w:p>
          <w:p w14:paraId="297F41FB" w14:textId="2BA8CBBB" w:rsidR="00C135D2" w:rsidRPr="004A47DC" w:rsidRDefault="00C135D2" w:rsidP="00C135D2">
            <w:pPr>
              <w:jc w:val="both"/>
              <w:rPr>
                <w:rFonts w:ascii="Garamond" w:hAnsi="Garamond"/>
                <w:b/>
                <w:bCs/>
                <w:color w:val="000000" w:themeColor="text1"/>
                <w:sz w:val="16"/>
                <w:szCs w:val="16"/>
              </w:rPr>
            </w:pPr>
            <w:r w:rsidRPr="004A47DC">
              <w:rPr>
                <w:rFonts w:ascii="Garamond" w:hAnsi="Garamond"/>
                <w:color w:val="000000" w:themeColor="text1"/>
                <w:sz w:val="16"/>
                <w:szCs w:val="16"/>
              </w:rPr>
              <w:t>FMN</w:t>
            </w:r>
            <w:r w:rsidR="00D132AB">
              <w:rPr>
                <w:rFonts w:ascii="Garamond" w:hAnsi="Garamond"/>
                <w:color w:val="000000" w:themeColor="text1"/>
                <w:sz w:val="16"/>
                <w:szCs w:val="16"/>
              </w:rPr>
              <w:t>-ja</w:t>
            </w:r>
          </w:p>
        </w:tc>
      </w:tr>
      <w:tr w:rsidR="004719D2" w:rsidRPr="004A47DC" w14:paraId="2C37E035" w14:textId="77777777" w:rsidTr="00D571AD">
        <w:trPr>
          <w:cantSplit/>
          <w:trHeight w:val="20"/>
        </w:trPr>
        <w:tc>
          <w:tcPr>
            <w:tcW w:w="2035" w:type="dxa"/>
            <w:vMerge/>
            <w:shd w:val="clear" w:color="auto" w:fill="auto"/>
          </w:tcPr>
          <w:p w14:paraId="7C8A4EAC" w14:textId="77777777" w:rsidR="00C135D2" w:rsidRPr="004A47DC" w:rsidRDefault="00C135D2" w:rsidP="00C135D2">
            <w:pPr>
              <w:jc w:val="both"/>
              <w:rPr>
                <w:rFonts w:ascii="Garamond" w:hAnsi="Garamond"/>
                <w:b/>
                <w:bCs/>
                <w:color w:val="000000" w:themeColor="text1"/>
                <w:sz w:val="16"/>
                <w:szCs w:val="16"/>
              </w:rPr>
            </w:pPr>
          </w:p>
        </w:tc>
        <w:tc>
          <w:tcPr>
            <w:tcW w:w="3607" w:type="dxa"/>
            <w:vAlign w:val="center"/>
          </w:tcPr>
          <w:p w14:paraId="60F9248D" w14:textId="2C88B471" w:rsidR="00C135D2" w:rsidRPr="004A47DC" w:rsidRDefault="00C135D2" w:rsidP="00C135D2">
            <w:pPr>
              <w:pStyle w:val="TEKSTIII"/>
              <w:ind w:firstLine="0"/>
              <w:rPr>
                <w:color w:val="000000" w:themeColor="text1"/>
                <w:sz w:val="16"/>
                <w:szCs w:val="16"/>
              </w:rPr>
            </w:pPr>
            <w:r w:rsidRPr="004A47DC">
              <w:rPr>
                <w:color w:val="000000" w:themeColor="text1"/>
                <w:sz w:val="16"/>
                <w:szCs w:val="16"/>
              </w:rPr>
              <w:t>2. Adresimi i vendeve të lira të punës për staf të specializuar dhe zhvillimi</w:t>
            </w:r>
            <w:r w:rsidR="009B1121">
              <w:rPr>
                <w:color w:val="000000" w:themeColor="text1"/>
                <w:sz w:val="16"/>
                <w:szCs w:val="16"/>
              </w:rPr>
              <w:t>,</w:t>
            </w:r>
            <w:r w:rsidRPr="004A47DC">
              <w:rPr>
                <w:color w:val="000000" w:themeColor="text1"/>
                <w:sz w:val="16"/>
                <w:szCs w:val="16"/>
              </w:rPr>
              <w:t xml:space="preserve"> dhe zbatimi i trajnimeve të specializuara të stafit të DPPM</w:t>
            </w:r>
            <w:r w:rsidR="009B1121">
              <w:rPr>
                <w:color w:val="000000" w:themeColor="text1"/>
                <w:sz w:val="16"/>
                <w:szCs w:val="16"/>
              </w:rPr>
              <w:t>-së</w:t>
            </w:r>
            <w:r w:rsidRPr="004A47DC">
              <w:rPr>
                <w:color w:val="000000" w:themeColor="text1"/>
                <w:sz w:val="16"/>
                <w:szCs w:val="16"/>
              </w:rPr>
              <w:t>.</w:t>
            </w:r>
          </w:p>
        </w:tc>
        <w:tc>
          <w:tcPr>
            <w:tcW w:w="796" w:type="dxa"/>
            <w:shd w:val="clear" w:color="auto" w:fill="auto"/>
            <w:vAlign w:val="center"/>
          </w:tcPr>
          <w:p w14:paraId="50FC3008"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T4 2023</w:t>
            </w:r>
          </w:p>
        </w:tc>
        <w:tc>
          <w:tcPr>
            <w:tcW w:w="795" w:type="dxa"/>
            <w:vAlign w:val="center"/>
          </w:tcPr>
          <w:p w14:paraId="75CB7194"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83" w:type="dxa"/>
            <w:vMerge/>
          </w:tcPr>
          <w:p w14:paraId="18D13055" w14:textId="77777777" w:rsidR="00C135D2" w:rsidRPr="004A47DC" w:rsidRDefault="00C135D2" w:rsidP="00C135D2">
            <w:pPr>
              <w:jc w:val="both"/>
              <w:rPr>
                <w:rFonts w:ascii="Garamond" w:hAnsi="Garamond"/>
                <w:b/>
                <w:bCs/>
                <w:color w:val="000000" w:themeColor="text1"/>
                <w:sz w:val="16"/>
                <w:szCs w:val="16"/>
              </w:rPr>
            </w:pPr>
          </w:p>
        </w:tc>
      </w:tr>
      <w:tr w:rsidR="004719D2" w:rsidRPr="004A47DC" w14:paraId="6BFFBAD5" w14:textId="77777777" w:rsidTr="00D571AD">
        <w:trPr>
          <w:cantSplit/>
          <w:trHeight w:val="13"/>
        </w:trPr>
        <w:tc>
          <w:tcPr>
            <w:tcW w:w="2035" w:type="dxa"/>
            <w:shd w:val="clear" w:color="auto" w:fill="auto"/>
          </w:tcPr>
          <w:p w14:paraId="76A114FC" w14:textId="77777777" w:rsidR="00C135D2" w:rsidRPr="004A47DC" w:rsidRDefault="00C135D2" w:rsidP="00C135D2">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1.1.2 </w:t>
            </w:r>
          </w:p>
          <w:p w14:paraId="1CAF0F8B" w14:textId="0C0CFD18" w:rsidR="00C135D2" w:rsidRPr="004A47DC" w:rsidRDefault="00C135D2" w:rsidP="00C135D2">
            <w:pPr>
              <w:rPr>
                <w:rFonts w:ascii="Garamond" w:hAnsi="Garamond"/>
                <w:b/>
                <w:color w:val="000000" w:themeColor="text1"/>
                <w:sz w:val="16"/>
                <w:szCs w:val="16"/>
              </w:rPr>
            </w:pPr>
            <w:r w:rsidRPr="004A47DC">
              <w:rPr>
                <w:rFonts w:ascii="Garamond" w:hAnsi="Garamond"/>
                <w:b/>
                <w:bCs/>
                <w:color w:val="000000" w:themeColor="text1"/>
                <w:sz w:val="16"/>
                <w:szCs w:val="16"/>
              </w:rPr>
              <w:t>Parashikim i matur dhe realist i të ardhurave afatmesme</w:t>
            </w:r>
            <w:r w:rsidR="009B1121">
              <w:rPr>
                <w:rFonts w:ascii="Garamond" w:hAnsi="Garamond"/>
                <w:b/>
                <w:bCs/>
                <w:color w:val="000000" w:themeColor="text1"/>
                <w:sz w:val="16"/>
                <w:szCs w:val="16"/>
              </w:rPr>
              <w:t>,</w:t>
            </w:r>
            <w:r w:rsidRPr="004A47DC">
              <w:rPr>
                <w:rFonts w:ascii="Garamond" w:hAnsi="Garamond"/>
                <w:b/>
                <w:bCs/>
                <w:color w:val="000000" w:themeColor="text1"/>
                <w:sz w:val="16"/>
                <w:szCs w:val="16"/>
              </w:rPr>
              <w:t xml:space="preserve"> në përputhje me parashikuesit e pavarur dhe ndërkombëtarë</w:t>
            </w:r>
          </w:p>
        </w:tc>
        <w:tc>
          <w:tcPr>
            <w:tcW w:w="3607" w:type="dxa"/>
          </w:tcPr>
          <w:p w14:paraId="02F4150D" w14:textId="0C96E49C" w:rsidR="00C135D2" w:rsidRPr="004A47DC" w:rsidRDefault="00C135D2" w:rsidP="00C135D2">
            <w:pPr>
              <w:pStyle w:val="TEKSTIII"/>
              <w:ind w:firstLine="0"/>
              <w:rPr>
                <w:color w:val="000000" w:themeColor="text1"/>
                <w:sz w:val="16"/>
                <w:szCs w:val="16"/>
              </w:rPr>
            </w:pPr>
            <w:r w:rsidRPr="004A47DC">
              <w:rPr>
                <w:color w:val="000000" w:themeColor="text1"/>
                <w:sz w:val="16"/>
                <w:szCs w:val="16"/>
              </w:rPr>
              <w:t>1. Krahasimi dhe shpalosja e vazhdueshme e projeksioneve të të ardhurave afatmesme të MF-së me parashikuesit e pavarur dhe ndërkombëtarë.</w:t>
            </w:r>
            <w:r w:rsidR="00B2411C" w:rsidRPr="004A47DC">
              <w:rPr>
                <w:color w:val="000000" w:themeColor="text1"/>
                <w:sz w:val="16"/>
                <w:szCs w:val="16"/>
              </w:rPr>
              <w:t xml:space="preserve"> </w:t>
            </w:r>
            <w:r w:rsidRPr="004A47DC">
              <w:rPr>
                <w:color w:val="000000" w:themeColor="text1"/>
                <w:sz w:val="16"/>
                <w:szCs w:val="16"/>
              </w:rPr>
              <w:t xml:space="preserve">Kjo analizë krahasuese do të shpërndahet përmes: </w:t>
            </w:r>
            <w:r w:rsidR="00E33A13" w:rsidRPr="004A47DC">
              <w:rPr>
                <w:color w:val="000000" w:themeColor="text1"/>
                <w:sz w:val="16"/>
                <w:szCs w:val="16"/>
              </w:rPr>
              <w:t>“</w:t>
            </w:r>
            <w:r w:rsidRPr="004A47DC">
              <w:rPr>
                <w:color w:val="000000" w:themeColor="text1"/>
                <w:sz w:val="16"/>
                <w:szCs w:val="16"/>
              </w:rPr>
              <w:t>Kuadrit Makroekonomik dhe Fiskal</w:t>
            </w:r>
            <w:r w:rsidR="00E33A13" w:rsidRPr="004A47DC">
              <w:rPr>
                <w:color w:val="000000" w:themeColor="text1"/>
                <w:sz w:val="16"/>
                <w:szCs w:val="16"/>
              </w:rPr>
              <w:t>”</w:t>
            </w:r>
            <w:r w:rsidRPr="004A47DC">
              <w:rPr>
                <w:color w:val="000000" w:themeColor="text1"/>
                <w:sz w:val="16"/>
                <w:szCs w:val="16"/>
              </w:rPr>
              <w:t xml:space="preserve"> &amp; </w:t>
            </w:r>
            <w:r w:rsidR="00E33A13" w:rsidRPr="004A47DC">
              <w:rPr>
                <w:color w:val="000000" w:themeColor="text1"/>
                <w:sz w:val="16"/>
                <w:szCs w:val="16"/>
              </w:rPr>
              <w:t>“</w:t>
            </w:r>
            <w:r w:rsidRPr="004A47DC">
              <w:rPr>
                <w:color w:val="000000" w:themeColor="text1"/>
                <w:sz w:val="16"/>
                <w:szCs w:val="16"/>
              </w:rPr>
              <w:t>Programit të Reformave Ekonomike</w:t>
            </w:r>
            <w:r w:rsidR="00E33A13" w:rsidRPr="004A47DC">
              <w:rPr>
                <w:color w:val="000000" w:themeColor="text1"/>
                <w:sz w:val="16"/>
                <w:szCs w:val="16"/>
              </w:rPr>
              <w:t>”</w:t>
            </w:r>
            <w:r w:rsidRPr="004A47DC">
              <w:rPr>
                <w:color w:val="000000" w:themeColor="text1"/>
                <w:sz w:val="16"/>
                <w:szCs w:val="16"/>
              </w:rPr>
              <w:t>.</w:t>
            </w:r>
          </w:p>
        </w:tc>
        <w:tc>
          <w:tcPr>
            <w:tcW w:w="796" w:type="dxa"/>
            <w:vAlign w:val="center"/>
          </w:tcPr>
          <w:p w14:paraId="68D8471F"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T1 2025</w:t>
            </w:r>
          </w:p>
        </w:tc>
        <w:tc>
          <w:tcPr>
            <w:tcW w:w="795" w:type="dxa"/>
            <w:vAlign w:val="center"/>
          </w:tcPr>
          <w:p w14:paraId="4C2D6155"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83" w:type="dxa"/>
          </w:tcPr>
          <w:p w14:paraId="03FBC808" w14:textId="77777777" w:rsidR="00C135D2" w:rsidRPr="004A47DC" w:rsidRDefault="00C135D2" w:rsidP="00C135D2">
            <w:pPr>
              <w:jc w:val="both"/>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6D359FB0" w14:textId="059C9C74"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DPPMF</w:t>
            </w:r>
            <w:r w:rsidR="00D132AB">
              <w:rPr>
                <w:rFonts w:ascii="Garamond" w:hAnsi="Garamond"/>
                <w:color w:val="000000" w:themeColor="text1"/>
                <w:sz w:val="16"/>
                <w:szCs w:val="16"/>
              </w:rPr>
              <w:t>-ja</w:t>
            </w:r>
            <w:r w:rsidRPr="004A47DC">
              <w:rPr>
                <w:rFonts w:ascii="Garamond" w:hAnsi="Garamond"/>
                <w:color w:val="000000" w:themeColor="text1"/>
                <w:sz w:val="16"/>
                <w:szCs w:val="16"/>
              </w:rPr>
              <w:t xml:space="preserve"> (lider)</w:t>
            </w:r>
          </w:p>
          <w:p w14:paraId="3D3C1966" w14:textId="77777777" w:rsidR="00C135D2" w:rsidRPr="004A47DC" w:rsidRDefault="00C135D2" w:rsidP="00C135D2">
            <w:pPr>
              <w:jc w:val="both"/>
              <w:rPr>
                <w:rFonts w:ascii="Garamond" w:hAnsi="Garamond"/>
                <w:b/>
                <w:bCs/>
                <w:color w:val="000000" w:themeColor="text1"/>
                <w:sz w:val="16"/>
                <w:szCs w:val="16"/>
              </w:rPr>
            </w:pPr>
          </w:p>
          <w:p w14:paraId="45A73EA3" w14:textId="77777777" w:rsidR="00C135D2" w:rsidRPr="004A47DC" w:rsidRDefault="00C135D2" w:rsidP="00C135D2">
            <w:pPr>
              <w:jc w:val="both"/>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3C1AD239" w14:textId="642AC79C"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FMN</w:t>
            </w:r>
            <w:r w:rsidR="00D132AB">
              <w:rPr>
                <w:rFonts w:ascii="Garamond" w:hAnsi="Garamond"/>
                <w:color w:val="000000" w:themeColor="text1"/>
                <w:sz w:val="16"/>
                <w:szCs w:val="16"/>
              </w:rPr>
              <w:t>-ja</w:t>
            </w:r>
          </w:p>
        </w:tc>
      </w:tr>
      <w:tr w:rsidR="004719D2" w:rsidRPr="004A47DC" w14:paraId="5D487D1B" w14:textId="77777777" w:rsidTr="00D571AD">
        <w:trPr>
          <w:cantSplit/>
          <w:trHeight w:val="420"/>
        </w:trPr>
        <w:tc>
          <w:tcPr>
            <w:tcW w:w="2035" w:type="dxa"/>
            <w:vMerge w:val="restart"/>
            <w:shd w:val="clear" w:color="auto" w:fill="auto"/>
          </w:tcPr>
          <w:p w14:paraId="4CAF6D52" w14:textId="7FF8681A" w:rsidR="00C135D2" w:rsidRPr="004A47DC" w:rsidRDefault="00C135D2" w:rsidP="00C135D2">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1.1.3 Ruajtja e financave publike të shëndosha përmes pajtueshmërisë së përhershme me </w:t>
            </w:r>
            <w:r w:rsidR="00C15BE0" w:rsidRPr="004A47DC">
              <w:rPr>
                <w:rFonts w:ascii="Garamond" w:hAnsi="Garamond"/>
                <w:b/>
                <w:bCs/>
                <w:color w:val="000000" w:themeColor="text1"/>
                <w:sz w:val="16"/>
                <w:szCs w:val="16"/>
              </w:rPr>
              <w:t xml:space="preserve">rregullat fiskale </w:t>
            </w:r>
          </w:p>
        </w:tc>
        <w:tc>
          <w:tcPr>
            <w:tcW w:w="3607" w:type="dxa"/>
          </w:tcPr>
          <w:p w14:paraId="0101CB05" w14:textId="5EC8AA39" w:rsidR="00C135D2" w:rsidRPr="004A47DC" w:rsidRDefault="00C135D2" w:rsidP="00C135D2">
            <w:pPr>
              <w:pStyle w:val="TEKSTIII"/>
              <w:ind w:firstLine="0"/>
              <w:rPr>
                <w:color w:val="000000" w:themeColor="text1"/>
                <w:sz w:val="16"/>
                <w:szCs w:val="16"/>
              </w:rPr>
            </w:pPr>
            <w:r w:rsidRPr="004A47DC">
              <w:rPr>
                <w:color w:val="000000" w:themeColor="text1"/>
                <w:sz w:val="16"/>
                <w:szCs w:val="16"/>
              </w:rPr>
              <w:t>1.</w:t>
            </w:r>
            <w:r w:rsidR="000335BD">
              <w:rPr>
                <w:color w:val="000000" w:themeColor="text1"/>
                <w:sz w:val="16"/>
                <w:szCs w:val="16"/>
              </w:rPr>
              <w:t xml:space="preserve"> </w:t>
            </w:r>
            <w:r w:rsidRPr="004A47DC">
              <w:rPr>
                <w:color w:val="000000" w:themeColor="text1"/>
                <w:sz w:val="16"/>
                <w:szCs w:val="16"/>
              </w:rPr>
              <w:t>Garantimi i pajtueshmërisë strikte me rregullat fiskale të mandatuara me ligj. Ky angazhim nënvizon përkushtimin ndaj respektimit të rregulloreve fiskale të vendosura, nxitjes së një kuadri fiskal elastik dhe forcimit të stabilitetit dhe llogaridhënies së financave publike.</w:t>
            </w:r>
          </w:p>
        </w:tc>
        <w:tc>
          <w:tcPr>
            <w:tcW w:w="796" w:type="dxa"/>
            <w:vAlign w:val="center"/>
          </w:tcPr>
          <w:p w14:paraId="3CD62554"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T1 2023</w:t>
            </w:r>
          </w:p>
        </w:tc>
        <w:tc>
          <w:tcPr>
            <w:tcW w:w="795" w:type="dxa"/>
            <w:vAlign w:val="center"/>
          </w:tcPr>
          <w:p w14:paraId="7E62EF4A" w14:textId="77777777" w:rsidR="00C135D2" w:rsidRPr="004A47DC" w:rsidRDefault="00C135D2" w:rsidP="00C135D2">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83" w:type="dxa"/>
            <w:vMerge w:val="restart"/>
          </w:tcPr>
          <w:p w14:paraId="3482E524" w14:textId="77777777" w:rsidR="00C135D2" w:rsidRPr="004A47DC" w:rsidRDefault="00C135D2" w:rsidP="00C135D2">
            <w:pPr>
              <w:jc w:val="both"/>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1C9D6847" w14:textId="583891B9" w:rsidR="00C135D2" w:rsidRPr="004A47DC" w:rsidRDefault="00C135D2" w:rsidP="00C135D2">
            <w:pPr>
              <w:jc w:val="both"/>
              <w:rPr>
                <w:rFonts w:ascii="Garamond" w:hAnsi="Garamond"/>
                <w:bCs/>
                <w:color w:val="000000" w:themeColor="text1"/>
                <w:sz w:val="16"/>
                <w:szCs w:val="16"/>
              </w:rPr>
            </w:pPr>
            <w:r w:rsidRPr="004A47DC">
              <w:rPr>
                <w:rFonts w:ascii="Garamond" w:hAnsi="Garamond"/>
                <w:bCs/>
                <w:color w:val="000000" w:themeColor="text1"/>
                <w:sz w:val="16"/>
                <w:szCs w:val="16"/>
              </w:rPr>
              <w:t>DPPMF</w:t>
            </w:r>
            <w:r w:rsidR="00D132AB">
              <w:rPr>
                <w:rFonts w:ascii="Garamond" w:hAnsi="Garamond"/>
                <w:color w:val="000000" w:themeColor="text1"/>
                <w:sz w:val="16"/>
                <w:szCs w:val="16"/>
              </w:rPr>
              <w:t>-ja</w:t>
            </w:r>
            <w:r w:rsidRPr="004A47DC">
              <w:rPr>
                <w:rFonts w:ascii="Garamond" w:hAnsi="Garamond"/>
                <w:bCs/>
                <w:color w:val="000000" w:themeColor="text1"/>
                <w:sz w:val="16"/>
                <w:szCs w:val="16"/>
              </w:rPr>
              <w:t xml:space="preserve"> (lider)</w:t>
            </w:r>
          </w:p>
          <w:p w14:paraId="5DB6293C" w14:textId="77777777" w:rsidR="00C135D2" w:rsidRPr="004A47DC" w:rsidRDefault="00C135D2" w:rsidP="00C135D2">
            <w:pPr>
              <w:jc w:val="both"/>
              <w:rPr>
                <w:rFonts w:ascii="Garamond" w:hAnsi="Garamond"/>
                <w:bCs/>
                <w:color w:val="000000" w:themeColor="text1"/>
                <w:sz w:val="16"/>
                <w:szCs w:val="16"/>
              </w:rPr>
            </w:pPr>
          </w:p>
          <w:p w14:paraId="3058BA8A" w14:textId="77777777" w:rsidR="00C135D2" w:rsidRPr="004A47DC" w:rsidRDefault="00C135D2" w:rsidP="00C135D2">
            <w:pPr>
              <w:jc w:val="both"/>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56F90E82" w14:textId="0D3B4F2F" w:rsidR="00C135D2" w:rsidRPr="004A47DC" w:rsidRDefault="00C135D2" w:rsidP="00C135D2">
            <w:pPr>
              <w:jc w:val="both"/>
              <w:rPr>
                <w:rFonts w:ascii="Garamond" w:hAnsi="Garamond"/>
                <w:bCs/>
                <w:color w:val="000000" w:themeColor="text1"/>
                <w:sz w:val="16"/>
                <w:szCs w:val="16"/>
              </w:rPr>
            </w:pPr>
            <w:r w:rsidRPr="004A47DC">
              <w:rPr>
                <w:rFonts w:ascii="Garamond" w:hAnsi="Garamond"/>
                <w:bCs/>
                <w:color w:val="000000" w:themeColor="text1"/>
                <w:sz w:val="16"/>
                <w:szCs w:val="16"/>
              </w:rPr>
              <w:t>FMN</w:t>
            </w:r>
            <w:r w:rsidR="00D132AB">
              <w:rPr>
                <w:rFonts w:ascii="Garamond" w:hAnsi="Garamond"/>
                <w:color w:val="000000" w:themeColor="text1"/>
                <w:sz w:val="16"/>
                <w:szCs w:val="16"/>
              </w:rPr>
              <w:t>-ja</w:t>
            </w:r>
          </w:p>
          <w:p w14:paraId="2BAE6AEB" w14:textId="77777777" w:rsidR="00C135D2" w:rsidRPr="004A47DC" w:rsidRDefault="00C135D2" w:rsidP="00C135D2">
            <w:pPr>
              <w:jc w:val="both"/>
              <w:rPr>
                <w:rFonts w:ascii="Garamond" w:hAnsi="Garamond"/>
                <w:bCs/>
                <w:color w:val="000000" w:themeColor="text1"/>
                <w:sz w:val="16"/>
                <w:szCs w:val="16"/>
              </w:rPr>
            </w:pPr>
          </w:p>
        </w:tc>
      </w:tr>
      <w:tr w:rsidR="004719D2" w:rsidRPr="004A47DC" w14:paraId="5BF324B7" w14:textId="77777777" w:rsidTr="00D571AD">
        <w:trPr>
          <w:cantSplit/>
          <w:trHeight w:val="20"/>
        </w:trPr>
        <w:tc>
          <w:tcPr>
            <w:tcW w:w="2035" w:type="dxa"/>
            <w:vMerge/>
            <w:shd w:val="clear" w:color="auto" w:fill="auto"/>
          </w:tcPr>
          <w:p w14:paraId="40F45671" w14:textId="77777777" w:rsidR="00C135D2" w:rsidRPr="004A47DC" w:rsidRDefault="00C135D2" w:rsidP="00C135D2">
            <w:pPr>
              <w:rPr>
                <w:rFonts w:ascii="Garamond" w:hAnsi="Garamond"/>
                <w:b/>
                <w:bCs/>
                <w:color w:val="000000" w:themeColor="text1"/>
                <w:sz w:val="16"/>
                <w:szCs w:val="16"/>
              </w:rPr>
            </w:pPr>
          </w:p>
        </w:tc>
        <w:tc>
          <w:tcPr>
            <w:tcW w:w="3607" w:type="dxa"/>
          </w:tcPr>
          <w:p w14:paraId="78A4FA86" w14:textId="7E5B5107" w:rsidR="00C135D2" w:rsidRPr="004A47DC" w:rsidRDefault="00C135D2" w:rsidP="00C135D2">
            <w:pPr>
              <w:pStyle w:val="TEKSTIII"/>
              <w:ind w:firstLine="0"/>
              <w:rPr>
                <w:color w:val="000000" w:themeColor="text1"/>
                <w:sz w:val="16"/>
                <w:szCs w:val="16"/>
              </w:rPr>
            </w:pPr>
            <w:r w:rsidRPr="004A47DC">
              <w:rPr>
                <w:color w:val="000000" w:themeColor="text1"/>
                <w:sz w:val="16"/>
                <w:szCs w:val="16"/>
              </w:rPr>
              <w:t>2. Rritja e transparencës dhe dhënia e shpjegimeve gjithëpërfshirëse</w:t>
            </w:r>
            <w:r w:rsidR="009B1121">
              <w:rPr>
                <w:color w:val="000000" w:themeColor="text1"/>
                <w:sz w:val="16"/>
                <w:szCs w:val="16"/>
              </w:rPr>
              <w:t>,</w:t>
            </w:r>
            <w:r w:rsidRPr="004A47DC">
              <w:rPr>
                <w:color w:val="000000" w:themeColor="text1"/>
                <w:sz w:val="16"/>
                <w:szCs w:val="16"/>
              </w:rPr>
              <w:t xml:space="preserve"> në lidhje me respektimin e rregullave fiskale. Ky angazhim do të përmbushet përmes shpërndarjes së rregullt në: </w:t>
            </w:r>
            <w:r w:rsidR="00E33A13" w:rsidRPr="004A47DC">
              <w:rPr>
                <w:color w:val="000000" w:themeColor="text1"/>
                <w:sz w:val="16"/>
                <w:szCs w:val="16"/>
              </w:rPr>
              <w:t>“</w:t>
            </w:r>
            <w:r w:rsidRPr="004A47DC">
              <w:rPr>
                <w:color w:val="000000" w:themeColor="text1"/>
                <w:sz w:val="16"/>
                <w:szCs w:val="16"/>
              </w:rPr>
              <w:t>Kuadrin Makroekonomik dhe Fiskal</w:t>
            </w:r>
            <w:r w:rsidR="00E33A13" w:rsidRPr="004A47DC">
              <w:rPr>
                <w:color w:val="000000" w:themeColor="text1"/>
                <w:sz w:val="16"/>
                <w:szCs w:val="16"/>
              </w:rPr>
              <w:t>”</w:t>
            </w:r>
            <w:r w:rsidRPr="004A47DC">
              <w:rPr>
                <w:color w:val="000000" w:themeColor="text1"/>
                <w:sz w:val="16"/>
                <w:szCs w:val="16"/>
              </w:rPr>
              <w:t xml:space="preserve">; </w:t>
            </w:r>
            <w:r w:rsidR="00E33A13" w:rsidRPr="004A47DC">
              <w:rPr>
                <w:color w:val="000000" w:themeColor="text1"/>
                <w:sz w:val="16"/>
                <w:szCs w:val="16"/>
              </w:rPr>
              <w:t>“</w:t>
            </w:r>
            <w:r w:rsidRPr="004A47DC">
              <w:rPr>
                <w:color w:val="000000" w:themeColor="text1"/>
                <w:sz w:val="16"/>
                <w:szCs w:val="16"/>
              </w:rPr>
              <w:t>Programin e Reformave Ekonomike</w:t>
            </w:r>
            <w:r w:rsidR="00E33A13" w:rsidRPr="004A47DC">
              <w:rPr>
                <w:color w:val="000000" w:themeColor="text1"/>
                <w:sz w:val="16"/>
                <w:szCs w:val="16"/>
              </w:rPr>
              <w:t>”</w:t>
            </w:r>
            <w:r w:rsidRPr="004A47DC">
              <w:rPr>
                <w:color w:val="000000" w:themeColor="text1"/>
                <w:sz w:val="16"/>
                <w:szCs w:val="16"/>
              </w:rPr>
              <w:t xml:space="preserve">; dhe në </w:t>
            </w:r>
            <w:r w:rsidR="00E33A13" w:rsidRPr="004A47DC">
              <w:rPr>
                <w:color w:val="000000" w:themeColor="text1"/>
                <w:sz w:val="16"/>
                <w:szCs w:val="16"/>
              </w:rPr>
              <w:t>“</w:t>
            </w:r>
            <w:r w:rsidRPr="004A47DC">
              <w:rPr>
                <w:color w:val="000000" w:themeColor="text1"/>
                <w:sz w:val="16"/>
                <w:szCs w:val="16"/>
              </w:rPr>
              <w:t>Raportin e Zbatimit të Buxhetit Vjetor, Situata Makroekonomike dhe Fiskale</w:t>
            </w:r>
            <w:r w:rsidR="00E33A13" w:rsidRPr="004A47DC">
              <w:rPr>
                <w:color w:val="000000" w:themeColor="text1"/>
                <w:sz w:val="16"/>
                <w:szCs w:val="16"/>
              </w:rPr>
              <w:t>”</w:t>
            </w:r>
            <w:r w:rsidR="009B1121">
              <w:rPr>
                <w:color w:val="000000" w:themeColor="text1"/>
                <w:sz w:val="16"/>
                <w:szCs w:val="16"/>
              </w:rPr>
              <w:t>.</w:t>
            </w:r>
          </w:p>
        </w:tc>
        <w:tc>
          <w:tcPr>
            <w:tcW w:w="796" w:type="dxa"/>
            <w:vAlign w:val="center"/>
          </w:tcPr>
          <w:p w14:paraId="6C2BDFD6" w14:textId="77777777" w:rsidR="00C135D2" w:rsidRPr="004A47DC" w:rsidRDefault="00C135D2" w:rsidP="00C135D2">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795" w:type="dxa"/>
            <w:vAlign w:val="center"/>
          </w:tcPr>
          <w:p w14:paraId="6A370A01" w14:textId="77777777" w:rsidR="00C135D2" w:rsidRPr="004A47DC" w:rsidRDefault="00C135D2" w:rsidP="00C135D2">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83" w:type="dxa"/>
            <w:vMerge/>
          </w:tcPr>
          <w:p w14:paraId="5C87AC8A" w14:textId="77777777" w:rsidR="00C135D2" w:rsidRPr="004A47DC" w:rsidRDefault="00C135D2" w:rsidP="00C135D2">
            <w:pPr>
              <w:jc w:val="both"/>
              <w:rPr>
                <w:rFonts w:ascii="Garamond" w:hAnsi="Garamond"/>
                <w:b/>
                <w:bCs/>
                <w:color w:val="000000" w:themeColor="text1"/>
                <w:sz w:val="16"/>
                <w:szCs w:val="16"/>
              </w:rPr>
            </w:pPr>
          </w:p>
        </w:tc>
      </w:tr>
    </w:tbl>
    <w:p w14:paraId="19D4609E" w14:textId="77777777" w:rsidR="00C135D2" w:rsidRPr="004A47DC" w:rsidRDefault="00C135D2" w:rsidP="00C135D2">
      <w:pPr>
        <w:pStyle w:val="H5"/>
        <w:spacing w:after="0" w:line="240" w:lineRule="auto"/>
        <w:rPr>
          <w:rFonts w:ascii="Garamond" w:hAnsi="Garamond"/>
          <w:color w:val="000000" w:themeColor="text1"/>
        </w:rPr>
      </w:pPr>
    </w:p>
    <w:p w14:paraId="3B25E75C" w14:textId="77777777" w:rsidR="007A624C" w:rsidRDefault="007A624C" w:rsidP="00C135D2">
      <w:pPr>
        <w:pStyle w:val="TEKSTIII"/>
        <w:rPr>
          <w:b/>
          <w:color w:val="000000" w:themeColor="text1"/>
        </w:rPr>
      </w:pPr>
    </w:p>
    <w:p w14:paraId="2D7FCF4C" w14:textId="77777777" w:rsidR="007A624C" w:rsidRDefault="007A624C" w:rsidP="00C135D2">
      <w:pPr>
        <w:pStyle w:val="TEKSTIII"/>
        <w:rPr>
          <w:b/>
          <w:color w:val="000000" w:themeColor="text1"/>
        </w:rPr>
      </w:pPr>
    </w:p>
    <w:p w14:paraId="109CEF2C" w14:textId="77777777" w:rsidR="007A624C" w:rsidRDefault="007A624C" w:rsidP="00C135D2">
      <w:pPr>
        <w:pStyle w:val="TEKSTIII"/>
        <w:rPr>
          <w:b/>
          <w:color w:val="000000" w:themeColor="text1"/>
        </w:rPr>
      </w:pPr>
    </w:p>
    <w:p w14:paraId="038B429A" w14:textId="1B406630" w:rsidR="00C135D2" w:rsidRPr="004A47DC" w:rsidRDefault="00C135D2" w:rsidP="00C135D2">
      <w:pPr>
        <w:pStyle w:val="TEKSTIII"/>
        <w:rPr>
          <w:b/>
          <w:color w:val="000000" w:themeColor="text1"/>
        </w:rPr>
      </w:pPr>
      <w:r w:rsidRPr="004A47DC">
        <w:rPr>
          <w:b/>
          <w:color w:val="000000" w:themeColor="text1"/>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C135D2" w:rsidRPr="004A47DC" w14:paraId="3091BF10" w14:textId="77777777" w:rsidTr="00573F94">
        <w:tc>
          <w:tcPr>
            <w:tcW w:w="1727"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086C013"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C83603D"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770FB4A3"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Vlera e synuar</w:t>
            </w:r>
          </w:p>
        </w:tc>
      </w:tr>
      <w:tr w:rsidR="00C135D2" w:rsidRPr="004A47DC" w14:paraId="517BB289" w14:textId="77777777" w:rsidTr="00573F94">
        <w:tc>
          <w:tcPr>
            <w:tcW w:w="1727" w:type="pct"/>
            <w:vMerge/>
            <w:tcBorders>
              <w:top w:val="single" w:sz="4" w:space="0" w:color="auto"/>
              <w:left w:val="single" w:sz="4" w:space="0" w:color="auto"/>
              <w:bottom w:val="single" w:sz="4" w:space="0" w:color="auto"/>
              <w:right w:val="single" w:sz="4" w:space="0" w:color="auto"/>
            </w:tcBorders>
            <w:vAlign w:val="center"/>
            <w:hideMark/>
          </w:tcPr>
          <w:p w14:paraId="625B8760" w14:textId="77777777" w:rsidR="00C135D2" w:rsidRPr="004A47DC" w:rsidRDefault="00C135D2" w:rsidP="00573F94">
            <w:pPr>
              <w:jc w:val="center"/>
              <w:rPr>
                <w:rFonts w:ascii="Garamond" w:hAnsi="Garamond"/>
                <w:b/>
                <w:bCs/>
                <w:color w:val="000000" w:themeColor="text1"/>
                <w:sz w:val="16"/>
                <w:szCs w:val="16"/>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6C656169" w14:textId="77777777" w:rsidR="00C135D2" w:rsidRPr="004A47DC" w:rsidRDefault="00C135D2" w:rsidP="00573F94">
            <w:pPr>
              <w:jc w:val="center"/>
              <w:rPr>
                <w:rFonts w:ascii="Garamond" w:hAnsi="Garamond"/>
                <w:b/>
                <w:bCs/>
                <w:color w:val="000000" w:themeColor="text1"/>
                <w:sz w:val="16"/>
                <w:szCs w:val="16"/>
              </w:rPr>
            </w:pPr>
          </w:p>
        </w:tc>
        <w:tc>
          <w:tcPr>
            <w:tcW w:w="65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56FCCC"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C2CD722"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F45EF98"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905758F"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2026</w:t>
            </w:r>
          </w:p>
        </w:tc>
      </w:tr>
      <w:tr w:rsidR="00C135D2" w:rsidRPr="004A47DC" w14:paraId="1EC1E183" w14:textId="77777777" w:rsidTr="00573F94">
        <w:tc>
          <w:tcPr>
            <w:tcW w:w="1727" w:type="pct"/>
            <w:tcBorders>
              <w:top w:val="single" w:sz="4" w:space="0" w:color="auto"/>
              <w:left w:val="single" w:sz="4" w:space="0" w:color="auto"/>
              <w:bottom w:val="single" w:sz="4" w:space="0" w:color="auto"/>
              <w:right w:val="single" w:sz="4" w:space="0" w:color="auto"/>
            </w:tcBorders>
          </w:tcPr>
          <w:p w14:paraId="117D0578" w14:textId="1FC3CC13" w:rsidR="00C135D2" w:rsidRPr="004A47DC" w:rsidRDefault="00C135D2" w:rsidP="00C135D2">
            <w:pPr>
              <w:pStyle w:val="TEKSTIII"/>
              <w:ind w:firstLine="0"/>
              <w:rPr>
                <w:color w:val="000000" w:themeColor="text1"/>
                <w:sz w:val="16"/>
                <w:szCs w:val="16"/>
              </w:rPr>
            </w:pPr>
            <w:r w:rsidRPr="004A47DC">
              <w:rPr>
                <w:color w:val="000000" w:themeColor="text1"/>
                <w:sz w:val="16"/>
                <w:szCs w:val="16"/>
              </w:rPr>
              <w:t>1. PBB</w:t>
            </w:r>
            <w:r w:rsidR="009B1121">
              <w:rPr>
                <w:color w:val="000000" w:themeColor="text1"/>
                <w:sz w:val="16"/>
                <w:szCs w:val="16"/>
              </w:rPr>
              <w:t>-ja</w:t>
            </w:r>
            <w:r w:rsidRPr="004A47DC">
              <w:rPr>
                <w:color w:val="000000" w:themeColor="text1"/>
                <w:sz w:val="16"/>
                <w:szCs w:val="16"/>
              </w:rPr>
              <w:t xml:space="preserve"> nominale: diferenca e vlerave të parashikuara ndërmjet MF-së dhe FMN-së nuk duhet të jetë më e madhe se zero.</w:t>
            </w:r>
          </w:p>
        </w:tc>
        <w:tc>
          <w:tcPr>
            <w:tcW w:w="654" w:type="pct"/>
            <w:tcBorders>
              <w:top w:val="single" w:sz="4" w:space="0" w:color="auto"/>
              <w:left w:val="single" w:sz="4" w:space="0" w:color="auto"/>
              <w:bottom w:val="single" w:sz="4" w:space="0" w:color="auto"/>
              <w:right w:val="single" w:sz="4" w:space="0" w:color="auto"/>
            </w:tcBorders>
            <w:vAlign w:val="center"/>
          </w:tcPr>
          <w:p w14:paraId="04477BF4"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0.0</w:t>
            </w:r>
          </w:p>
          <w:p w14:paraId="456AEB53"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(2022)</w:t>
            </w:r>
          </w:p>
        </w:tc>
        <w:tc>
          <w:tcPr>
            <w:tcW w:w="655" w:type="pct"/>
            <w:tcBorders>
              <w:top w:val="single" w:sz="4" w:space="0" w:color="auto"/>
              <w:left w:val="single" w:sz="4" w:space="0" w:color="auto"/>
              <w:bottom w:val="single" w:sz="4" w:space="0" w:color="auto"/>
              <w:right w:val="single" w:sz="4" w:space="0" w:color="auto"/>
            </w:tcBorders>
            <w:vAlign w:val="center"/>
          </w:tcPr>
          <w:p w14:paraId="31D2A505" w14:textId="77777777" w:rsidR="00C135D2" w:rsidRPr="004A47DC" w:rsidRDefault="00C135D2" w:rsidP="00D571AD">
            <w:pPr>
              <w:jc w:val="center"/>
              <w:rPr>
                <w:rFonts w:ascii="Garamond" w:hAnsi="Garamond"/>
                <w:color w:val="000000" w:themeColor="text1"/>
                <w:sz w:val="16"/>
                <w:szCs w:val="16"/>
                <w:u w:val="single"/>
              </w:rPr>
            </w:pPr>
            <w:r w:rsidRPr="004A47DC">
              <w:rPr>
                <w:rFonts w:ascii="Garamond" w:hAnsi="Garamond"/>
                <w:color w:val="000000" w:themeColor="text1"/>
                <w:sz w:val="16"/>
                <w:szCs w:val="16"/>
                <w:u w:val="single"/>
              </w:rPr>
              <w:t>&lt;</w:t>
            </w:r>
            <w:r w:rsidRPr="004A47DC">
              <w:rPr>
                <w:rFonts w:ascii="Garamond" w:hAnsi="Garamond"/>
                <w:color w:val="000000" w:themeColor="text1"/>
                <w:sz w:val="16"/>
                <w:szCs w:val="16"/>
              </w:rPr>
              <w:t xml:space="preserve"> 0</w:t>
            </w:r>
          </w:p>
        </w:tc>
        <w:tc>
          <w:tcPr>
            <w:tcW w:w="654" w:type="pct"/>
            <w:tcBorders>
              <w:top w:val="single" w:sz="4" w:space="0" w:color="auto"/>
              <w:left w:val="single" w:sz="4" w:space="0" w:color="auto"/>
              <w:bottom w:val="single" w:sz="4" w:space="0" w:color="auto"/>
              <w:right w:val="single" w:sz="4" w:space="0" w:color="auto"/>
            </w:tcBorders>
            <w:vAlign w:val="center"/>
          </w:tcPr>
          <w:p w14:paraId="791190CC"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&lt;</w:t>
            </w:r>
            <w:r w:rsidRPr="004A47DC">
              <w:rPr>
                <w:rFonts w:ascii="Garamond" w:hAnsi="Garamond"/>
                <w:color w:val="000000" w:themeColor="text1"/>
                <w:sz w:val="16"/>
                <w:szCs w:val="16"/>
              </w:rPr>
              <w:t xml:space="preserve"> 0</w:t>
            </w:r>
          </w:p>
        </w:tc>
        <w:tc>
          <w:tcPr>
            <w:tcW w:w="655" w:type="pct"/>
            <w:tcBorders>
              <w:top w:val="single" w:sz="4" w:space="0" w:color="auto"/>
              <w:left w:val="single" w:sz="4" w:space="0" w:color="auto"/>
              <w:bottom w:val="single" w:sz="4" w:space="0" w:color="auto"/>
              <w:right w:val="single" w:sz="4" w:space="0" w:color="auto"/>
            </w:tcBorders>
            <w:vAlign w:val="center"/>
          </w:tcPr>
          <w:p w14:paraId="31ECD619"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&lt;</w:t>
            </w:r>
            <w:r w:rsidRPr="004A47DC">
              <w:rPr>
                <w:rFonts w:ascii="Garamond" w:hAnsi="Garamond"/>
                <w:color w:val="000000" w:themeColor="text1"/>
                <w:sz w:val="16"/>
                <w:szCs w:val="16"/>
              </w:rPr>
              <w:t xml:space="preserve"> 0</w:t>
            </w:r>
          </w:p>
        </w:tc>
        <w:tc>
          <w:tcPr>
            <w:tcW w:w="655" w:type="pct"/>
            <w:tcBorders>
              <w:top w:val="single" w:sz="4" w:space="0" w:color="auto"/>
              <w:left w:val="single" w:sz="4" w:space="0" w:color="auto"/>
              <w:bottom w:val="single" w:sz="4" w:space="0" w:color="auto"/>
              <w:right w:val="single" w:sz="4" w:space="0" w:color="auto"/>
            </w:tcBorders>
            <w:vAlign w:val="center"/>
          </w:tcPr>
          <w:p w14:paraId="65DE5DD0"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&lt;</w:t>
            </w:r>
            <w:r w:rsidRPr="004A47DC">
              <w:rPr>
                <w:rFonts w:ascii="Garamond" w:hAnsi="Garamond"/>
                <w:color w:val="000000" w:themeColor="text1"/>
                <w:sz w:val="16"/>
                <w:szCs w:val="16"/>
              </w:rPr>
              <w:t xml:space="preserve"> 0</w:t>
            </w:r>
          </w:p>
        </w:tc>
      </w:tr>
      <w:tr w:rsidR="00C135D2" w:rsidRPr="004A47DC" w14:paraId="2E9A0CF3" w14:textId="77777777" w:rsidTr="00573F94">
        <w:tc>
          <w:tcPr>
            <w:tcW w:w="1727" w:type="pct"/>
            <w:tcBorders>
              <w:top w:val="single" w:sz="4" w:space="0" w:color="auto"/>
              <w:left w:val="single" w:sz="4" w:space="0" w:color="auto"/>
              <w:bottom w:val="single" w:sz="4" w:space="0" w:color="auto"/>
              <w:right w:val="single" w:sz="4" w:space="0" w:color="auto"/>
            </w:tcBorders>
          </w:tcPr>
          <w:p w14:paraId="0EF5161D" w14:textId="706E2B30" w:rsidR="00C135D2" w:rsidRPr="004A47DC" w:rsidRDefault="00C135D2" w:rsidP="00C135D2">
            <w:pPr>
              <w:pStyle w:val="TEKSTIII"/>
              <w:ind w:firstLine="0"/>
              <w:rPr>
                <w:color w:val="000000" w:themeColor="text1"/>
                <w:sz w:val="16"/>
                <w:szCs w:val="16"/>
              </w:rPr>
            </w:pPr>
            <w:r w:rsidRPr="004A47DC">
              <w:rPr>
                <w:color w:val="000000" w:themeColor="text1"/>
                <w:sz w:val="16"/>
                <w:szCs w:val="16"/>
              </w:rPr>
              <w:t xml:space="preserve">2. Balanca Primare: duke filluar nga viti 2024, Balanca Primare do të mandatohet ligjërisht si rregull i ri fiskal dhe parashikohet të jetë jo më pak se zero. </w:t>
            </w:r>
          </w:p>
        </w:tc>
        <w:tc>
          <w:tcPr>
            <w:tcW w:w="654" w:type="pct"/>
            <w:tcBorders>
              <w:top w:val="single" w:sz="4" w:space="0" w:color="auto"/>
              <w:left w:val="single" w:sz="4" w:space="0" w:color="auto"/>
              <w:bottom w:val="single" w:sz="4" w:space="0" w:color="auto"/>
              <w:right w:val="single" w:sz="4" w:space="0" w:color="auto"/>
            </w:tcBorders>
            <w:vAlign w:val="center"/>
          </w:tcPr>
          <w:p w14:paraId="6B5E20DD"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-1.8</w:t>
            </w:r>
          </w:p>
          <w:p w14:paraId="151F9F52"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(2022)</w:t>
            </w:r>
          </w:p>
        </w:tc>
        <w:tc>
          <w:tcPr>
            <w:tcW w:w="655" w:type="pct"/>
            <w:tcBorders>
              <w:top w:val="single" w:sz="4" w:space="0" w:color="auto"/>
              <w:left w:val="single" w:sz="4" w:space="0" w:color="auto"/>
              <w:bottom w:val="single" w:sz="4" w:space="0" w:color="auto"/>
              <w:right w:val="single" w:sz="4" w:space="0" w:color="auto"/>
            </w:tcBorders>
            <w:vAlign w:val="center"/>
          </w:tcPr>
          <w:p w14:paraId="792FC8F4"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&gt;</w:t>
            </w:r>
            <w:r w:rsidRPr="004A47DC">
              <w:rPr>
                <w:rFonts w:ascii="Garamond" w:hAnsi="Garamond"/>
                <w:color w:val="000000" w:themeColor="text1"/>
                <w:sz w:val="16"/>
                <w:szCs w:val="16"/>
              </w:rPr>
              <w:t xml:space="preserve"> 0</w:t>
            </w:r>
          </w:p>
        </w:tc>
        <w:tc>
          <w:tcPr>
            <w:tcW w:w="654" w:type="pct"/>
            <w:tcBorders>
              <w:top w:val="single" w:sz="4" w:space="0" w:color="auto"/>
              <w:left w:val="single" w:sz="4" w:space="0" w:color="auto"/>
              <w:bottom w:val="single" w:sz="4" w:space="0" w:color="auto"/>
              <w:right w:val="single" w:sz="4" w:space="0" w:color="auto"/>
            </w:tcBorders>
            <w:vAlign w:val="center"/>
          </w:tcPr>
          <w:p w14:paraId="393D3360"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&gt;</w:t>
            </w:r>
            <w:r w:rsidRPr="004A47DC">
              <w:rPr>
                <w:rFonts w:ascii="Garamond" w:hAnsi="Garamond"/>
                <w:color w:val="000000" w:themeColor="text1"/>
                <w:sz w:val="16"/>
                <w:szCs w:val="16"/>
              </w:rPr>
              <w:t xml:space="preserve"> 0</w:t>
            </w:r>
          </w:p>
        </w:tc>
        <w:tc>
          <w:tcPr>
            <w:tcW w:w="655" w:type="pct"/>
            <w:tcBorders>
              <w:top w:val="single" w:sz="4" w:space="0" w:color="auto"/>
              <w:left w:val="single" w:sz="4" w:space="0" w:color="auto"/>
              <w:bottom w:val="single" w:sz="4" w:space="0" w:color="auto"/>
              <w:right w:val="single" w:sz="4" w:space="0" w:color="auto"/>
            </w:tcBorders>
            <w:vAlign w:val="center"/>
          </w:tcPr>
          <w:p w14:paraId="7BE8B1BA"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&gt;</w:t>
            </w:r>
            <w:r w:rsidRPr="004A47DC">
              <w:rPr>
                <w:rFonts w:ascii="Garamond" w:hAnsi="Garamond"/>
                <w:color w:val="000000" w:themeColor="text1"/>
                <w:sz w:val="16"/>
                <w:szCs w:val="16"/>
              </w:rPr>
              <w:t xml:space="preserve"> 0</w:t>
            </w:r>
          </w:p>
        </w:tc>
        <w:tc>
          <w:tcPr>
            <w:tcW w:w="655" w:type="pct"/>
            <w:tcBorders>
              <w:top w:val="single" w:sz="4" w:space="0" w:color="auto"/>
              <w:left w:val="single" w:sz="4" w:space="0" w:color="auto"/>
              <w:bottom w:val="single" w:sz="4" w:space="0" w:color="auto"/>
              <w:right w:val="single" w:sz="4" w:space="0" w:color="auto"/>
            </w:tcBorders>
            <w:vAlign w:val="center"/>
          </w:tcPr>
          <w:p w14:paraId="28F73431"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u w:val="single"/>
              </w:rPr>
              <w:t>&gt;</w:t>
            </w:r>
            <w:r w:rsidRPr="004A47DC">
              <w:rPr>
                <w:rFonts w:ascii="Garamond" w:hAnsi="Garamond"/>
                <w:color w:val="000000" w:themeColor="text1"/>
                <w:sz w:val="16"/>
                <w:szCs w:val="16"/>
              </w:rPr>
              <w:t xml:space="preserve"> 0</w:t>
            </w:r>
          </w:p>
        </w:tc>
      </w:tr>
    </w:tbl>
    <w:p w14:paraId="66EF9540" w14:textId="77777777" w:rsidR="00C135D2" w:rsidRPr="004A47DC" w:rsidRDefault="00C135D2" w:rsidP="00C135D2">
      <w:pPr>
        <w:jc w:val="both"/>
        <w:rPr>
          <w:rFonts w:ascii="Garamond" w:hAnsi="Garamond"/>
          <w:color w:val="000000" w:themeColor="text1"/>
        </w:rPr>
      </w:pPr>
    </w:p>
    <w:p w14:paraId="27AF7049" w14:textId="4AC452C0" w:rsidR="00C135D2" w:rsidRPr="004A47DC" w:rsidRDefault="008D58A8" w:rsidP="008D58A8">
      <w:pPr>
        <w:pStyle w:val="TEKSTIII"/>
        <w:rPr>
          <w:b/>
          <w:color w:val="000000" w:themeColor="text1"/>
        </w:rPr>
      </w:pPr>
      <w:bookmarkStart w:id="3" w:name="_Toc168918673"/>
      <w:r w:rsidRPr="004A47DC">
        <w:rPr>
          <w:rStyle w:val="UnresolvedMention1"/>
          <w:b/>
          <w:color w:val="000000" w:themeColor="text1"/>
          <w:shd w:val="clear" w:color="auto" w:fill="auto"/>
        </w:rPr>
        <w:t xml:space="preserve">2.3 </w:t>
      </w:r>
      <w:r w:rsidR="00C135D2" w:rsidRPr="004A47DC">
        <w:rPr>
          <w:rStyle w:val="UnresolvedMention1"/>
          <w:b/>
          <w:color w:val="000000" w:themeColor="text1"/>
          <w:shd w:val="clear" w:color="auto" w:fill="auto"/>
        </w:rPr>
        <w:t>Komponenti 1.2</w:t>
      </w:r>
      <w:r w:rsidR="00E33A13" w:rsidRPr="004A47DC">
        <w:rPr>
          <w:rStyle w:val="UnresolvedMention1"/>
          <w:b/>
          <w:color w:val="000000" w:themeColor="text1"/>
          <w:shd w:val="clear" w:color="auto" w:fill="auto"/>
        </w:rPr>
        <w:t>:</w:t>
      </w:r>
      <w:r w:rsidR="00C135D2" w:rsidRPr="004A47DC">
        <w:rPr>
          <w:rStyle w:val="UnresolvedMention1"/>
          <w:b/>
          <w:color w:val="000000" w:themeColor="text1"/>
          <w:shd w:val="clear" w:color="auto" w:fill="auto"/>
        </w:rPr>
        <w:t xml:space="preserve"> </w:t>
      </w:r>
      <w:r w:rsidR="00C135D2" w:rsidRPr="004A47DC">
        <w:rPr>
          <w:b/>
          <w:color w:val="000000" w:themeColor="text1"/>
        </w:rPr>
        <w:t xml:space="preserve">Krijimi i një </w:t>
      </w:r>
      <w:r w:rsidR="002F5ED0" w:rsidRPr="004A47DC">
        <w:rPr>
          <w:b/>
          <w:color w:val="000000" w:themeColor="text1"/>
        </w:rPr>
        <w:t>analize gjithëpërfshirëse të qëndrueshmërisë së borxhit</w:t>
      </w:r>
      <w:bookmarkEnd w:id="3"/>
    </w:p>
    <w:p w14:paraId="35081CB0" w14:textId="77777777" w:rsidR="00C135D2" w:rsidRPr="004A47DC" w:rsidRDefault="00C135D2" w:rsidP="00C135D2">
      <w:pPr>
        <w:pStyle w:val="TEKSTIII"/>
        <w:rPr>
          <w:b/>
          <w:color w:val="000000" w:themeColor="text1"/>
        </w:rPr>
      </w:pPr>
      <w:r w:rsidRPr="004A47DC">
        <w:rPr>
          <w:b/>
          <w:color w:val="000000" w:themeColor="text1"/>
        </w:rPr>
        <w:t>Objektivi</w:t>
      </w:r>
    </w:p>
    <w:p w14:paraId="13415359" w14:textId="20B57D2D" w:rsidR="00C135D2" w:rsidRPr="004A47DC" w:rsidRDefault="00C135D2" w:rsidP="00C135D2">
      <w:pPr>
        <w:pStyle w:val="TEKSTIII"/>
        <w:rPr>
          <w:color w:val="000000" w:themeColor="text1"/>
        </w:rPr>
      </w:pPr>
      <w:r w:rsidRPr="004A47DC">
        <w:rPr>
          <w:color w:val="000000" w:themeColor="text1"/>
        </w:rPr>
        <w:t xml:space="preserve">Synimi është krijimi i një kuadri gjithëpërfshirës të </w:t>
      </w:r>
      <w:r w:rsidR="002F5ED0" w:rsidRPr="004A47DC">
        <w:rPr>
          <w:color w:val="000000" w:themeColor="text1"/>
        </w:rPr>
        <w:t xml:space="preserve">analizës së qëndrueshmërisë së borxhit </w:t>
      </w:r>
      <w:r w:rsidRPr="004A47DC">
        <w:rPr>
          <w:color w:val="000000" w:themeColor="text1"/>
        </w:rPr>
        <w:t xml:space="preserve">(deri në vitin 2027). Kjo nismë synon të forcojë qëndrueshmërinë e borxhit, të identifikojë në mënyrë proaktive risqet e mundshme që lidhen me borxhin në të ardhmen, të vlerësojë ndikimin e politikave aktuale në trajektoren e borxhit dhe të nënvizojë domosdoshmërinë për ndërhyrje të politikave në kohë. Kuadri i </w:t>
      </w:r>
      <w:r w:rsidR="002F5ED0" w:rsidRPr="004A47DC">
        <w:rPr>
          <w:color w:val="000000" w:themeColor="text1"/>
        </w:rPr>
        <w:t>analizës së qëndrueshmërisë së borxhit d</w:t>
      </w:r>
      <w:r w:rsidRPr="004A47DC">
        <w:rPr>
          <w:color w:val="000000" w:themeColor="text1"/>
        </w:rPr>
        <w:t>o të shërbejë si një mjet strategjik shtesë për programimin makroekonomik për të informuar më mirë vendimmarrësit për implikimet afatgjata të dinamikës së borxhit, duke kontribuar në praktikat e matshme të menaxhimit të borxhit dhe qëndrueshmërinë e përgjithshme të financave publike</w:t>
      </w:r>
      <w:r w:rsidR="00D132AB">
        <w:rPr>
          <w:color w:val="000000" w:themeColor="text1"/>
        </w:rPr>
        <w:t>,</w:t>
      </w:r>
      <w:r w:rsidRPr="004A47DC">
        <w:rPr>
          <w:color w:val="000000" w:themeColor="text1"/>
        </w:rPr>
        <w:t xml:space="preserve"> si dhe stabilitetin makroekonomik të vendit.</w:t>
      </w:r>
    </w:p>
    <w:p w14:paraId="1720A005" w14:textId="77777777" w:rsidR="00C135D2" w:rsidRPr="004A47DC" w:rsidRDefault="00C135D2" w:rsidP="00C135D2">
      <w:pPr>
        <w:pStyle w:val="TEKSTIII"/>
        <w:rPr>
          <w:b/>
          <w:color w:val="000000" w:themeColor="text1"/>
        </w:rPr>
      </w:pPr>
      <w:r w:rsidRPr="004A47DC">
        <w:rPr>
          <w:b/>
          <w:color w:val="000000" w:themeColor="text1"/>
        </w:rPr>
        <w:t>Konteksti</w:t>
      </w:r>
    </w:p>
    <w:p w14:paraId="59A79E9B" w14:textId="5DB4AB3E" w:rsidR="00C135D2" w:rsidRPr="004A47DC" w:rsidRDefault="00C135D2" w:rsidP="00C135D2">
      <w:pPr>
        <w:pStyle w:val="TEKSTIII"/>
        <w:rPr>
          <w:color w:val="000000" w:themeColor="text1"/>
        </w:rPr>
      </w:pPr>
      <w:r w:rsidRPr="004A47DC">
        <w:rPr>
          <w:color w:val="000000" w:themeColor="text1"/>
        </w:rPr>
        <w:t xml:space="preserve">Imperativi i vazhdueshëm për të avancuar vazhdimisht programimin makroekonomik nënvizon nevojën për një hap të rëndësishëm përpara. Në mënyrë të veçantë, zhvillimi i një kuadri të dedikuar të </w:t>
      </w:r>
      <w:r w:rsidR="002F5ED0" w:rsidRPr="004A47DC">
        <w:rPr>
          <w:color w:val="000000" w:themeColor="text1"/>
        </w:rPr>
        <w:t xml:space="preserve">analizës së qëndrueshmërisë së borxhit </w:t>
      </w:r>
      <w:r w:rsidRPr="004A47DC">
        <w:rPr>
          <w:color w:val="000000" w:themeColor="text1"/>
        </w:rPr>
        <w:t xml:space="preserve">konsiderohet thelbësor për të shtuar paketën ekzistuese të mjeteve makroekonomike. Ky mjet analitik strategjik shtesë do të sigurohet duke alokuar burimet, personelin dhe teknologjinë e nevojshme, si dhe do të mbështetet dhe udhëhiqet nga një asistencë teknike profesionale e dedikuar. Objektivi përfundimtar është formalizimi sistematik i një kuadri të fortë dhe të përshtatur të </w:t>
      </w:r>
      <w:r w:rsidR="002F5ED0" w:rsidRPr="004A47DC">
        <w:rPr>
          <w:color w:val="000000" w:themeColor="text1"/>
        </w:rPr>
        <w:t>analizës së qëndrueshmërisë së borxhit</w:t>
      </w:r>
      <w:r w:rsidRPr="004A47DC">
        <w:rPr>
          <w:color w:val="000000" w:themeColor="text1"/>
        </w:rPr>
        <w:t>, i cili do të nxisë një kuptim më të plotë të dinamikës së borxhit publik të vendit, duke përforcuar kështu efikasitetin e përgjithshëm të programimit makroekonomik.</w:t>
      </w:r>
    </w:p>
    <w:p w14:paraId="59A30740" w14:textId="77777777" w:rsidR="00C135D2" w:rsidRPr="004A47DC" w:rsidRDefault="00C135D2" w:rsidP="00C135D2">
      <w:pPr>
        <w:pStyle w:val="TEKSTIII"/>
        <w:rPr>
          <w:b/>
          <w:color w:val="000000" w:themeColor="text1"/>
        </w:rPr>
      </w:pPr>
      <w:r w:rsidRPr="004A47DC">
        <w:rPr>
          <w:b/>
          <w:color w:val="000000" w:themeColor="text1"/>
        </w:rPr>
        <w:t>Prioritetet</w:t>
      </w:r>
    </w:p>
    <w:p w14:paraId="5E5A02AE" w14:textId="2B396043" w:rsidR="00C135D2" w:rsidRPr="004A47DC" w:rsidRDefault="00C135D2" w:rsidP="00C135D2">
      <w:pPr>
        <w:pStyle w:val="TEKSTIII"/>
        <w:rPr>
          <w:color w:val="000000" w:themeColor="text1"/>
        </w:rPr>
      </w:pPr>
      <w:r w:rsidRPr="004A47DC">
        <w:rPr>
          <w:color w:val="000000" w:themeColor="text1"/>
        </w:rPr>
        <w:t xml:space="preserve">Prioritetet për periudhën </w:t>
      </w:r>
      <w:r w:rsidR="00DB1D7E" w:rsidRPr="004A47DC">
        <w:rPr>
          <w:color w:val="000000" w:themeColor="text1"/>
        </w:rPr>
        <w:t>2023–2026</w:t>
      </w:r>
      <w:r w:rsidRPr="004A47DC">
        <w:rPr>
          <w:color w:val="000000" w:themeColor="text1"/>
        </w:rPr>
        <w:t xml:space="preserve"> janë:</w:t>
      </w:r>
    </w:p>
    <w:p w14:paraId="3E25C4A6" w14:textId="08CC48C0" w:rsidR="00C135D2" w:rsidRPr="004A47DC" w:rsidRDefault="006874F6" w:rsidP="00C135D2">
      <w:pPr>
        <w:pStyle w:val="TEKSTIII"/>
        <w:rPr>
          <w:color w:val="000000" w:themeColor="text1"/>
        </w:rPr>
      </w:pPr>
      <w:r w:rsidRPr="004A47DC">
        <w:rPr>
          <w:color w:val="000000" w:themeColor="text1"/>
        </w:rPr>
        <w:t xml:space="preserve">- </w:t>
      </w:r>
      <w:r w:rsidR="00C135D2" w:rsidRPr="004A47DC">
        <w:rPr>
          <w:color w:val="000000" w:themeColor="text1"/>
        </w:rPr>
        <w:t xml:space="preserve">Sigurimi i asistencës teknike adekuate për procesin e </w:t>
      </w:r>
      <w:r w:rsidR="002F5ED0" w:rsidRPr="004A47DC">
        <w:rPr>
          <w:color w:val="000000" w:themeColor="text1"/>
        </w:rPr>
        <w:t>analizës së qëndrueshmërisë së borxhit</w:t>
      </w:r>
      <w:r w:rsidR="00573F94" w:rsidRPr="004A47DC">
        <w:rPr>
          <w:color w:val="000000" w:themeColor="text1"/>
        </w:rPr>
        <w:t>;</w:t>
      </w:r>
    </w:p>
    <w:p w14:paraId="49F5DC4F" w14:textId="1DC45836" w:rsidR="00C135D2" w:rsidRPr="004A47DC" w:rsidRDefault="006874F6" w:rsidP="00C135D2">
      <w:pPr>
        <w:pStyle w:val="TEKSTIII"/>
        <w:rPr>
          <w:color w:val="000000" w:themeColor="text1"/>
        </w:rPr>
      </w:pPr>
      <w:r w:rsidRPr="004A47DC">
        <w:rPr>
          <w:color w:val="000000" w:themeColor="text1"/>
        </w:rPr>
        <w:t xml:space="preserve">- </w:t>
      </w:r>
      <w:r w:rsidR="00C135D2" w:rsidRPr="004A47DC">
        <w:rPr>
          <w:color w:val="000000" w:themeColor="text1"/>
        </w:rPr>
        <w:t xml:space="preserve">Prezantimi i kuadrit të </w:t>
      </w:r>
      <w:r w:rsidR="002F5ED0" w:rsidRPr="004A47DC">
        <w:rPr>
          <w:color w:val="000000" w:themeColor="text1"/>
        </w:rPr>
        <w:t xml:space="preserve">analizës së qëndrueshmërisë së borxhit </w:t>
      </w:r>
      <w:r w:rsidR="00C135D2" w:rsidRPr="004A47DC">
        <w:rPr>
          <w:color w:val="000000" w:themeColor="text1"/>
        </w:rPr>
        <w:t>si një mjet analitik shtesë i programimit makroekonomik.</w:t>
      </w:r>
    </w:p>
    <w:p w14:paraId="59E266F2" w14:textId="77777777" w:rsidR="00C135D2" w:rsidRPr="004A47DC" w:rsidRDefault="00C135D2" w:rsidP="006874F6">
      <w:pPr>
        <w:pStyle w:val="TEKSTIII"/>
        <w:rPr>
          <w:b/>
          <w:color w:val="000000" w:themeColor="text1"/>
        </w:rPr>
      </w:pPr>
      <w:r w:rsidRPr="004A47DC">
        <w:rPr>
          <w:b/>
          <w:color w:val="000000" w:themeColor="text1"/>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3451"/>
        <w:gridCol w:w="3163"/>
        <w:gridCol w:w="588"/>
        <w:gridCol w:w="761"/>
        <w:gridCol w:w="1098"/>
      </w:tblGrid>
      <w:tr w:rsidR="004719D2" w:rsidRPr="004A47DC" w14:paraId="5A8A60B8" w14:textId="77777777" w:rsidTr="00573F94">
        <w:trPr>
          <w:trHeight w:val="20"/>
          <w:tblHeader/>
        </w:trPr>
        <w:tc>
          <w:tcPr>
            <w:tcW w:w="1904" w:type="pct"/>
            <w:shd w:val="clear" w:color="auto" w:fill="D9D9D9"/>
            <w:vAlign w:val="center"/>
          </w:tcPr>
          <w:p w14:paraId="5D943A23"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Masa</w:t>
            </w:r>
          </w:p>
        </w:tc>
        <w:tc>
          <w:tcPr>
            <w:tcW w:w="1745" w:type="pct"/>
            <w:shd w:val="clear" w:color="auto" w:fill="D9D9D9"/>
            <w:vAlign w:val="center"/>
          </w:tcPr>
          <w:p w14:paraId="1A8743F5"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Aktiviteti</w:t>
            </w:r>
          </w:p>
        </w:tc>
        <w:tc>
          <w:tcPr>
            <w:tcW w:w="324" w:type="pct"/>
            <w:shd w:val="clear" w:color="auto" w:fill="D9D9D9"/>
            <w:vAlign w:val="center"/>
          </w:tcPr>
          <w:p w14:paraId="5246CF6A"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Fillimi</w:t>
            </w:r>
          </w:p>
        </w:tc>
        <w:tc>
          <w:tcPr>
            <w:tcW w:w="420" w:type="pct"/>
            <w:shd w:val="clear" w:color="auto" w:fill="D9D9D9"/>
            <w:vAlign w:val="center"/>
          </w:tcPr>
          <w:p w14:paraId="0190054E"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Mbarimi</w:t>
            </w:r>
          </w:p>
        </w:tc>
        <w:tc>
          <w:tcPr>
            <w:tcW w:w="606" w:type="pct"/>
            <w:shd w:val="clear" w:color="auto" w:fill="D9D9D9"/>
            <w:vAlign w:val="center"/>
          </w:tcPr>
          <w:p w14:paraId="0D28351D" w14:textId="6DFB6ABE"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 xml:space="preserve">Grupet e </w:t>
            </w:r>
            <w:r w:rsidR="00573F94" w:rsidRPr="004A47DC">
              <w:rPr>
                <w:rFonts w:ascii="Garamond" w:hAnsi="Garamond"/>
                <w:b/>
                <w:bCs/>
                <w:color w:val="000000" w:themeColor="text1"/>
                <w:sz w:val="16"/>
                <w:szCs w:val="16"/>
              </w:rPr>
              <w:t>i</w:t>
            </w:r>
            <w:r w:rsidRPr="004A47DC">
              <w:rPr>
                <w:rFonts w:ascii="Garamond" w:hAnsi="Garamond"/>
                <w:b/>
                <w:bCs/>
                <w:color w:val="000000" w:themeColor="text1"/>
                <w:sz w:val="16"/>
                <w:szCs w:val="16"/>
              </w:rPr>
              <w:t>nteresit</w:t>
            </w:r>
          </w:p>
        </w:tc>
      </w:tr>
      <w:tr w:rsidR="004719D2" w:rsidRPr="004A47DC" w14:paraId="377E784D" w14:textId="77777777" w:rsidTr="00573F94">
        <w:trPr>
          <w:trHeight w:val="20"/>
        </w:trPr>
        <w:tc>
          <w:tcPr>
            <w:tcW w:w="1904" w:type="pct"/>
            <w:vMerge w:val="restart"/>
            <w:shd w:val="clear" w:color="auto" w:fill="auto"/>
          </w:tcPr>
          <w:p w14:paraId="09AD4741" w14:textId="153C676B" w:rsidR="00C135D2" w:rsidRPr="004A47DC" w:rsidRDefault="00C135D2" w:rsidP="00D571AD">
            <w:pPr>
              <w:rPr>
                <w:rFonts w:ascii="Garamond" w:eastAsia="Times New Roman" w:hAnsi="Garamond"/>
                <w:b/>
                <w:bCs/>
                <w:color w:val="000000" w:themeColor="text1"/>
                <w:sz w:val="16"/>
                <w:szCs w:val="16"/>
              </w:rPr>
            </w:pPr>
            <w:r w:rsidRPr="004A47DC">
              <w:rPr>
                <w:rFonts w:ascii="Garamond" w:eastAsia="Times New Roman" w:hAnsi="Garamond"/>
                <w:b/>
                <w:bCs/>
                <w:color w:val="000000" w:themeColor="text1"/>
                <w:sz w:val="16"/>
                <w:szCs w:val="16"/>
              </w:rPr>
              <w:t xml:space="preserve">Masa 1.2.1 Ofrimi i asistencës teknike për procesin e </w:t>
            </w:r>
            <w:r w:rsidR="002F5ED0" w:rsidRPr="004A47DC">
              <w:rPr>
                <w:rFonts w:ascii="Garamond" w:eastAsia="Times New Roman" w:hAnsi="Garamond"/>
                <w:b/>
                <w:bCs/>
                <w:color w:val="000000" w:themeColor="text1"/>
                <w:sz w:val="16"/>
                <w:szCs w:val="16"/>
              </w:rPr>
              <w:t>analizës së qëndrueshmërisë së borxhit</w:t>
            </w:r>
          </w:p>
        </w:tc>
        <w:tc>
          <w:tcPr>
            <w:tcW w:w="1745" w:type="pct"/>
          </w:tcPr>
          <w:p w14:paraId="579340A9" w14:textId="3C7ED827"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1. </w:t>
            </w:r>
            <w:r w:rsidR="00C135D2" w:rsidRPr="004A47DC">
              <w:rPr>
                <w:rFonts w:ascii="Garamond" w:hAnsi="Garamond"/>
                <w:color w:val="000000" w:themeColor="text1"/>
                <w:sz w:val="16"/>
                <w:szCs w:val="16"/>
              </w:rPr>
              <w:t xml:space="preserve">Alokimi i burimeve (stafi dhe teknologjia) për procesin </w:t>
            </w:r>
            <w:r w:rsidR="002F5ED0" w:rsidRPr="004A47DC">
              <w:rPr>
                <w:rFonts w:ascii="Garamond" w:hAnsi="Garamond"/>
                <w:color w:val="000000" w:themeColor="text1"/>
                <w:sz w:val="16"/>
                <w:szCs w:val="16"/>
              </w:rPr>
              <w:t>e analizës së qëndrueshmërisë së borxhit</w:t>
            </w:r>
            <w:r w:rsidR="002F5ED0">
              <w:rPr>
                <w:rFonts w:ascii="Garamond" w:hAnsi="Garamond"/>
                <w:color w:val="000000" w:themeColor="text1"/>
                <w:sz w:val="16"/>
                <w:szCs w:val="16"/>
              </w:rPr>
              <w:t>.</w:t>
            </w:r>
          </w:p>
        </w:tc>
        <w:tc>
          <w:tcPr>
            <w:tcW w:w="324" w:type="pct"/>
            <w:shd w:val="clear" w:color="auto" w:fill="auto"/>
            <w:vAlign w:val="center"/>
          </w:tcPr>
          <w:p w14:paraId="47246823"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2024</w:t>
            </w:r>
          </w:p>
        </w:tc>
        <w:tc>
          <w:tcPr>
            <w:tcW w:w="420" w:type="pct"/>
            <w:shd w:val="clear" w:color="auto" w:fill="auto"/>
            <w:vAlign w:val="center"/>
          </w:tcPr>
          <w:p w14:paraId="5ABBF143"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06" w:type="pct"/>
            <w:vMerge w:val="restart"/>
          </w:tcPr>
          <w:p w14:paraId="77237C6A" w14:textId="77777777" w:rsidR="00C135D2" w:rsidRPr="004A47DC" w:rsidRDefault="00C135D2" w:rsidP="00D571AD">
            <w:pPr>
              <w:jc w:val="both"/>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2768EFFC" w14:textId="792BC34E"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MF</w:t>
            </w:r>
            <w:r w:rsidR="00D132AB">
              <w:rPr>
                <w:rFonts w:ascii="Garamond" w:hAnsi="Garamond"/>
                <w:color w:val="000000" w:themeColor="text1"/>
                <w:sz w:val="16"/>
                <w:szCs w:val="16"/>
              </w:rPr>
              <w:t>-ja</w:t>
            </w:r>
            <w:r w:rsidR="00573F94" w:rsidRPr="004A47DC">
              <w:rPr>
                <w:rFonts w:ascii="Garamond" w:hAnsi="Garamond"/>
                <w:color w:val="000000" w:themeColor="text1"/>
                <w:sz w:val="16"/>
                <w:szCs w:val="16"/>
              </w:rPr>
              <w:t>,</w:t>
            </w:r>
            <w:r w:rsidRPr="004A47DC">
              <w:rPr>
                <w:rFonts w:ascii="Garamond" w:hAnsi="Garamond"/>
                <w:color w:val="000000" w:themeColor="text1"/>
                <w:sz w:val="16"/>
                <w:szCs w:val="16"/>
              </w:rPr>
              <w:t xml:space="preserve"> DPPMF</w:t>
            </w:r>
            <w:r w:rsidR="00D132AB">
              <w:rPr>
                <w:rFonts w:ascii="Garamond" w:hAnsi="Garamond"/>
                <w:color w:val="000000" w:themeColor="text1"/>
                <w:sz w:val="16"/>
                <w:szCs w:val="16"/>
              </w:rPr>
              <w:t>-ja</w:t>
            </w:r>
            <w:r w:rsidRPr="004A47DC">
              <w:rPr>
                <w:rFonts w:ascii="Garamond" w:hAnsi="Garamond"/>
                <w:color w:val="000000" w:themeColor="text1"/>
                <w:sz w:val="16"/>
                <w:szCs w:val="16"/>
              </w:rPr>
              <w:t xml:space="preserve"> (lider)</w:t>
            </w:r>
          </w:p>
          <w:p w14:paraId="7FCB6B96" w14:textId="77777777" w:rsidR="00C135D2" w:rsidRPr="004A47DC" w:rsidRDefault="00C135D2" w:rsidP="00D571AD">
            <w:pPr>
              <w:jc w:val="both"/>
              <w:rPr>
                <w:rFonts w:ascii="Garamond" w:hAnsi="Garamond"/>
                <w:b/>
                <w:bCs/>
                <w:color w:val="000000" w:themeColor="text1"/>
                <w:sz w:val="16"/>
                <w:szCs w:val="16"/>
              </w:rPr>
            </w:pPr>
          </w:p>
          <w:p w14:paraId="39EB5FEA"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b/>
                <w:bCs/>
                <w:color w:val="000000" w:themeColor="text1"/>
                <w:sz w:val="16"/>
                <w:szCs w:val="16"/>
              </w:rPr>
              <w:t>Partnerët:</w:t>
            </w:r>
            <w:r w:rsidRPr="004A47DC">
              <w:rPr>
                <w:rFonts w:ascii="Garamond" w:hAnsi="Garamond"/>
                <w:color w:val="000000" w:themeColor="text1"/>
                <w:sz w:val="16"/>
                <w:szCs w:val="16"/>
              </w:rPr>
              <w:t xml:space="preserve"> </w:t>
            </w:r>
          </w:p>
          <w:p w14:paraId="15CB68C1" w14:textId="3DB6D946" w:rsidR="00C135D2" w:rsidRPr="004A47DC" w:rsidRDefault="00C135D2" w:rsidP="00D571AD">
            <w:pPr>
              <w:jc w:val="both"/>
              <w:rPr>
                <w:rFonts w:ascii="Garamond" w:hAnsi="Garamond"/>
                <w:b/>
                <w:bCs/>
                <w:color w:val="000000" w:themeColor="text1"/>
                <w:sz w:val="16"/>
                <w:szCs w:val="16"/>
              </w:rPr>
            </w:pPr>
            <w:r w:rsidRPr="004A47DC">
              <w:rPr>
                <w:rFonts w:ascii="Garamond" w:hAnsi="Garamond"/>
                <w:color w:val="000000" w:themeColor="text1"/>
                <w:sz w:val="16"/>
                <w:szCs w:val="16"/>
              </w:rPr>
              <w:t>FMN</w:t>
            </w:r>
            <w:r w:rsidR="00D132AB">
              <w:rPr>
                <w:rFonts w:ascii="Garamond" w:hAnsi="Garamond"/>
                <w:color w:val="000000" w:themeColor="text1"/>
                <w:sz w:val="16"/>
                <w:szCs w:val="16"/>
              </w:rPr>
              <w:t>-ja</w:t>
            </w:r>
            <w:r w:rsidRPr="004A47DC">
              <w:rPr>
                <w:rFonts w:ascii="Garamond" w:hAnsi="Garamond"/>
                <w:color w:val="000000" w:themeColor="text1"/>
                <w:sz w:val="16"/>
                <w:szCs w:val="16"/>
              </w:rPr>
              <w:t>, BE</w:t>
            </w:r>
            <w:r w:rsidR="00D132AB">
              <w:rPr>
                <w:rFonts w:ascii="Garamond" w:hAnsi="Garamond"/>
                <w:color w:val="000000" w:themeColor="text1"/>
                <w:sz w:val="16"/>
                <w:szCs w:val="16"/>
              </w:rPr>
              <w:t>-ja</w:t>
            </w:r>
            <w:r w:rsidR="00D132AB" w:rsidRPr="004A47DC">
              <w:rPr>
                <w:rFonts w:ascii="Garamond" w:hAnsi="Garamond"/>
                <w:color w:val="000000" w:themeColor="text1"/>
                <w:sz w:val="16"/>
                <w:szCs w:val="16"/>
              </w:rPr>
              <w:t xml:space="preserve"> </w:t>
            </w:r>
            <w:r w:rsidRPr="004A47DC">
              <w:rPr>
                <w:rFonts w:ascii="Garamond" w:hAnsi="Garamond" w:cs="Open Sans Light"/>
                <w:color w:val="000000" w:themeColor="text1"/>
                <w:sz w:val="16"/>
                <w:szCs w:val="16"/>
                <w:vertAlign w:val="superscript"/>
              </w:rPr>
              <w:footnoteReference w:id="6"/>
            </w:r>
          </w:p>
        </w:tc>
      </w:tr>
      <w:tr w:rsidR="004719D2" w:rsidRPr="004A47DC" w14:paraId="27DC440D" w14:textId="77777777" w:rsidTr="00573F94">
        <w:trPr>
          <w:trHeight w:val="464"/>
        </w:trPr>
        <w:tc>
          <w:tcPr>
            <w:tcW w:w="1904" w:type="pct"/>
            <w:vMerge/>
            <w:shd w:val="clear" w:color="auto" w:fill="auto"/>
          </w:tcPr>
          <w:p w14:paraId="09D9E0B1" w14:textId="77777777" w:rsidR="00C135D2" w:rsidRPr="004A47DC" w:rsidRDefault="00C135D2" w:rsidP="00732B6D">
            <w:pPr>
              <w:numPr>
                <w:ilvl w:val="0"/>
                <w:numId w:val="2"/>
              </w:numPr>
              <w:jc w:val="both"/>
              <w:rPr>
                <w:rFonts w:ascii="Garamond" w:hAnsi="Garamond"/>
                <w:color w:val="000000" w:themeColor="text1"/>
                <w:sz w:val="16"/>
                <w:szCs w:val="16"/>
              </w:rPr>
            </w:pPr>
          </w:p>
        </w:tc>
        <w:tc>
          <w:tcPr>
            <w:tcW w:w="1745" w:type="pct"/>
          </w:tcPr>
          <w:p w14:paraId="068D9B0E" w14:textId="6B953204"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2. </w:t>
            </w:r>
            <w:r w:rsidR="00C135D2" w:rsidRPr="004A47DC">
              <w:rPr>
                <w:rFonts w:ascii="Garamond" w:hAnsi="Garamond"/>
                <w:color w:val="000000" w:themeColor="text1"/>
                <w:sz w:val="16"/>
                <w:szCs w:val="16"/>
              </w:rPr>
              <w:t>Zhvillimi dhe zbatimi i aktiviteteve për zhvillimin e kapaciteteve</w:t>
            </w:r>
            <w:r w:rsidR="00BD290D">
              <w:rPr>
                <w:rFonts w:ascii="Garamond" w:hAnsi="Garamond"/>
                <w:color w:val="000000" w:themeColor="text1"/>
                <w:sz w:val="16"/>
                <w:szCs w:val="16"/>
              </w:rPr>
              <w:t>.</w:t>
            </w:r>
          </w:p>
        </w:tc>
        <w:tc>
          <w:tcPr>
            <w:tcW w:w="324" w:type="pct"/>
          </w:tcPr>
          <w:p w14:paraId="018216C5"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2024</w:t>
            </w:r>
          </w:p>
        </w:tc>
        <w:tc>
          <w:tcPr>
            <w:tcW w:w="420" w:type="pct"/>
          </w:tcPr>
          <w:p w14:paraId="76B03D42"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06" w:type="pct"/>
            <w:vMerge/>
          </w:tcPr>
          <w:p w14:paraId="622B07EF" w14:textId="77777777" w:rsidR="00C135D2" w:rsidRPr="004A47DC" w:rsidRDefault="00C135D2" w:rsidP="00D571AD">
            <w:pPr>
              <w:jc w:val="both"/>
              <w:rPr>
                <w:rFonts w:ascii="Garamond" w:hAnsi="Garamond"/>
                <w:color w:val="000000" w:themeColor="text1"/>
                <w:sz w:val="16"/>
                <w:szCs w:val="16"/>
              </w:rPr>
            </w:pPr>
          </w:p>
        </w:tc>
      </w:tr>
      <w:tr w:rsidR="004719D2" w:rsidRPr="004A47DC" w14:paraId="1F6F3DDB" w14:textId="77777777" w:rsidTr="00573F94">
        <w:trPr>
          <w:trHeight w:val="374"/>
        </w:trPr>
        <w:tc>
          <w:tcPr>
            <w:tcW w:w="1904" w:type="pct"/>
            <w:vMerge w:val="restart"/>
            <w:shd w:val="clear" w:color="auto" w:fill="auto"/>
          </w:tcPr>
          <w:p w14:paraId="482B7399" w14:textId="2BCCB4DE" w:rsidR="00C135D2" w:rsidRPr="004A47DC" w:rsidRDefault="00C135D2" w:rsidP="00D571AD">
            <w:pPr>
              <w:rPr>
                <w:rFonts w:ascii="Garamond" w:hAnsi="Garamond"/>
                <w:b/>
                <w:color w:val="000000" w:themeColor="text1"/>
                <w:sz w:val="16"/>
                <w:szCs w:val="16"/>
              </w:rPr>
            </w:pPr>
            <w:r w:rsidRPr="004A47DC">
              <w:rPr>
                <w:rFonts w:ascii="Garamond" w:hAnsi="Garamond"/>
                <w:b/>
                <w:color w:val="000000" w:themeColor="text1"/>
                <w:sz w:val="16"/>
                <w:szCs w:val="16"/>
              </w:rPr>
              <w:t xml:space="preserve">Masa 1.2.2 Prezantimi i kuadrit të </w:t>
            </w:r>
            <w:r w:rsidR="002F5ED0" w:rsidRPr="004A47DC">
              <w:rPr>
                <w:rFonts w:ascii="Garamond" w:hAnsi="Garamond"/>
                <w:b/>
                <w:color w:val="000000" w:themeColor="text1"/>
                <w:sz w:val="16"/>
                <w:szCs w:val="16"/>
              </w:rPr>
              <w:t xml:space="preserve">analizës së </w:t>
            </w:r>
            <w:r w:rsidR="002F5ED0" w:rsidRPr="004A47DC">
              <w:rPr>
                <w:rFonts w:ascii="Garamond" w:eastAsia="Times New Roman" w:hAnsi="Garamond"/>
                <w:b/>
                <w:bCs/>
                <w:color w:val="000000" w:themeColor="text1"/>
                <w:sz w:val="16"/>
                <w:szCs w:val="16"/>
              </w:rPr>
              <w:t>qëndrueshmërisë së borxhit s</w:t>
            </w:r>
            <w:r w:rsidR="00573F94" w:rsidRPr="004A47DC">
              <w:rPr>
                <w:rFonts w:ascii="Garamond" w:eastAsia="Times New Roman" w:hAnsi="Garamond"/>
                <w:b/>
                <w:bCs/>
                <w:color w:val="000000" w:themeColor="text1"/>
                <w:sz w:val="16"/>
                <w:szCs w:val="16"/>
              </w:rPr>
              <w:t>i një mjet programimi makroekonomik</w:t>
            </w:r>
          </w:p>
        </w:tc>
        <w:tc>
          <w:tcPr>
            <w:tcW w:w="1745" w:type="pct"/>
          </w:tcPr>
          <w:p w14:paraId="45FE9C5C" w14:textId="4563C3F8"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1. </w:t>
            </w:r>
            <w:r w:rsidR="00C135D2" w:rsidRPr="004A47DC">
              <w:rPr>
                <w:rFonts w:ascii="Garamond" w:hAnsi="Garamond"/>
                <w:color w:val="000000" w:themeColor="text1"/>
                <w:sz w:val="16"/>
                <w:szCs w:val="16"/>
              </w:rPr>
              <w:t xml:space="preserve">Përgatitja e kuadrit të personalizuar të </w:t>
            </w:r>
            <w:r w:rsidR="002F5ED0" w:rsidRPr="004A47DC">
              <w:rPr>
                <w:rFonts w:ascii="Garamond" w:hAnsi="Garamond"/>
                <w:color w:val="000000" w:themeColor="text1"/>
                <w:sz w:val="16"/>
                <w:szCs w:val="16"/>
              </w:rPr>
              <w:t>analizës së qëndrueshmërisë së borxhit</w:t>
            </w:r>
            <w:r w:rsidR="002F5ED0">
              <w:rPr>
                <w:rFonts w:ascii="Garamond" w:hAnsi="Garamond"/>
                <w:color w:val="000000" w:themeColor="text1"/>
                <w:sz w:val="16"/>
                <w:szCs w:val="16"/>
              </w:rPr>
              <w:t>.</w:t>
            </w:r>
          </w:p>
        </w:tc>
        <w:tc>
          <w:tcPr>
            <w:tcW w:w="324" w:type="pct"/>
            <w:vAlign w:val="center"/>
          </w:tcPr>
          <w:p w14:paraId="53C13EDA"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20" w:type="pct"/>
            <w:vAlign w:val="center"/>
          </w:tcPr>
          <w:p w14:paraId="37950B56"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06" w:type="pct"/>
            <w:vMerge w:val="restart"/>
          </w:tcPr>
          <w:p w14:paraId="6BE0A96C" w14:textId="77777777" w:rsidR="00C135D2" w:rsidRPr="004A47DC" w:rsidRDefault="00C135D2" w:rsidP="00D571AD">
            <w:pPr>
              <w:jc w:val="both"/>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24D08381" w14:textId="2ABA1EC9"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DPPMF</w:t>
            </w:r>
            <w:r w:rsidR="00D132AB">
              <w:rPr>
                <w:rFonts w:ascii="Garamond" w:hAnsi="Garamond"/>
                <w:color w:val="000000" w:themeColor="text1"/>
                <w:sz w:val="16"/>
                <w:szCs w:val="16"/>
              </w:rPr>
              <w:t>-ja</w:t>
            </w:r>
            <w:r w:rsidRPr="004A47DC">
              <w:rPr>
                <w:rFonts w:ascii="Garamond" w:hAnsi="Garamond"/>
                <w:color w:val="000000" w:themeColor="text1"/>
                <w:sz w:val="16"/>
                <w:szCs w:val="16"/>
              </w:rPr>
              <w:t xml:space="preserve"> (lider)</w:t>
            </w:r>
          </w:p>
          <w:p w14:paraId="6E51BBA9" w14:textId="77777777" w:rsidR="00C135D2" w:rsidRPr="004A47DC" w:rsidRDefault="00C135D2" w:rsidP="00D571AD">
            <w:pPr>
              <w:jc w:val="both"/>
              <w:rPr>
                <w:rFonts w:ascii="Garamond" w:hAnsi="Garamond"/>
                <w:b/>
                <w:bCs/>
                <w:color w:val="000000" w:themeColor="text1"/>
                <w:sz w:val="16"/>
                <w:szCs w:val="16"/>
              </w:rPr>
            </w:pPr>
          </w:p>
          <w:p w14:paraId="50992D64" w14:textId="77777777" w:rsidR="00C135D2" w:rsidRPr="004A47DC" w:rsidRDefault="00C135D2" w:rsidP="00D571AD">
            <w:pPr>
              <w:jc w:val="both"/>
              <w:rPr>
                <w:rFonts w:ascii="Garamond" w:hAnsi="Garamond"/>
                <w:color w:val="000000" w:themeColor="text1"/>
                <w:sz w:val="16"/>
                <w:szCs w:val="16"/>
              </w:rPr>
            </w:pPr>
          </w:p>
        </w:tc>
      </w:tr>
      <w:tr w:rsidR="004719D2" w:rsidRPr="004A47DC" w14:paraId="153BB1B9" w14:textId="77777777" w:rsidTr="00573F94">
        <w:trPr>
          <w:trHeight w:val="20"/>
        </w:trPr>
        <w:tc>
          <w:tcPr>
            <w:tcW w:w="1904" w:type="pct"/>
            <w:vMerge/>
            <w:shd w:val="clear" w:color="auto" w:fill="auto"/>
          </w:tcPr>
          <w:p w14:paraId="09A4BCF3" w14:textId="77777777" w:rsidR="00C135D2" w:rsidRPr="004A47DC" w:rsidRDefault="00C135D2" w:rsidP="00D571AD">
            <w:pPr>
              <w:jc w:val="both"/>
              <w:rPr>
                <w:rFonts w:ascii="Garamond" w:hAnsi="Garamond"/>
                <w:color w:val="000000" w:themeColor="text1"/>
                <w:sz w:val="16"/>
                <w:szCs w:val="16"/>
              </w:rPr>
            </w:pPr>
          </w:p>
        </w:tc>
        <w:tc>
          <w:tcPr>
            <w:tcW w:w="1745" w:type="pct"/>
          </w:tcPr>
          <w:p w14:paraId="0FF16735" w14:textId="574D0DC7"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2. </w:t>
            </w:r>
            <w:r w:rsidR="00C135D2" w:rsidRPr="004A47DC">
              <w:rPr>
                <w:rFonts w:ascii="Garamond" w:hAnsi="Garamond"/>
                <w:color w:val="000000" w:themeColor="text1"/>
                <w:sz w:val="16"/>
                <w:szCs w:val="16"/>
              </w:rPr>
              <w:t xml:space="preserve">Përfshirja e kuadrit të </w:t>
            </w:r>
            <w:r w:rsidR="002F5ED0" w:rsidRPr="004A47DC">
              <w:rPr>
                <w:rFonts w:ascii="Garamond" w:hAnsi="Garamond"/>
                <w:color w:val="000000" w:themeColor="text1"/>
                <w:sz w:val="16"/>
                <w:szCs w:val="16"/>
              </w:rPr>
              <w:t>analizës së qëndrueshmërisë së borx</w:t>
            </w:r>
            <w:r w:rsidR="00193527" w:rsidRPr="004A47DC">
              <w:rPr>
                <w:rFonts w:ascii="Garamond" w:hAnsi="Garamond"/>
                <w:color w:val="000000" w:themeColor="text1"/>
                <w:sz w:val="16"/>
                <w:szCs w:val="16"/>
              </w:rPr>
              <w:t xml:space="preserve">hit </w:t>
            </w:r>
            <w:r w:rsidR="00573F94" w:rsidRPr="004A47DC">
              <w:rPr>
                <w:rFonts w:ascii="Garamond" w:hAnsi="Garamond"/>
                <w:color w:val="000000" w:themeColor="text1"/>
                <w:sz w:val="16"/>
                <w:szCs w:val="16"/>
              </w:rPr>
              <w:t>d</w:t>
            </w:r>
            <w:r w:rsidR="00C135D2" w:rsidRPr="004A47DC">
              <w:rPr>
                <w:rFonts w:ascii="Garamond" w:hAnsi="Garamond"/>
                <w:color w:val="000000" w:themeColor="text1"/>
                <w:sz w:val="16"/>
                <w:szCs w:val="16"/>
              </w:rPr>
              <w:t>he gjetjeve në programimin makroekonomik</w:t>
            </w:r>
            <w:r w:rsidR="00BD290D">
              <w:rPr>
                <w:rFonts w:ascii="Garamond" w:hAnsi="Garamond"/>
                <w:color w:val="000000" w:themeColor="text1"/>
                <w:sz w:val="16"/>
                <w:szCs w:val="16"/>
              </w:rPr>
              <w:t>.</w:t>
            </w:r>
          </w:p>
        </w:tc>
        <w:tc>
          <w:tcPr>
            <w:tcW w:w="324" w:type="pct"/>
            <w:vAlign w:val="center"/>
          </w:tcPr>
          <w:p w14:paraId="3B11272F"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420" w:type="pct"/>
            <w:vAlign w:val="center"/>
          </w:tcPr>
          <w:p w14:paraId="1C190221"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06" w:type="pct"/>
            <w:vMerge/>
          </w:tcPr>
          <w:p w14:paraId="06736D7B" w14:textId="77777777" w:rsidR="00C135D2" w:rsidRPr="004A47DC" w:rsidRDefault="00C135D2" w:rsidP="00D571AD">
            <w:pPr>
              <w:jc w:val="both"/>
              <w:rPr>
                <w:rFonts w:ascii="Garamond" w:hAnsi="Garamond"/>
                <w:color w:val="000000" w:themeColor="text1"/>
                <w:sz w:val="16"/>
                <w:szCs w:val="16"/>
              </w:rPr>
            </w:pPr>
          </w:p>
        </w:tc>
      </w:tr>
      <w:tr w:rsidR="004719D2" w:rsidRPr="004A47DC" w14:paraId="1AD2EBA9" w14:textId="77777777" w:rsidTr="00573F94">
        <w:trPr>
          <w:trHeight w:val="20"/>
        </w:trPr>
        <w:tc>
          <w:tcPr>
            <w:tcW w:w="1904" w:type="pct"/>
            <w:vMerge/>
            <w:shd w:val="clear" w:color="auto" w:fill="auto"/>
          </w:tcPr>
          <w:p w14:paraId="2E1DB5DD" w14:textId="77777777" w:rsidR="00C135D2" w:rsidRPr="004A47DC" w:rsidRDefault="00C135D2" w:rsidP="00D571AD">
            <w:pPr>
              <w:jc w:val="both"/>
              <w:rPr>
                <w:rFonts w:ascii="Garamond" w:hAnsi="Garamond"/>
                <w:color w:val="000000" w:themeColor="text1"/>
                <w:sz w:val="16"/>
                <w:szCs w:val="16"/>
              </w:rPr>
            </w:pPr>
          </w:p>
        </w:tc>
        <w:tc>
          <w:tcPr>
            <w:tcW w:w="1745" w:type="pct"/>
          </w:tcPr>
          <w:p w14:paraId="44D6A6D7" w14:textId="78CA6FCA"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3. </w:t>
            </w:r>
            <w:r w:rsidR="00C135D2" w:rsidRPr="004A47DC">
              <w:rPr>
                <w:rFonts w:ascii="Garamond" w:hAnsi="Garamond"/>
                <w:color w:val="000000" w:themeColor="text1"/>
                <w:sz w:val="16"/>
                <w:szCs w:val="16"/>
              </w:rPr>
              <w:t xml:space="preserve">Sigurimi i transparencës në raportimin dhe publikimin e procesit të </w:t>
            </w:r>
            <w:r w:rsidR="002F5ED0" w:rsidRPr="004A47DC">
              <w:rPr>
                <w:rFonts w:ascii="Garamond" w:hAnsi="Garamond"/>
                <w:color w:val="000000" w:themeColor="text1"/>
                <w:sz w:val="16"/>
                <w:szCs w:val="16"/>
              </w:rPr>
              <w:t>analizës së qëndrueshmërisë së borxhit</w:t>
            </w:r>
            <w:r w:rsidR="00573F94" w:rsidRPr="004A47DC">
              <w:rPr>
                <w:rFonts w:ascii="Garamond" w:hAnsi="Garamond"/>
                <w:color w:val="000000" w:themeColor="text1"/>
                <w:sz w:val="16"/>
                <w:szCs w:val="16"/>
              </w:rPr>
              <w:t xml:space="preserve">. </w:t>
            </w:r>
          </w:p>
        </w:tc>
        <w:tc>
          <w:tcPr>
            <w:tcW w:w="324" w:type="pct"/>
            <w:vAlign w:val="center"/>
          </w:tcPr>
          <w:p w14:paraId="79CB71D9"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420" w:type="pct"/>
            <w:vAlign w:val="center"/>
          </w:tcPr>
          <w:p w14:paraId="0CDB99AE"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Në vazhdim</w:t>
            </w:r>
          </w:p>
        </w:tc>
        <w:tc>
          <w:tcPr>
            <w:tcW w:w="606" w:type="pct"/>
            <w:vMerge/>
          </w:tcPr>
          <w:p w14:paraId="5FA367D3" w14:textId="77777777" w:rsidR="00C135D2" w:rsidRPr="004A47DC" w:rsidRDefault="00C135D2" w:rsidP="00D571AD">
            <w:pPr>
              <w:jc w:val="both"/>
              <w:rPr>
                <w:rFonts w:ascii="Garamond" w:hAnsi="Garamond"/>
                <w:b/>
                <w:bCs/>
                <w:color w:val="000000" w:themeColor="text1"/>
                <w:sz w:val="16"/>
                <w:szCs w:val="16"/>
              </w:rPr>
            </w:pPr>
          </w:p>
        </w:tc>
      </w:tr>
      <w:tr w:rsidR="004719D2" w:rsidRPr="004A47DC" w14:paraId="238D7063" w14:textId="77777777" w:rsidTr="00573F94">
        <w:trPr>
          <w:trHeight w:val="20"/>
        </w:trPr>
        <w:tc>
          <w:tcPr>
            <w:tcW w:w="1904" w:type="pct"/>
            <w:vMerge/>
            <w:shd w:val="clear" w:color="auto" w:fill="auto"/>
          </w:tcPr>
          <w:p w14:paraId="28A77C5A" w14:textId="77777777" w:rsidR="00C135D2" w:rsidRPr="004A47DC" w:rsidRDefault="00C135D2" w:rsidP="00D571AD">
            <w:pPr>
              <w:jc w:val="both"/>
              <w:rPr>
                <w:rFonts w:ascii="Garamond" w:hAnsi="Garamond"/>
                <w:color w:val="000000" w:themeColor="text1"/>
                <w:sz w:val="16"/>
                <w:szCs w:val="16"/>
              </w:rPr>
            </w:pPr>
          </w:p>
        </w:tc>
        <w:tc>
          <w:tcPr>
            <w:tcW w:w="1745" w:type="pct"/>
          </w:tcPr>
          <w:p w14:paraId="3C5A46E3" w14:textId="69E6850E" w:rsidR="00C135D2" w:rsidRPr="004A47DC" w:rsidRDefault="006874F6" w:rsidP="00FD6869">
            <w:pPr>
              <w:rPr>
                <w:rFonts w:ascii="Garamond" w:hAnsi="Garamond"/>
                <w:color w:val="000000" w:themeColor="text1"/>
                <w:sz w:val="16"/>
                <w:szCs w:val="16"/>
              </w:rPr>
            </w:pPr>
            <w:r w:rsidRPr="004A47DC">
              <w:rPr>
                <w:rFonts w:ascii="Garamond" w:hAnsi="Garamond"/>
                <w:color w:val="000000" w:themeColor="text1"/>
                <w:sz w:val="16"/>
                <w:szCs w:val="16"/>
              </w:rPr>
              <w:t xml:space="preserve">4. </w:t>
            </w:r>
            <w:r w:rsidR="00C135D2" w:rsidRPr="004A47DC">
              <w:rPr>
                <w:rFonts w:ascii="Garamond" w:hAnsi="Garamond"/>
                <w:color w:val="000000" w:themeColor="text1"/>
                <w:sz w:val="16"/>
                <w:szCs w:val="16"/>
              </w:rPr>
              <w:t>Përgatitja periodike e një buletini informues mbi zhvillimet kryesore makroekonomike në vend për investitorët</w:t>
            </w:r>
            <w:r w:rsidR="00BD290D">
              <w:rPr>
                <w:rFonts w:ascii="Garamond" w:hAnsi="Garamond"/>
                <w:color w:val="000000" w:themeColor="text1"/>
                <w:sz w:val="16"/>
                <w:szCs w:val="16"/>
              </w:rPr>
              <w:t>.</w:t>
            </w:r>
          </w:p>
        </w:tc>
        <w:tc>
          <w:tcPr>
            <w:tcW w:w="324" w:type="pct"/>
            <w:vAlign w:val="center"/>
          </w:tcPr>
          <w:p w14:paraId="6E5E4329"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T3 2024</w:t>
            </w:r>
          </w:p>
        </w:tc>
        <w:tc>
          <w:tcPr>
            <w:tcW w:w="420" w:type="pct"/>
            <w:vAlign w:val="center"/>
          </w:tcPr>
          <w:p w14:paraId="31436DC9" w14:textId="77777777" w:rsidR="00C135D2" w:rsidRPr="004A47DC" w:rsidRDefault="00C135D2" w:rsidP="00D571AD">
            <w:pPr>
              <w:jc w:val="both"/>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06" w:type="pct"/>
            <w:vMerge/>
          </w:tcPr>
          <w:p w14:paraId="02D79576" w14:textId="77777777" w:rsidR="00C135D2" w:rsidRPr="004A47DC" w:rsidRDefault="00C135D2" w:rsidP="00D571AD">
            <w:pPr>
              <w:jc w:val="both"/>
              <w:rPr>
                <w:rFonts w:ascii="Garamond" w:hAnsi="Garamond"/>
                <w:b/>
                <w:bCs/>
                <w:color w:val="000000" w:themeColor="text1"/>
                <w:sz w:val="16"/>
                <w:szCs w:val="16"/>
              </w:rPr>
            </w:pPr>
          </w:p>
        </w:tc>
      </w:tr>
    </w:tbl>
    <w:p w14:paraId="041D595E" w14:textId="77777777" w:rsidR="00C135D2" w:rsidRPr="004A47DC" w:rsidRDefault="00C135D2" w:rsidP="00C135D2">
      <w:pPr>
        <w:rPr>
          <w:rFonts w:ascii="Garamond" w:hAnsi="Garamond"/>
          <w:color w:val="000000" w:themeColor="text1"/>
        </w:rPr>
      </w:pPr>
    </w:p>
    <w:p w14:paraId="74FA15A1" w14:textId="77777777" w:rsidR="00C135D2" w:rsidRPr="004A47DC" w:rsidRDefault="00C135D2" w:rsidP="00C135D2">
      <w:pPr>
        <w:jc w:val="both"/>
        <w:rPr>
          <w:rFonts w:ascii="Garamond" w:hAnsi="Garamond"/>
          <w:b/>
          <w:bCs/>
          <w:color w:val="000000" w:themeColor="text1"/>
        </w:rPr>
      </w:pPr>
      <w:r w:rsidRPr="004A47DC">
        <w:rPr>
          <w:rFonts w:ascii="Garamond" w:hAnsi="Garamond"/>
          <w:b/>
          <w:bCs/>
          <w:color w:val="000000" w:themeColor="text1"/>
        </w:rPr>
        <w:t>Treguesit e performancës dhe vlerat e synuara</w:t>
      </w:r>
    </w:p>
    <w:tbl>
      <w:tblPr>
        <w:tblStyle w:val="TableGrid"/>
        <w:tblW w:w="9017" w:type="dxa"/>
        <w:tblLayout w:type="fixed"/>
        <w:tblCellMar>
          <w:top w:w="28" w:type="dxa"/>
          <w:left w:w="57" w:type="dxa"/>
          <w:bottom w:w="28" w:type="dxa"/>
          <w:right w:w="57" w:type="dxa"/>
        </w:tblCellMar>
        <w:tblLook w:val="04A0" w:firstRow="1" w:lastRow="0" w:firstColumn="1" w:lastColumn="0" w:noHBand="0" w:noVBand="1"/>
      </w:tblPr>
      <w:tblGrid>
        <w:gridCol w:w="3114"/>
        <w:gridCol w:w="1180"/>
        <w:gridCol w:w="1181"/>
        <w:gridCol w:w="1180"/>
        <w:gridCol w:w="1181"/>
        <w:gridCol w:w="1181"/>
      </w:tblGrid>
      <w:tr w:rsidR="00C135D2" w:rsidRPr="004A47DC" w14:paraId="28018ED4" w14:textId="77777777" w:rsidTr="00573F94">
        <w:trPr>
          <w:cantSplit/>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91CC151" w14:textId="0486743F"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Treguesi</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F3115C5"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Vlera bazë (2022)</w:t>
            </w:r>
          </w:p>
        </w:tc>
        <w:tc>
          <w:tcPr>
            <w:tcW w:w="4723"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391CFC23"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Vlera e synuar</w:t>
            </w:r>
          </w:p>
        </w:tc>
      </w:tr>
      <w:tr w:rsidR="00C135D2" w:rsidRPr="004A47DC" w14:paraId="0F5F0540" w14:textId="77777777" w:rsidTr="00573F94">
        <w:trPr>
          <w:cantSplit/>
          <w:tblHead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ED112C3" w14:textId="77777777" w:rsidR="00C135D2" w:rsidRPr="004A47DC" w:rsidRDefault="00C135D2" w:rsidP="00573F94">
            <w:pPr>
              <w:jc w:val="center"/>
              <w:rPr>
                <w:rFonts w:ascii="Garamond" w:hAnsi="Garamond"/>
                <w:b/>
                <w:bCs/>
                <w:color w:val="000000" w:themeColor="text1"/>
                <w:sz w:val="16"/>
                <w:szCs w:val="16"/>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5C9A214" w14:textId="77777777" w:rsidR="00C135D2" w:rsidRPr="004A47DC" w:rsidRDefault="00C135D2" w:rsidP="00573F94">
            <w:pPr>
              <w:jc w:val="center"/>
              <w:rPr>
                <w:rFonts w:ascii="Garamond" w:hAnsi="Garamond"/>
                <w:b/>
                <w:bCs/>
                <w:color w:val="000000" w:themeColor="text1"/>
                <w:sz w:val="16"/>
                <w:szCs w:val="16"/>
              </w:rPr>
            </w:pPr>
          </w:p>
        </w:tc>
        <w:tc>
          <w:tcPr>
            <w:tcW w:w="11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5B8792"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2023</w:t>
            </w:r>
          </w:p>
        </w:tc>
        <w:tc>
          <w:tcPr>
            <w:tcW w:w="118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6CCF9F"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2024</w:t>
            </w:r>
          </w:p>
        </w:tc>
        <w:tc>
          <w:tcPr>
            <w:tcW w:w="11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E65C9AB"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2025</w:t>
            </w:r>
          </w:p>
        </w:tc>
        <w:tc>
          <w:tcPr>
            <w:tcW w:w="11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F6AD31" w14:textId="77777777" w:rsidR="00C135D2" w:rsidRPr="004A47DC" w:rsidRDefault="00C135D2" w:rsidP="00573F94">
            <w:pPr>
              <w:jc w:val="center"/>
              <w:rPr>
                <w:rFonts w:ascii="Garamond" w:hAnsi="Garamond"/>
                <w:b/>
                <w:bCs/>
                <w:color w:val="000000" w:themeColor="text1"/>
                <w:sz w:val="16"/>
                <w:szCs w:val="16"/>
              </w:rPr>
            </w:pPr>
            <w:r w:rsidRPr="004A47DC">
              <w:rPr>
                <w:rFonts w:ascii="Garamond" w:hAnsi="Garamond"/>
                <w:b/>
                <w:bCs/>
                <w:color w:val="000000" w:themeColor="text1"/>
                <w:sz w:val="16"/>
                <w:szCs w:val="16"/>
              </w:rPr>
              <w:t>2026</w:t>
            </w:r>
          </w:p>
        </w:tc>
      </w:tr>
      <w:tr w:rsidR="00C135D2" w:rsidRPr="004A47DC" w14:paraId="01FA8467" w14:textId="77777777" w:rsidTr="00D571AD">
        <w:tc>
          <w:tcPr>
            <w:tcW w:w="3114" w:type="dxa"/>
            <w:tcBorders>
              <w:top w:val="single" w:sz="4" w:space="0" w:color="auto"/>
              <w:left w:val="single" w:sz="4" w:space="0" w:color="auto"/>
              <w:bottom w:val="single" w:sz="4" w:space="0" w:color="auto"/>
              <w:right w:val="single" w:sz="4" w:space="0" w:color="auto"/>
            </w:tcBorders>
            <w:vAlign w:val="center"/>
          </w:tcPr>
          <w:p w14:paraId="4B591090" w14:textId="6F573365" w:rsidR="00C135D2" w:rsidRPr="004A47DC" w:rsidRDefault="006874F6" w:rsidP="006874F6">
            <w:pPr>
              <w:pStyle w:val="TEKSTIII"/>
              <w:ind w:firstLine="0"/>
              <w:rPr>
                <w:color w:val="000000" w:themeColor="text1"/>
                <w:sz w:val="16"/>
                <w:szCs w:val="16"/>
              </w:rPr>
            </w:pPr>
            <w:r w:rsidRPr="004A47DC">
              <w:rPr>
                <w:color w:val="000000" w:themeColor="text1"/>
                <w:sz w:val="16"/>
                <w:szCs w:val="16"/>
              </w:rPr>
              <w:t xml:space="preserve">1. </w:t>
            </w:r>
            <w:r w:rsidR="00C135D2" w:rsidRPr="004A47DC">
              <w:rPr>
                <w:color w:val="000000" w:themeColor="text1"/>
                <w:sz w:val="16"/>
                <w:szCs w:val="16"/>
              </w:rPr>
              <w:t xml:space="preserve">Përfundimi i asistencës teknike për </w:t>
            </w:r>
            <w:r w:rsidR="002F5ED0" w:rsidRPr="004A47DC">
              <w:rPr>
                <w:color w:val="000000" w:themeColor="text1"/>
                <w:sz w:val="16"/>
                <w:szCs w:val="16"/>
              </w:rPr>
              <w:t>analizën e qëndrueshmërisë së borxhit</w:t>
            </w:r>
          </w:p>
          <w:p w14:paraId="32DD3383" w14:textId="77777777" w:rsidR="00C135D2" w:rsidRPr="004A47DC" w:rsidRDefault="00C135D2" w:rsidP="006874F6">
            <w:pPr>
              <w:pStyle w:val="TEKSTIII"/>
              <w:ind w:firstLine="0"/>
              <w:rPr>
                <w:color w:val="000000" w:themeColor="text1"/>
                <w:sz w:val="16"/>
                <w:szCs w:val="16"/>
              </w:rPr>
            </w:pPr>
          </w:p>
        </w:tc>
        <w:tc>
          <w:tcPr>
            <w:tcW w:w="1180" w:type="dxa"/>
            <w:tcBorders>
              <w:top w:val="single" w:sz="4" w:space="0" w:color="auto"/>
              <w:left w:val="single" w:sz="4" w:space="0" w:color="auto"/>
              <w:bottom w:val="single" w:sz="4" w:space="0" w:color="auto"/>
              <w:right w:val="single" w:sz="4" w:space="0" w:color="auto"/>
            </w:tcBorders>
            <w:vAlign w:val="center"/>
          </w:tcPr>
          <w:p w14:paraId="6B0E0234"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w:t>
            </w:r>
          </w:p>
        </w:tc>
        <w:tc>
          <w:tcPr>
            <w:tcW w:w="1181" w:type="dxa"/>
            <w:tcBorders>
              <w:top w:val="single" w:sz="4" w:space="0" w:color="auto"/>
              <w:left w:val="single" w:sz="4" w:space="0" w:color="auto"/>
              <w:bottom w:val="single" w:sz="4" w:space="0" w:color="auto"/>
              <w:right w:val="single" w:sz="4" w:space="0" w:color="auto"/>
            </w:tcBorders>
            <w:vAlign w:val="center"/>
          </w:tcPr>
          <w:p w14:paraId="13776806"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w:t>
            </w:r>
          </w:p>
        </w:tc>
        <w:tc>
          <w:tcPr>
            <w:tcW w:w="1180" w:type="dxa"/>
            <w:tcBorders>
              <w:top w:val="single" w:sz="4" w:space="0" w:color="auto"/>
              <w:left w:val="single" w:sz="4" w:space="0" w:color="auto"/>
              <w:bottom w:val="single" w:sz="4" w:space="0" w:color="auto"/>
              <w:right w:val="single" w:sz="4" w:space="0" w:color="auto"/>
            </w:tcBorders>
            <w:vAlign w:val="center"/>
          </w:tcPr>
          <w:p w14:paraId="66DE6DA4" w14:textId="366C25EC"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 xml:space="preserve">Kërkesa për </w:t>
            </w:r>
            <w:r w:rsidR="00573F94" w:rsidRPr="004A47DC">
              <w:rPr>
                <w:rFonts w:ascii="Garamond" w:hAnsi="Garamond"/>
                <w:color w:val="000000" w:themeColor="text1"/>
                <w:sz w:val="16"/>
                <w:szCs w:val="16"/>
              </w:rPr>
              <w:t>asistencë teknik</w:t>
            </w:r>
            <w:r w:rsidRPr="004A47DC">
              <w:rPr>
                <w:rFonts w:ascii="Garamond" w:hAnsi="Garamond"/>
                <w:color w:val="000000" w:themeColor="text1"/>
                <w:sz w:val="16"/>
                <w:szCs w:val="16"/>
              </w:rPr>
              <w:t>e</w:t>
            </w:r>
          </w:p>
        </w:tc>
        <w:tc>
          <w:tcPr>
            <w:tcW w:w="1181" w:type="dxa"/>
            <w:tcBorders>
              <w:top w:val="single" w:sz="4" w:space="0" w:color="auto"/>
              <w:left w:val="single" w:sz="4" w:space="0" w:color="auto"/>
              <w:bottom w:val="single" w:sz="4" w:space="0" w:color="auto"/>
              <w:right w:val="single" w:sz="4" w:space="0" w:color="auto"/>
            </w:tcBorders>
            <w:vAlign w:val="center"/>
          </w:tcPr>
          <w:p w14:paraId="7E212702"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 xml:space="preserve">Vazhdimi i asistencës teknike </w:t>
            </w:r>
          </w:p>
        </w:tc>
        <w:tc>
          <w:tcPr>
            <w:tcW w:w="1181" w:type="dxa"/>
            <w:tcBorders>
              <w:top w:val="single" w:sz="4" w:space="0" w:color="auto"/>
              <w:left w:val="single" w:sz="4" w:space="0" w:color="auto"/>
              <w:bottom w:val="single" w:sz="4" w:space="0" w:color="auto"/>
              <w:right w:val="single" w:sz="4" w:space="0" w:color="auto"/>
            </w:tcBorders>
            <w:vAlign w:val="center"/>
          </w:tcPr>
          <w:p w14:paraId="58E27049"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 xml:space="preserve">Asistenca teknike e përfunduar </w:t>
            </w:r>
          </w:p>
        </w:tc>
      </w:tr>
      <w:tr w:rsidR="00C135D2" w:rsidRPr="004A47DC" w14:paraId="69D9DC36" w14:textId="77777777" w:rsidTr="00D571AD">
        <w:tc>
          <w:tcPr>
            <w:tcW w:w="3114" w:type="dxa"/>
            <w:tcBorders>
              <w:top w:val="single" w:sz="4" w:space="0" w:color="auto"/>
              <w:left w:val="single" w:sz="4" w:space="0" w:color="auto"/>
              <w:bottom w:val="single" w:sz="4" w:space="0" w:color="auto"/>
              <w:right w:val="single" w:sz="4" w:space="0" w:color="auto"/>
            </w:tcBorders>
            <w:vAlign w:val="center"/>
          </w:tcPr>
          <w:p w14:paraId="02B61BC5" w14:textId="49DB7F87" w:rsidR="00C135D2" w:rsidRPr="004A47DC" w:rsidRDefault="006874F6" w:rsidP="006874F6">
            <w:pPr>
              <w:pStyle w:val="TEKSTIII"/>
              <w:ind w:firstLine="0"/>
              <w:rPr>
                <w:color w:val="000000" w:themeColor="text1"/>
                <w:sz w:val="16"/>
                <w:szCs w:val="16"/>
              </w:rPr>
            </w:pPr>
            <w:r w:rsidRPr="004A47DC">
              <w:rPr>
                <w:color w:val="000000" w:themeColor="text1"/>
                <w:sz w:val="16"/>
                <w:szCs w:val="16"/>
              </w:rPr>
              <w:t xml:space="preserve">2. </w:t>
            </w:r>
            <w:r w:rsidR="00C135D2" w:rsidRPr="004A47DC">
              <w:rPr>
                <w:color w:val="000000" w:themeColor="text1"/>
                <w:sz w:val="16"/>
                <w:szCs w:val="16"/>
              </w:rPr>
              <w:t xml:space="preserve">Krijimi i kuadrit të </w:t>
            </w:r>
            <w:r w:rsidR="002F5ED0" w:rsidRPr="004A47DC">
              <w:rPr>
                <w:color w:val="000000" w:themeColor="text1"/>
                <w:sz w:val="16"/>
                <w:szCs w:val="16"/>
              </w:rPr>
              <w:t>analizës së qëndrueshmërisë së borxhit</w:t>
            </w:r>
          </w:p>
        </w:tc>
        <w:tc>
          <w:tcPr>
            <w:tcW w:w="1180" w:type="dxa"/>
            <w:tcBorders>
              <w:top w:val="single" w:sz="4" w:space="0" w:color="auto"/>
              <w:left w:val="single" w:sz="4" w:space="0" w:color="auto"/>
              <w:bottom w:val="single" w:sz="4" w:space="0" w:color="auto"/>
              <w:right w:val="single" w:sz="4" w:space="0" w:color="auto"/>
            </w:tcBorders>
            <w:vAlign w:val="center"/>
          </w:tcPr>
          <w:p w14:paraId="1F53F876"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w:t>
            </w:r>
          </w:p>
        </w:tc>
        <w:tc>
          <w:tcPr>
            <w:tcW w:w="1181" w:type="dxa"/>
            <w:tcBorders>
              <w:top w:val="single" w:sz="4" w:space="0" w:color="auto"/>
              <w:left w:val="single" w:sz="4" w:space="0" w:color="auto"/>
              <w:bottom w:val="single" w:sz="4" w:space="0" w:color="auto"/>
              <w:right w:val="single" w:sz="4" w:space="0" w:color="auto"/>
            </w:tcBorders>
            <w:vAlign w:val="center"/>
          </w:tcPr>
          <w:p w14:paraId="736F9190"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w:t>
            </w:r>
          </w:p>
        </w:tc>
        <w:tc>
          <w:tcPr>
            <w:tcW w:w="1180" w:type="dxa"/>
            <w:tcBorders>
              <w:top w:val="single" w:sz="4" w:space="0" w:color="auto"/>
              <w:left w:val="single" w:sz="4" w:space="0" w:color="auto"/>
              <w:bottom w:val="single" w:sz="4" w:space="0" w:color="auto"/>
              <w:right w:val="single" w:sz="4" w:space="0" w:color="auto"/>
            </w:tcBorders>
            <w:vAlign w:val="center"/>
          </w:tcPr>
          <w:p w14:paraId="1A303D8C"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w:t>
            </w:r>
          </w:p>
        </w:tc>
        <w:tc>
          <w:tcPr>
            <w:tcW w:w="1181" w:type="dxa"/>
            <w:tcBorders>
              <w:top w:val="single" w:sz="4" w:space="0" w:color="auto"/>
              <w:left w:val="single" w:sz="4" w:space="0" w:color="auto"/>
              <w:bottom w:val="single" w:sz="4" w:space="0" w:color="auto"/>
              <w:right w:val="single" w:sz="4" w:space="0" w:color="auto"/>
            </w:tcBorders>
            <w:vAlign w:val="center"/>
          </w:tcPr>
          <w:p w14:paraId="47B5DDA1" w14:textId="20C1ED81"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 xml:space="preserve">Prezantimi i një kuadri bazë të </w:t>
            </w:r>
            <w:r w:rsidR="00193527" w:rsidRPr="004A47DC">
              <w:rPr>
                <w:rFonts w:ascii="Garamond" w:hAnsi="Garamond"/>
                <w:color w:val="000000" w:themeColor="text1"/>
                <w:sz w:val="16"/>
                <w:szCs w:val="16"/>
              </w:rPr>
              <w:t xml:space="preserve">Analizës </w:t>
            </w:r>
            <w:r w:rsidR="00573F94" w:rsidRPr="004A47DC">
              <w:rPr>
                <w:rFonts w:ascii="Garamond" w:hAnsi="Garamond"/>
                <w:color w:val="000000" w:themeColor="text1"/>
                <w:sz w:val="16"/>
                <w:szCs w:val="16"/>
              </w:rPr>
              <w:t xml:space="preserve">së </w:t>
            </w:r>
            <w:r w:rsidR="00193527" w:rsidRPr="004A47DC">
              <w:rPr>
                <w:rFonts w:ascii="Garamond" w:hAnsi="Garamond"/>
                <w:color w:val="000000" w:themeColor="text1"/>
                <w:sz w:val="16"/>
                <w:szCs w:val="16"/>
              </w:rPr>
              <w:t xml:space="preserve">Qëndrueshmërisë </w:t>
            </w:r>
            <w:r w:rsidR="00573F94" w:rsidRPr="004A47DC">
              <w:rPr>
                <w:rFonts w:ascii="Garamond" w:hAnsi="Garamond"/>
                <w:color w:val="000000" w:themeColor="text1"/>
                <w:sz w:val="16"/>
                <w:szCs w:val="16"/>
              </w:rPr>
              <w:t xml:space="preserve">së </w:t>
            </w:r>
            <w:r w:rsidR="00193527" w:rsidRPr="004A47DC">
              <w:rPr>
                <w:rFonts w:ascii="Garamond" w:hAnsi="Garamond"/>
                <w:color w:val="000000" w:themeColor="text1"/>
                <w:sz w:val="16"/>
                <w:szCs w:val="16"/>
              </w:rPr>
              <w:t xml:space="preserve">Borxhit </w:t>
            </w:r>
          </w:p>
        </w:tc>
        <w:tc>
          <w:tcPr>
            <w:tcW w:w="1181" w:type="dxa"/>
            <w:tcBorders>
              <w:top w:val="single" w:sz="4" w:space="0" w:color="auto"/>
              <w:left w:val="single" w:sz="4" w:space="0" w:color="auto"/>
              <w:bottom w:val="single" w:sz="4" w:space="0" w:color="auto"/>
              <w:right w:val="single" w:sz="4" w:space="0" w:color="auto"/>
            </w:tcBorders>
            <w:vAlign w:val="center"/>
          </w:tcPr>
          <w:p w14:paraId="2704450D" w14:textId="5758D709"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 xml:space="preserve">U krijua </w:t>
            </w:r>
            <w:r w:rsidR="00193527" w:rsidRPr="004A47DC">
              <w:rPr>
                <w:rFonts w:ascii="Garamond" w:hAnsi="Garamond"/>
                <w:color w:val="000000" w:themeColor="text1"/>
                <w:sz w:val="16"/>
                <w:szCs w:val="16"/>
              </w:rPr>
              <w:t xml:space="preserve">Analiza </w:t>
            </w:r>
            <w:r w:rsidR="00573F94" w:rsidRPr="004A47DC">
              <w:rPr>
                <w:rFonts w:ascii="Garamond" w:hAnsi="Garamond"/>
                <w:color w:val="000000" w:themeColor="text1"/>
                <w:sz w:val="16"/>
                <w:szCs w:val="16"/>
              </w:rPr>
              <w:t xml:space="preserve">e </w:t>
            </w:r>
            <w:r w:rsidR="00193527" w:rsidRPr="004A47DC">
              <w:rPr>
                <w:rFonts w:ascii="Garamond" w:hAnsi="Garamond"/>
                <w:color w:val="000000" w:themeColor="text1"/>
                <w:sz w:val="16"/>
                <w:szCs w:val="16"/>
              </w:rPr>
              <w:t xml:space="preserve">Qëndrueshmërisë </w:t>
            </w:r>
            <w:r w:rsidR="00573F94" w:rsidRPr="004A47DC">
              <w:rPr>
                <w:rFonts w:ascii="Garamond" w:hAnsi="Garamond"/>
                <w:color w:val="000000" w:themeColor="text1"/>
                <w:sz w:val="16"/>
                <w:szCs w:val="16"/>
              </w:rPr>
              <w:t xml:space="preserve">së </w:t>
            </w:r>
            <w:r w:rsidR="00193527" w:rsidRPr="004A47DC">
              <w:rPr>
                <w:rFonts w:ascii="Garamond" w:hAnsi="Garamond"/>
                <w:color w:val="000000" w:themeColor="text1"/>
                <w:sz w:val="16"/>
                <w:szCs w:val="16"/>
              </w:rPr>
              <w:t xml:space="preserve">Borxhit </w:t>
            </w:r>
          </w:p>
        </w:tc>
      </w:tr>
    </w:tbl>
    <w:p w14:paraId="65E1F14F" w14:textId="77777777" w:rsidR="00C135D2" w:rsidRPr="004A47DC" w:rsidRDefault="00C135D2" w:rsidP="00C135D2">
      <w:pPr>
        <w:rPr>
          <w:rFonts w:ascii="Garamond" w:hAnsi="Garamond"/>
          <w:color w:val="000000" w:themeColor="text1"/>
        </w:rPr>
      </w:pPr>
    </w:p>
    <w:p w14:paraId="3ED96BC3" w14:textId="0EF1DE03" w:rsidR="00C135D2" w:rsidRPr="004A47DC" w:rsidRDefault="006874F6" w:rsidP="00D571AD">
      <w:pPr>
        <w:pStyle w:val="TEKSTIII"/>
        <w:rPr>
          <w:rStyle w:val="IntenseReference"/>
          <w:rFonts w:ascii="Garamond" w:eastAsia="Calibri" w:hAnsi="Garamond" w:cs="Times New Roman"/>
          <w:b/>
          <w:i w:val="0"/>
          <w:color w:val="000000" w:themeColor="text1"/>
          <w:sz w:val="24"/>
          <w:szCs w:val="24"/>
        </w:rPr>
      </w:pPr>
      <w:bookmarkStart w:id="4" w:name="_Toc151048284"/>
      <w:bookmarkStart w:id="5" w:name="_Toc168918674"/>
      <w:r w:rsidRPr="004A47DC">
        <w:rPr>
          <w:rStyle w:val="IntenseReference"/>
          <w:rFonts w:ascii="Garamond" w:hAnsi="Garamond"/>
          <w:b/>
          <w:i w:val="0"/>
          <w:color w:val="000000" w:themeColor="text1"/>
          <w:sz w:val="22"/>
          <w:szCs w:val="22"/>
        </w:rPr>
        <w:t>2</w:t>
      </w:r>
      <w:r w:rsidRPr="004A47DC">
        <w:rPr>
          <w:rStyle w:val="IntenseReference"/>
          <w:rFonts w:ascii="Garamond" w:eastAsia="Calibri" w:hAnsi="Garamond" w:cs="Times New Roman"/>
          <w:b/>
          <w:i w:val="0"/>
          <w:color w:val="000000" w:themeColor="text1"/>
          <w:sz w:val="24"/>
          <w:szCs w:val="24"/>
        </w:rPr>
        <w:t xml:space="preserve">.4 </w:t>
      </w:r>
      <w:r w:rsidR="00C135D2" w:rsidRPr="004A47DC">
        <w:rPr>
          <w:rStyle w:val="IntenseReference"/>
          <w:rFonts w:ascii="Garamond" w:eastAsia="Calibri" w:hAnsi="Garamond" w:cs="Times New Roman"/>
          <w:b/>
          <w:i w:val="0"/>
          <w:color w:val="000000" w:themeColor="text1"/>
          <w:sz w:val="24"/>
          <w:szCs w:val="24"/>
        </w:rPr>
        <w:t>Komponenti 1.3</w:t>
      </w:r>
      <w:r w:rsidR="00573F94" w:rsidRPr="004A47DC">
        <w:rPr>
          <w:rStyle w:val="IntenseReference"/>
          <w:rFonts w:ascii="Garamond" w:eastAsia="Calibri" w:hAnsi="Garamond" w:cs="Times New Roman"/>
          <w:b/>
          <w:i w:val="0"/>
          <w:color w:val="000000" w:themeColor="text1"/>
          <w:sz w:val="24"/>
          <w:szCs w:val="24"/>
        </w:rPr>
        <w:t>:</w:t>
      </w:r>
      <w:r w:rsidR="00C135D2" w:rsidRPr="004A47DC">
        <w:rPr>
          <w:rStyle w:val="IntenseReference"/>
          <w:rFonts w:ascii="Garamond" w:eastAsia="Calibri" w:hAnsi="Garamond" w:cs="Times New Roman"/>
          <w:b/>
          <w:i w:val="0"/>
          <w:color w:val="000000" w:themeColor="text1"/>
          <w:sz w:val="24"/>
          <w:szCs w:val="24"/>
        </w:rPr>
        <w:t xml:space="preserve"> </w:t>
      </w:r>
      <w:bookmarkEnd w:id="4"/>
      <w:r w:rsidR="00C135D2" w:rsidRPr="004A47DC">
        <w:rPr>
          <w:rStyle w:val="IntenseReference"/>
          <w:rFonts w:ascii="Garamond" w:eastAsia="Calibri" w:hAnsi="Garamond" w:cs="Times New Roman"/>
          <w:b/>
          <w:i w:val="0"/>
          <w:color w:val="000000" w:themeColor="text1"/>
          <w:sz w:val="24"/>
          <w:szCs w:val="24"/>
        </w:rPr>
        <w:t xml:space="preserve">Menaxhimi i </w:t>
      </w:r>
      <w:r w:rsidR="00573F94" w:rsidRPr="004A47DC">
        <w:rPr>
          <w:rStyle w:val="IntenseReference"/>
          <w:rFonts w:ascii="Garamond" w:eastAsia="Calibri" w:hAnsi="Garamond" w:cs="Times New Roman"/>
          <w:b/>
          <w:i w:val="0"/>
          <w:color w:val="000000" w:themeColor="text1"/>
          <w:sz w:val="24"/>
          <w:szCs w:val="24"/>
        </w:rPr>
        <w:t>risqeve fiskale</w:t>
      </w:r>
      <w:bookmarkEnd w:id="5"/>
    </w:p>
    <w:p w14:paraId="6B731F00" w14:textId="77777777" w:rsidR="00C135D2" w:rsidRPr="004A47DC" w:rsidRDefault="00C135D2" w:rsidP="00D571AD">
      <w:pPr>
        <w:pStyle w:val="TEKSTIII"/>
        <w:rPr>
          <w:b/>
          <w:color w:val="000000" w:themeColor="text1"/>
        </w:rPr>
      </w:pPr>
      <w:r w:rsidRPr="004A47DC">
        <w:rPr>
          <w:b/>
          <w:color w:val="000000" w:themeColor="text1"/>
        </w:rPr>
        <w:t>Objektivi</w:t>
      </w:r>
    </w:p>
    <w:p w14:paraId="3A792887" w14:textId="4B8B4FC3" w:rsidR="00C135D2" w:rsidRPr="004A47DC" w:rsidRDefault="00C135D2" w:rsidP="00D571AD">
      <w:pPr>
        <w:pStyle w:val="TEKSTIII"/>
        <w:rPr>
          <w:color w:val="000000" w:themeColor="text1"/>
        </w:rPr>
      </w:pPr>
      <w:r w:rsidRPr="004A47DC">
        <w:rPr>
          <w:color w:val="000000" w:themeColor="text1"/>
        </w:rPr>
        <w:t xml:space="preserve">Synimi për vitin 2030 është që të ketë një sistem gjithëpërfshirës të </w:t>
      </w:r>
      <w:r w:rsidR="00573F94" w:rsidRPr="004A47DC">
        <w:rPr>
          <w:color w:val="000000" w:themeColor="text1"/>
        </w:rPr>
        <w:t>menaxhimit të risqeve fiskale dhe raportim që adreson detyrimet kryesore përkatëse kontigjente dh</w:t>
      </w:r>
      <w:r w:rsidRPr="004A47DC">
        <w:rPr>
          <w:color w:val="000000" w:themeColor="text1"/>
        </w:rPr>
        <w:t>e risqet e tjera fiskale.</w:t>
      </w:r>
    </w:p>
    <w:p w14:paraId="138B5380" w14:textId="77777777" w:rsidR="00C135D2" w:rsidRPr="004A47DC" w:rsidRDefault="00C135D2" w:rsidP="00D571AD">
      <w:pPr>
        <w:pStyle w:val="TEKSTIII"/>
        <w:rPr>
          <w:b/>
          <w:color w:val="000000" w:themeColor="text1"/>
        </w:rPr>
      </w:pPr>
      <w:r w:rsidRPr="004A47DC">
        <w:rPr>
          <w:b/>
          <w:color w:val="000000" w:themeColor="text1"/>
        </w:rPr>
        <w:t>Konteksti</w:t>
      </w:r>
    </w:p>
    <w:p w14:paraId="630F0D52" w14:textId="20816C9D" w:rsidR="00C135D2" w:rsidRPr="004A47DC" w:rsidRDefault="00C135D2" w:rsidP="00D571AD">
      <w:pPr>
        <w:pStyle w:val="TEKSTIII"/>
        <w:rPr>
          <w:rFonts w:cs="Arial"/>
          <w:color w:val="000000" w:themeColor="text1"/>
          <w:sz w:val="18"/>
          <w:szCs w:val="18"/>
        </w:rPr>
      </w:pPr>
      <w:r w:rsidRPr="004A47DC">
        <w:rPr>
          <w:color w:val="000000" w:themeColor="text1"/>
        </w:rPr>
        <w:t>Procesi i menaxhimit të risqeve fiskale në Shqipëri është përmirësuar në mënyrë të vazhdueshme që nga viti 2016, me krijimin e Sektorit të Risqeve Fiskale si pjesë e Drejtorisë së Menaxhimit të Buxhetit/Drejtorisë së Përgjithshme të Buxhetit. Sektori i Risqeve Fiskale është fokusuar në monitorimin e detyrimeve të prapambetura, monitorimin dhe raportimin e pagesave faktike dhe të planifikuara për kontratat e koncesioneve/PPP me mbështetje buxhetore, monitorimin e detyrimeve kontigjente për vendimet gjyqësore (</w:t>
      </w:r>
      <w:r w:rsidR="00BD290D">
        <w:rPr>
          <w:color w:val="000000" w:themeColor="text1"/>
        </w:rPr>
        <w:t>v</w:t>
      </w:r>
      <w:r w:rsidRPr="004A47DC">
        <w:rPr>
          <w:color w:val="000000" w:themeColor="text1"/>
        </w:rPr>
        <w:t>endimet e Arbitrazhit dhe Gjykatës Evropiane të të Drejtave të Njeriut), vlerësimin e risqeve që vijnë nga ndërmarrjet shtetërore. Gjatë viteve të fundit, janë bërë disa përmirësime në drejtim të forcimit të monitorimit të ndërmarrjeve shtetërore (NSH), nëpërmjet zgjerimit të monitorimit të NSH-ve</w:t>
      </w:r>
      <w:r w:rsidR="00BD290D">
        <w:rPr>
          <w:color w:val="000000" w:themeColor="text1"/>
        </w:rPr>
        <w:t>,</w:t>
      </w:r>
      <w:r w:rsidRPr="004A47DC">
        <w:rPr>
          <w:color w:val="000000" w:themeColor="text1"/>
        </w:rPr>
        <w:t xml:space="preserve"> duke përfshirë dhe ndërmarrjet e </w:t>
      </w:r>
      <w:r w:rsidR="00BD290D" w:rsidRPr="004A47DC">
        <w:rPr>
          <w:color w:val="000000" w:themeColor="text1"/>
        </w:rPr>
        <w:t>shoqërive të ujësjellës</w:t>
      </w:r>
      <w:r w:rsidR="00BD290D">
        <w:rPr>
          <w:color w:val="000000" w:themeColor="text1"/>
        </w:rPr>
        <w:t>-</w:t>
      </w:r>
      <w:r w:rsidR="00BD290D" w:rsidRPr="004A47DC">
        <w:rPr>
          <w:color w:val="000000" w:themeColor="text1"/>
        </w:rPr>
        <w:t>kanalizime</w:t>
      </w:r>
      <w:r w:rsidRPr="004A47DC">
        <w:rPr>
          <w:color w:val="000000" w:themeColor="text1"/>
        </w:rPr>
        <w:t>, dhe ndërmarrje të tjera shtetërore të cilat mund të kenë impakt buxhetor. Në këtë mënyrë</w:t>
      </w:r>
      <w:r w:rsidR="00BD290D">
        <w:rPr>
          <w:color w:val="000000" w:themeColor="text1"/>
        </w:rPr>
        <w:t>,</w:t>
      </w:r>
      <w:r w:rsidRPr="004A47DC">
        <w:rPr>
          <w:color w:val="000000" w:themeColor="text1"/>
        </w:rPr>
        <w:t xml:space="preserve"> objektivi i MFP-së është përmbushur çdo vit. Për më tepër, me nënshkrimin e urdhrit të përbashkët të Ministrisë së Infrastrukturës dhe Energjisë (MIE) dhe MF-së </w:t>
      </w:r>
      <w:r w:rsidR="00573F94" w:rsidRPr="004A47DC">
        <w:rPr>
          <w:color w:val="000000" w:themeColor="text1"/>
        </w:rPr>
        <w:t>n</w:t>
      </w:r>
      <w:r w:rsidRPr="004A47DC">
        <w:rPr>
          <w:color w:val="000000" w:themeColor="text1"/>
        </w:rPr>
        <w:t>r. 304</w:t>
      </w:r>
      <w:r w:rsidR="00573F94" w:rsidRPr="004A47DC">
        <w:rPr>
          <w:color w:val="000000" w:themeColor="text1"/>
        </w:rPr>
        <w:t>,</w:t>
      </w:r>
      <w:r w:rsidRPr="004A47DC">
        <w:rPr>
          <w:color w:val="000000" w:themeColor="text1"/>
        </w:rPr>
        <w:t xml:space="preserve"> datë 17.12.2020</w:t>
      </w:r>
      <w:r w:rsidR="00573F94" w:rsidRPr="004A47DC">
        <w:rPr>
          <w:color w:val="000000" w:themeColor="text1"/>
        </w:rPr>
        <w:t>,</w:t>
      </w:r>
      <w:r w:rsidRPr="004A47DC">
        <w:rPr>
          <w:color w:val="000000" w:themeColor="text1"/>
        </w:rPr>
        <w:t xml:space="preserve"> </w:t>
      </w:r>
      <w:r w:rsidR="00E33A13" w:rsidRPr="004A47DC">
        <w:rPr>
          <w:color w:val="000000" w:themeColor="text1"/>
        </w:rPr>
        <w:t>“</w:t>
      </w:r>
      <w:r w:rsidRPr="004A47DC">
        <w:rPr>
          <w:color w:val="000000" w:themeColor="text1"/>
        </w:rPr>
        <w:t>Për miratimin e planit të veprimit për uljen e detyrimeve të prapambetura në sektorin e energjisë elektrike</w:t>
      </w:r>
      <w:r w:rsidR="00E33A13" w:rsidRPr="004A47DC">
        <w:rPr>
          <w:color w:val="000000" w:themeColor="text1"/>
        </w:rPr>
        <w:t>”</w:t>
      </w:r>
      <w:r w:rsidRPr="004A47DC">
        <w:rPr>
          <w:color w:val="000000" w:themeColor="text1"/>
        </w:rPr>
        <w:t xml:space="preserve"> dhe urdhrin e përbashkët të MIE-së dhe MF-së nr. 379</w:t>
      </w:r>
      <w:r w:rsidR="00573F94" w:rsidRPr="004A47DC">
        <w:rPr>
          <w:color w:val="000000" w:themeColor="text1"/>
        </w:rPr>
        <w:t>,</w:t>
      </w:r>
      <w:r w:rsidRPr="004A47DC">
        <w:rPr>
          <w:color w:val="000000" w:themeColor="text1"/>
        </w:rPr>
        <w:t xml:space="preserve"> datë 30.9.2021</w:t>
      </w:r>
      <w:r w:rsidR="00BD290D">
        <w:rPr>
          <w:color w:val="000000" w:themeColor="text1"/>
        </w:rPr>
        <w:t>,</w:t>
      </w:r>
      <w:r w:rsidRPr="004A47DC">
        <w:rPr>
          <w:color w:val="000000" w:themeColor="text1"/>
        </w:rPr>
        <w:t xml:space="preserve"> </w:t>
      </w:r>
      <w:r w:rsidR="00E33A13" w:rsidRPr="004A47DC">
        <w:rPr>
          <w:color w:val="000000" w:themeColor="text1"/>
        </w:rPr>
        <w:t>“</w:t>
      </w:r>
      <w:r w:rsidRPr="004A47DC">
        <w:rPr>
          <w:color w:val="000000" w:themeColor="text1"/>
        </w:rPr>
        <w:t>Për zbatimin e planit të masave për uljen e detyrimeve të prapambetura në sektorin e energjisë elektrike</w:t>
      </w:r>
      <w:r w:rsidR="00E33A13" w:rsidRPr="004A47DC">
        <w:rPr>
          <w:color w:val="000000" w:themeColor="text1"/>
        </w:rPr>
        <w:t>”</w:t>
      </w:r>
      <w:r w:rsidRPr="004A47DC">
        <w:rPr>
          <w:color w:val="000000" w:themeColor="text1"/>
        </w:rPr>
        <w:t>, Sektori i Risqeve Fiskale</w:t>
      </w:r>
      <w:r w:rsidR="00BD290D">
        <w:rPr>
          <w:color w:val="000000" w:themeColor="text1"/>
        </w:rPr>
        <w:t>,</w:t>
      </w:r>
      <w:r w:rsidRPr="004A47DC">
        <w:rPr>
          <w:color w:val="000000" w:themeColor="text1"/>
        </w:rPr>
        <w:t xml:space="preserve"> në baza mujore</w:t>
      </w:r>
      <w:r w:rsidR="00BD290D">
        <w:rPr>
          <w:color w:val="000000" w:themeColor="text1"/>
        </w:rPr>
        <w:t>,</w:t>
      </w:r>
      <w:r w:rsidRPr="004A47DC">
        <w:rPr>
          <w:color w:val="000000" w:themeColor="text1"/>
        </w:rPr>
        <w:t xml:space="preserve"> mbledh informacion lidhur detyrimet e ndërsjella që kanë ndërmarrjet shtetërore të sektorit të energjisë ndërmjet tyre dhe me entet e tjera shtetërore (</w:t>
      </w:r>
      <w:r w:rsidR="00BD290D">
        <w:rPr>
          <w:color w:val="000000" w:themeColor="text1"/>
        </w:rPr>
        <w:t>u</w:t>
      </w:r>
      <w:r w:rsidRPr="004A47DC">
        <w:rPr>
          <w:color w:val="000000" w:themeColor="text1"/>
        </w:rPr>
        <w:t>jësjellës-kanalizime, DPT etj.), modalitetet e të cilave përfshihen në udhëzimin plotësues vjetor të Ministrisë së Financave. Shtrirja e risqeve fiskale që po monitorohen dhe raportohen është rritur gradualisht dhe përfshin aktualisht risqet që lidhen me borxhin, zhvillimet makroekonomike, NSH-të, PPP-të dhe kontratat koncesionare, detyrimet e prapambetura, të ardhurat, pushtetin vendor, procedurat ligjore dhe çështjet gjyqësore. Parashikohet përmirësimi i cilësisë dhe zgjerimi i fushës së menaxhimit të riskut</w:t>
      </w:r>
      <w:r w:rsidRPr="004A47DC">
        <w:rPr>
          <w:rFonts w:cs="Arial"/>
          <w:color w:val="000000" w:themeColor="text1"/>
        </w:rPr>
        <w:t xml:space="preserve"> fiskal, për shembull duke përfshirë gradualisht në kuadrin e monitorimit risqet që lidhen me fatkeqësitë natyrore dhe ndryshimet klimatike. Krahas kapitujve të dedikuar në </w:t>
      </w:r>
      <w:r w:rsidR="00BD290D" w:rsidRPr="004A47DC">
        <w:rPr>
          <w:rFonts w:cs="Arial"/>
          <w:color w:val="000000" w:themeColor="text1"/>
        </w:rPr>
        <w:t>raportet buxhetore</w:t>
      </w:r>
      <w:r w:rsidR="00BD290D">
        <w:rPr>
          <w:rFonts w:cs="Arial"/>
          <w:color w:val="000000" w:themeColor="text1"/>
        </w:rPr>
        <w:t>,</w:t>
      </w:r>
      <w:r w:rsidRPr="004A47DC">
        <w:rPr>
          <w:rFonts w:cs="Arial"/>
          <w:color w:val="000000" w:themeColor="text1"/>
        </w:rPr>
        <w:t xml:space="preserve"> si: </w:t>
      </w:r>
      <w:r w:rsidR="00BD290D" w:rsidRPr="004A47DC">
        <w:rPr>
          <w:rFonts w:cs="Arial"/>
          <w:color w:val="000000" w:themeColor="text1"/>
        </w:rPr>
        <w:t xml:space="preserve">relacioni i projektbuxhetit </w:t>
      </w:r>
      <w:r w:rsidRPr="004A47DC">
        <w:rPr>
          <w:rFonts w:cs="Arial"/>
          <w:color w:val="000000" w:themeColor="text1"/>
        </w:rPr>
        <w:t xml:space="preserve">për vitin pasardhës, </w:t>
      </w:r>
      <w:r w:rsidR="00BD290D" w:rsidRPr="004A47DC">
        <w:rPr>
          <w:rFonts w:cs="Arial"/>
          <w:color w:val="000000" w:themeColor="text1"/>
        </w:rPr>
        <w:t>raporti i konsoliduar i buxhetit vjetor dhe raporti i mesvitit</w:t>
      </w:r>
      <w:r w:rsidRPr="004A47DC">
        <w:rPr>
          <w:rFonts w:cs="Arial"/>
          <w:color w:val="000000" w:themeColor="text1"/>
        </w:rPr>
        <w:t xml:space="preserve">, në fund të muajit </w:t>
      </w:r>
      <w:r w:rsidR="00BD290D">
        <w:rPr>
          <w:rFonts w:cs="Arial"/>
          <w:color w:val="000000" w:themeColor="text1"/>
        </w:rPr>
        <w:t>m</w:t>
      </w:r>
      <w:r w:rsidRPr="004A47DC">
        <w:rPr>
          <w:rFonts w:cs="Arial"/>
          <w:color w:val="000000" w:themeColor="text1"/>
        </w:rPr>
        <w:t xml:space="preserve">aj 2024 do të publikohet për herë të parë Deklarata e Risqeve Fiskale për vitin 2023, si një dokument i mirëfilltë dhe gjithëpërfshirës mbi vlerësimin dhe monitorimin e risqeve fiskale që karakterizojnë menaxhimin e financave publike (përfshirë risqet nga fatkeqësitë natyrore), në linjë me kriteret dhe rekomandimet e partnerëve ndërkombëtarë. Me qëllim përmirësimin e mëtejshëm të procesit të menaxhimit të risqeve fiskale, në strukturën e re organike të MF-së, miratuar në </w:t>
      </w:r>
      <w:r w:rsidR="00BD290D">
        <w:rPr>
          <w:rFonts w:cs="Arial"/>
          <w:color w:val="000000" w:themeColor="text1"/>
        </w:rPr>
        <w:t>s</w:t>
      </w:r>
      <w:r w:rsidRPr="004A47DC">
        <w:rPr>
          <w:rFonts w:cs="Arial"/>
          <w:color w:val="000000" w:themeColor="text1"/>
        </w:rPr>
        <w:t xml:space="preserve">hkurt 2024, është krijuar </w:t>
      </w:r>
      <w:r w:rsidR="00E33A13" w:rsidRPr="004A47DC">
        <w:rPr>
          <w:rFonts w:cs="Arial"/>
          <w:color w:val="000000" w:themeColor="text1"/>
        </w:rPr>
        <w:t>“</w:t>
      </w:r>
      <w:r w:rsidRPr="004A47DC">
        <w:rPr>
          <w:rFonts w:cs="Arial"/>
          <w:color w:val="000000" w:themeColor="text1"/>
        </w:rPr>
        <w:t>Drejtoria e Risqeve Fiskale (DRF)</w:t>
      </w:r>
      <w:r w:rsidR="00E33A13" w:rsidRPr="004A47DC">
        <w:rPr>
          <w:rFonts w:cs="Arial"/>
          <w:color w:val="000000" w:themeColor="text1"/>
        </w:rPr>
        <w:t>”</w:t>
      </w:r>
      <w:r w:rsidRPr="004A47DC">
        <w:rPr>
          <w:rFonts w:cs="Arial"/>
          <w:color w:val="000000" w:themeColor="text1"/>
        </w:rPr>
        <w:t>, e cila tashmë do të jetë lider në koordinimin, zhvillimin dhe shtyrjen përpara të punës në MF, në drejtim të menaxhimit të risqeve fiskale në tërësi, dhe Sektori i Risqeve Buxhetore (SRB) si pjesë e Drejtorisë së Menaxhimit të Buxhetit/Drejtorisë së Përgjithshme të Buxhetit, me fokus ndjekjen e performancës së zbatimit të buxhetit të shtetit, me qëllim monitorimin dhe raportimin e risqeve që shoqërojnë zbatimin e tij.</w:t>
      </w:r>
    </w:p>
    <w:p w14:paraId="46BD28D2" w14:textId="77777777" w:rsidR="00C135D2" w:rsidRPr="004A47DC" w:rsidRDefault="00C135D2" w:rsidP="00D571AD">
      <w:pPr>
        <w:pStyle w:val="TEKSTIII"/>
        <w:rPr>
          <w:b/>
          <w:color w:val="000000" w:themeColor="text1"/>
        </w:rPr>
      </w:pPr>
      <w:r w:rsidRPr="004A47DC">
        <w:rPr>
          <w:b/>
          <w:color w:val="000000" w:themeColor="text1"/>
        </w:rPr>
        <w:t>Prioritetet</w:t>
      </w:r>
    </w:p>
    <w:p w14:paraId="61D3E43E" w14:textId="141DDA61" w:rsidR="00C135D2" w:rsidRPr="004A47DC" w:rsidRDefault="00C135D2" w:rsidP="00D571AD">
      <w:pPr>
        <w:pStyle w:val="TEKSTIII"/>
        <w:rPr>
          <w:color w:val="000000" w:themeColor="text1"/>
        </w:rPr>
      </w:pPr>
      <w:r w:rsidRPr="004A47DC">
        <w:rPr>
          <w:color w:val="000000" w:themeColor="text1"/>
        </w:rPr>
        <w:t xml:space="preserve">Prioritetet për periudhën </w:t>
      </w:r>
      <w:r w:rsidR="00DB1D7E" w:rsidRPr="004A47DC">
        <w:rPr>
          <w:color w:val="000000" w:themeColor="text1"/>
        </w:rPr>
        <w:t>2023–2026</w:t>
      </w:r>
      <w:r w:rsidRPr="004A47DC">
        <w:rPr>
          <w:color w:val="000000" w:themeColor="text1"/>
        </w:rPr>
        <w:t xml:space="preserve"> janë:</w:t>
      </w:r>
    </w:p>
    <w:p w14:paraId="18E80434" w14:textId="203095E8" w:rsidR="00C135D2" w:rsidRPr="004A47DC" w:rsidRDefault="00D571AD" w:rsidP="00D571AD">
      <w:pPr>
        <w:pStyle w:val="TEKSTIII"/>
        <w:rPr>
          <w:rFonts w:cs="Arial"/>
          <w:color w:val="000000" w:themeColor="text1"/>
        </w:rPr>
      </w:pPr>
      <w:r w:rsidRPr="004A47DC">
        <w:rPr>
          <w:rFonts w:cs="Arial"/>
          <w:color w:val="000000" w:themeColor="text1"/>
        </w:rPr>
        <w:t xml:space="preserve">- </w:t>
      </w:r>
      <w:r w:rsidR="00C135D2" w:rsidRPr="004A47DC">
        <w:rPr>
          <w:rFonts w:cs="Arial"/>
          <w:color w:val="000000" w:themeColor="text1"/>
        </w:rPr>
        <w:t>Prezantimi i Deklaratës Vjetore të Riskut Fiskal</w:t>
      </w:r>
      <w:r w:rsidR="00BD290D">
        <w:rPr>
          <w:rFonts w:cs="Arial"/>
          <w:color w:val="000000" w:themeColor="text1"/>
        </w:rPr>
        <w:t>,</w:t>
      </w:r>
      <w:r w:rsidR="00C135D2" w:rsidRPr="004A47DC">
        <w:rPr>
          <w:rFonts w:cs="Arial"/>
          <w:color w:val="000000" w:themeColor="text1"/>
        </w:rPr>
        <w:t xml:space="preserve"> i prezantuar si një raport i veçantë që paraqet risqet kryesore fiskale të vlerësuara;</w:t>
      </w:r>
    </w:p>
    <w:p w14:paraId="17F60507" w14:textId="0B962920" w:rsidR="00C135D2" w:rsidRPr="004A47DC" w:rsidRDefault="00BD290D" w:rsidP="00D571AD">
      <w:pPr>
        <w:pStyle w:val="TEKSTIII"/>
        <w:rPr>
          <w:rFonts w:cs="Arial"/>
          <w:color w:val="000000" w:themeColor="text1"/>
        </w:rPr>
      </w:pPr>
      <w:r>
        <w:rPr>
          <w:rFonts w:cs="Arial"/>
          <w:color w:val="000000" w:themeColor="text1"/>
        </w:rPr>
        <w:t xml:space="preserve">- </w:t>
      </w:r>
      <w:r w:rsidR="00C135D2" w:rsidRPr="004A47DC">
        <w:rPr>
          <w:rFonts w:cs="Arial"/>
          <w:color w:val="000000" w:themeColor="text1"/>
        </w:rPr>
        <w:t>Monitorimi i riskut fiskal</w:t>
      </w:r>
      <w:r>
        <w:rPr>
          <w:rFonts w:cs="Arial"/>
          <w:color w:val="000000" w:themeColor="text1"/>
        </w:rPr>
        <w:t>,</w:t>
      </w:r>
      <w:r w:rsidR="00C135D2" w:rsidRPr="004A47DC">
        <w:rPr>
          <w:rFonts w:cs="Arial"/>
          <w:color w:val="000000" w:themeColor="text1"/>
        </w:rPr>
        <w:t xml:space="preserve"> duke përfshirë fatkeqësitë natyrore dhe risqet e ndryshimeve klimatike. </w:t>
      </w:r>
    </w:p>
    <w:p w14:paraId="542B919E" w14:textId="77777777" w:rsidR="00C135D2" w:rsidRPr="004A47DC" w:rsidRDefault="00C135D2" w:rsidP="00D571AD">
      <w:pPr>
        <w:pStyle w:val="TEKSTIII"/>
        <w:rPr>
          <w:b/>
          <w:color w:val="000000" w:themeColor="text1"/>
        </w:rPr>
      </w:pPr>
    </w:p>
    <w:p w14:paraId="267E3D75" w14:textId="77777777" w:rsidR="00C135D2" w:rsidRPr="004A47DC" w:rsidRDefault="00C135D2" w:rsidP="00D571AD">
      <w:pPr>
        <w:pStyle w:val="TEKSTIII"/>
        <w:rPr>
          <w:color w:val="000000" w:themeColor="text1"/>
        </w:rPr>
      </w:pPr>
      <w:r w:rsidRPr="004A47DC">
        <w:rPr>
          <w:b/>
          <w:color w:val="000000" w:themeColor="text1"/>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015"/>
        <w:gridCol w:w="3605"/>
        <w:gridCol w:w="793"/>
        <w:gridCol w:w="868"/>
        <w:gridCol w:w="1780"/>
      </w:tblGrid>
      <w:tr w:rsidR="004719D2" w:rsidRPr="004A47DC" w14:paraId="5B410533" w14:textId="77777777" w:rsidTr="00D571AD">
        <w:trPr>
          <w:trHeight w:val="20"/>
          <w:tblHeader/>
        </w:trPr>
        <w:tc>
          <w:tcPr>
            <w:tcW w:w="2005" w:type="dxa"/>
            <w:shd w:val="clear" w:color="auto" w:fill="D9D9D9" w:themeFill="background1" w:themeFillShade="D9"/>
          </w:tcPr>
          <w:p w14:paraId="540869ED" w14:textId="77777777" w:rsidR="00C135D2" w:rsidRPr="004A47DC" w:rsidRDefault="00C135D2" w:rsidP="00573F94">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3587" w:type="dxa"/>
            <w:shd w:val="clear" w:color="auto" w:fill="D9D9D9" w:themeFill="background1" w:themeFillShade="D9"/>
          </w:tcPr>
          <w:p w14:paraId="61D47A51" w14:textId="77777777" w:rsidR="00C135D2" w:rsidRPr="004A47DC" w:rsidRDefault="00C135D2" w:rsidP="00573F94">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789" w:type="dxa"/>
            <w:shd w:val="clear" w:color="auto" w:fill="D9D9D9" w:themeFill="background1" w:themeFillShade="D9"/>
          </w:tcPr>
          <w:p w14:paraId="2F6571BC" w14:textId="77777777" w:rsidR="00C135D2" w:rsidRPr="004A47DC" w:rsidRDefault="00C135D2" w:rsidP="00573F94">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864" w:type="dxa"/>
            <w:shd w:val="clear" w:color="auto" w:fill="D9D9D9" w:themeFill="background1" w:themeFillShade="D9"/>
          </w:tcPr>
          <w:p w14:paraId="61C8F9E2" w14:textId="77777777" w:rsidR="00C135D2" w:rsidRPr="004A47DC" w:rsidRDefault="00C135D2" w:rsidP="00573F94">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1771" w:type="dxa"/>
            <w:shd w:val="clear" w:color="auto" w:fill="D9D9D9" w:themeFill="background1" w:themeFillShade="D9"/>
          </w:tcPr>
          <w:p w14:paraId="762742F7" w14:textId="79EA37CA" w:rsidR="00C135D2" w:rsidRPr="004A47DC" w:rsidRDefault="00C135D2" w:rsidP="00573F94">
            <w:pPr>
              <w:pStyle w:val="T-bold"/>
              <w:spacing w:line="240" w:lineRule="auto"/>
              <w:jc w:val="center"/>
              <w:rPr>
                <w:rFonts w:ascii="Garamond" w:hAnsi="Garamond"/>
                <w:color w:val="000000" w:themeColor="text1"/>
              </w:rPr>
            </w:pPr>
            <w:r w:rsidRPr="004A47DC">
              <w:rPr>
                <w:rFonts w:ascii="Garamond" w:hAnsi="Garamond"/>
                <w:color w:val="000000" w:themeColor="text1"/>
              </w:rPr>
              <w:t xml:space="preserve">Grupet e </w:t>
            </w:r>
            <w:r w:rsidR="00573F94" w:rsidRPr="004A47DC">
              <w:rPr>
                <w:rFonts w:ascii="Garamond" w:hAnsi="Garamond"/>
                <w:color w:val="000000" w:themeColor="text1"/>
              </w:rPr>
              <w:t>i</w:t>
            </w:r>
            <w:r w:rsidRPr="004A47DC">
              <w:rPr>
                <w:rFonts w:ascii="Garamond" w:hAnsi="Garamond"/>
                <w:color w:val="000000" w:themeColor="text1"/>
              </w:rPr>
              <w:t>nteresit</w:t>
            </w:r>
          </w:p>
        </w:tc>
      </w:tr>
      <w:tr w:rsidR="004719D2" w:rsidRPr="004A47DC" w14:paraId="74B20875" w14:textId="77777777" w:rsidTr="00D571AD">
        <w:trPr>
          <w:trHeight w:val="473"/>
        </w:trPr>
        <w:tc>
          <w:tcPr>
            <w:tcW w:w="2005" w:type="dxa"/>
            <w:vMerge w:val="restart"/>
            <w:shd w:val="clear" w:color="auto" w:fill="auto"/>
          </w:tcPr>
          <w:p w14:paraId="68715EF3" w14:textId="0157D77D"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1.3.1</w:t>
            </w:r>
            <w:r w:rsidR="00573F94" w:rsidRPr="004A47DC">
              <w:rPr>
                <w:rFonts w:ascii="Garamond" w:hAnsi="Garamond" w:cs="Arial"/>
                <w:b/>
                <w:bCs/>
                <w:color w:val="000000" w:themeColor="text1"/>
                <w:sz w:val="16"/>
                <w:szCs w:val="16"/>
              </w:rPr>
              <w:t>:</w:t>
            </w:r>
            <w:r w:rsidRPr="004A47DC">
              <w:rPr>
                <w:rFonts w:ascii="Garamond" w:hAnsi="Garamond" w:cs="Arial"/>
                <w:b/>
                <w:bCs/>
                <w:color w:val="000000" w:themeColor="text1"/>
                <w:sz w:val="16"/>
                <w:szCs w:val="16"/>
              </w:rPr>
              <w:t xml:space="preserve"> Prezantimi i </w:t>
            </w:r>
            <w:r w:rsidR="00573F94" w:rsidRPr="004A47DC">
              <w:rPr>
                <w:rFonts w:ascii="Garamond" w:hAnsi="Garamond" w:cs="Arial"/>
                <w:b/>
                <w:bCs/>
                <w:color w:val="000000" w:themeColor="text1"/>
                <w:sz w:val="16"/>
                <w:szCs w:val="16"/>
              </w:rPr>
              <w:t xml:space="preserve">deklaratës vjetore të risqeve fiskale dhe zgjerimi gradual i fushës së monitorimit dhe raportimit </w:t>
            </w:r>
            <w:r w:rsidRPr="004A47DC">
              <w:rPr>
                <w:rFonts w:ascii="Garamond" w:hAnsi="Garamond" w:cs="Arial"/>
                <w:b/>
                <w:bCs/>
                <w:color w:val="000000" w:themeColor="text1"/>
                <w:sz w:val="16"/>
                <w:szCs w:val="16"/>
              </w:rPr>
              <w:t>të risqeve fiskale</w:t>
            </w:r>
          </w:p>
        </w:tc>
        <w:tc>
          <w:tcPr>
            <w:tcW w:w="3587" w:type="dxa"/>
          </w:tcPr>
          <w:p w14:paraId="60547FEB" w14:textId="56BA3C81" w:rsidR="00C135D2" w:rsidRPr="004A47DC" w:rsidRDefault="00D571AD" w:rsidP="00D571AD">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C135D2" w:rsidRPr="004A47DC">
              <w:rPr>
                <w:rFonts w:ascii="Garamond" w:hAnsi="Garamond"/>
                <w:color w:val="000000" w:themeColor="text1"/>
                <w:lang w:val="sq-AL"/>
              </w:rPr>
              <w:t>Zhvillimi dhe zbatimi i ngritjes së kapaciteteve të stafit për menaxhimin e risqeve fiskale</w:t>
            </w:r>
            <w:r w:rsidR="00FC5468">
              <w:rPr>
                <w:rFonts w:ascii="Garamond" w:hAnsi="Garamond"/>
                <w:color w:val="000000" w:themeColor="text1"/>
                <w:lang w:val="sq-AL"/>
              </w:rPr>
              <w:t>.</w:t>
            </w:r>
          </w:p>
        </w:tc>
        <w:tc>
          <w:tcPr>
            <w:tcW w:w="789" w:type="dxa"/>
            <w:shd w:val="clear" w:color="auto" w:fill="auto"/>
            <w:vAlign w:val="center"/>
          </w:tcPr>
          <w:p w14:paraId="24BC4CF0" w14:textId="77777777" w:rsidR="00C135D2" w:rsidRPr="004A47DC"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864" w:type="dxa"/>
            <w:shd w:val="clear" w:color="auto" w:fill="auto"/>
            <w:vAlign w:val="center"/>
          </w:tcPr>
          <w:p w14:paraId="66E0629C" w14:textId="77777777" w:rsidR="00C135D2" w:rsidRPr="004A47DC"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71" w:type="dxa"/>
            <w:vMerge w:val="restart"/>
          </w:tcPr>
          <w:p w14:paraId="4933E931" w14:textId="18899863" w:rsidR="00C135D2" w:rsidRPr="004A47DC" w:rsidRDefault="00C135D2" w:rsidP="00D571AD">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w:t>
            </w:r>
            <w:r w:rsidR="00573F94" w:rsidRPr="004A47DC">
              <w:rPr>
                <w:rFonts w:ascii="Garamond" w:hAnsi="Garamond"/>
                <w:b/>
                <w:bCs/>
                <w:color w:val="000000" w:themeColor="text1"/>
                <w:sz w:val="16"/>
                <w:szCs w:val="16"/>
              </w:rPr>
              <w:t>p</w:t>
            </w:r>
            <w:r w:rsidRPr="004A47DC">
              <w:rPr>
                <w:rFonts w:ascii="Garamond" w:hAnsi="Garamond"/>
                <w:b/>
                <w:bCs/>
                <w:color w:val="000000" w:themeColor="text1"/>
                <w:sz w:val="16"/>
                <w:szCs w:val="16"/>
              </w:rPr>
              <w:t>ërgjegjëse:</w:t>
            </w:r>
          </w:p>
          <w:p w14:paraId="6785D391" w14:textId="00DD8CD9"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DRF</w:t>
            </w:r>
            <w:r w:rsidR="00FC5468">
              <w:rPr>
                <w:rFonts w:ascii="Garamond" w:hAnsi="Garamond"/>
                <w:color w:val="000000" w:themeColor="text1"/>
                <w:sz w:val="16"/>
                <w:szCs w:val="16"/>
              </w:rPr>
              <w:t>-ja</w:t>
            </w:r>
            <w:r w:rsidRPr="004A47DC">
              <w:rPr>
                <w:rFonts w:ascii="Garamond" w:hAnsi="Garamond" w:cs="Arial"/>
                <w:color w:val="000000" w:themeColor="text1"/>
                <w:sz w:val="16"/>
                <w:szCs w:val="16"/>
              </w:rPr>
              <w:t xml:space="preserve"> (lider)</w:t>
            </w:r>
          </w:p>
          <w:p w14:paraId="1412488E"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p w14:paraId="1C763220" w14:textId="77777777"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Partnerët:</w:t>
            </w:r>
            <w:r w:rsidRPr="004A47DC">
              <w:rPr>
                <w:rFonts w:ascii="Garamond" w:hAnsi="Garamond" w:cs="Arial"/>
                <w:color w:val="000000" w:themeColor="text1"/>
                <w:sz w:val="16"/>
                <w:szCs w:val="16"/>
              </w:rPr>
              <w:t xml:space="preserve"> </w:t>
            </w:r>
          </w:p>
          <w:p w14:paraId="7D6DB47D" w14:textId="4E711B0D" w:rsidR="00C135D2" w:rsidRPr="004A47DC" w:rsidRDefault="00C135D2" w:rsidP="00D571AD">
            <w:pPr>
              <w:pStyle w:val="EcorysBody"/>
              <w:spacing w:line="240" w:lineRule="auto"/>
              <w:rPr>
                <w:rFonts w:ascii="Garamond" w:hAnsi="Garamond"/>
                <w:b/>
                <w:bCs/>
                <w:color w:val="000000" w:themeColor="text1"/>
                <w:sz w:val="16"/>
                <w:szCs w:val="16"/>
              </w:rPr>
            </w:pPr>
            <w:r w:rsidRPr="004A47DC">
              <w:rPr>
                <w:rFonts w:ascii="Garamond" w:hAnsi="Garamond" w:cs="Arial"/>
                <w:color w:val="000000" w:themeColor="text1"/>
                <w:sz w:val="16"/>
                <w:szCs w:val="16"/>
              </w:rPr>
              <w:t>IMF</w:t>
            </w:r>
            <w:r w:rsidR="00FC5468">
              <w:rPr>
                <w:rFonts w:ascii="Garamond" w:hAnsi="Garamond"/>
                <w:color w:val="000000" w:themeColor="text1"/>
                <w:sz w:val="16"/>
                <w:szCs w:val="16"/>
              </w:rPr>
              <w:t>-ja</w:t>
            </w:r>
            <w:r w:rsidR="00FC5468" w:rsidRPr="004A47DC">
              <w:rPr>
                <w:rFonts w:ascii="Garamond" w:hAnsi="Garamond"/>
                <w:color w:val="000000" w:themeColor="text1"/>
                <w:sz w:val="16"/>
                <w:szCs w:val="16"/>
              </w:rPr>
              <w:t xml:space="preserve"> </w:t>
            </w:r>
            <w:r w:rsidRPr="004A47DC">
              <w:rPr>
                <w:rStyle w:val="FootnoteReference"/>
                <w:rFonts w:ascii="Garamond" w:hAnsi="Garamond"/>
                <w:color w:val="000000" w:themeColor="text1"/>
                <w:sz w:val="16"/>
                <w:szCs w:val="16"/>
              </w:rPr>
              <w:footnoteReference w:id="7"/>
            </w:r>
          </w:p>
        </w:tc>
      </w:tr>
      <w:tr w:rsidR="004719D2" w:rsidRPr="004A47DC" w14:paraId="6198E488" w14:textId="77777777" w:rsidTr="00D571AD">
        <w:trPr>
          <w:trHeight w:val="20"/>
        </w:trPr>
        <w:tc>
          <w:tcPr>
            <w:tcW w:w="2005" w:type="dxa"/>
            <w:vMerge/>
            <w:shd w:val="clear" w:color="auto" w:fill="auto"/>
          </w:tcPr>
          <w:p w14:paraId="6CFB63D1" w14:textId="77777777" w:rsidR="00C135D2" w:rsidRPr="004A47DC" w:rsidRDefault="00C135D2" w:rsidP="00D571AD">
            <w:pPr>
              <w:pStyle w:val="EcorysBody"/>
              <w:spacing w:line="240" w:lineRule="auto"/>
              <w:rPr>
                <w:rFonts w:ascii="Garamond" w:eastAsia="Times New Roman" w:hAnsi="Garamond" w:cs="Arial"/>
                <w:b/>
                <w:bCs/>
                <w:color w:val="000000" w:themeColor="text1"/>
                <w:sz w:val="16"/>
                <w:szCs w:val="16"/>
              </w:rPr>
            </w:pPr>
          </w:p>
        </w:tc>
        <w:tc>
          <w:tcPr>
            <w:tcW w:w="3587" w:type="dxa"/>
          </w:tcPr>
          <w:p w14:paraId="033137C0" w14:textId="41AFFE60" w:rsidR="00C135D2" w:rsidRPr="004A47DC" w:rsidRDefault="00D571AD" w:rsidP="00D571AD">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2. </w:t>
            </w:r>
            <w:r w:rsidR="00C135D2" w:rsidRPr="004A47DC">
              <w:rPr>
                <w:rFonts w:ascii="Garamond" w:hAnsi="Garamond"/>
                <w:color w:val="000000" w:themeColor="text1"/>
                <w:lang w:val="sq-AL"/>
              </w:rPr>
              <w:t xml:space="preserve">Zhvillimi, pilotimi dhe publikimi çdo vit </w:t>
            </w:r>
            <w:r w:rsidR="00573F94" w:rsidRPr="004A47DC">
              <w:rPr>
                <w:rFonts w:ascii="Garamond" w:hAnsi="Garamond"/>
                <w:color w:val="000000" w:themeColor="text1"/>
                <w:lang w:val="sq-AL"/>
              </w:rPr>
              <w:t>i</w:t>
            </w:r>
            <w:r w:rsidR="00C135D2" w:rsidRPr="004A47DC">
              <w:rPr>
                <w:rFonts w:ascii="Garamond" w:hAnsi="Garamond"/>
                <w:color w:val="000000" w:themeColor="text1"/>
                <w:lang w:val="sq-AL"/>
              </w:rPr>
              <w:t xml:space="preserve"> </w:t>
            </w:r>
            <w:r w:rsidR="00573F94" w:rsidRPr="004A47DC">
              <w:rPr>
                <w:rFonts w:ascii="Garamond" w:hAnsi="Garamond"/>
                <w:color w:val="000000" w:themeColor="text1"/>
                <w:lang w:val="sq-AL"/>
              </w:rPr>
              <w:t>deklaratës vjetore të riskut fiskal</w:t>
            </w:r>
            <w:r w:rsidR="00FC5468">
              <w:rPr>
                <w:rFonts w:ascii="Garamond" w:hAnsi="Garamond"/>
                <w:color w:val="000000" w:themeColor="text1"/>
                <w:lang w:val="sq-AL"/>
              </w:rPr>
              <w:t>.</w:t>
            </w:r>
          </w:p>
        </w:tc>
        <w:tc>
          <w:tcPr>
            <w:tcW w:w="789" w:type="dxa"/>
            <w:shd w:val="clear" w:color="auto" w:fill="auto"/>
            <w:vAlign w:val="center"/>
          </w:tcPr>
          <w:p w14:paraId="123466BE"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864" w:type="dxa"/>
            <w:shd w:val="clear" w:color="auto" w:fill="auto"/>
            <w:vAlign w:val="center"/>
          </w:tcPr>
          <w:p w14:paraId="7F563E05"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1771" w:type="dxa"/>
            <w:vMerge/>
          </w:tcPr>
          <w:p w14:paraId="2A964319"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tc>
      </w:tr>
      <w:tr w:rsidR="004719D2" w:rsidRPr="004A47DC" w14:paraId="1B6E9730" w14:textId="77777777" w:rsidTr="00D571AD">
        <w:trPr>
          <w:trHeight w:val="20"/>
        </w:trPr>
        <w:tc>
          <w:tcPr>
            <w:tcW w:w="2005" w:type="dxa"/>
            <w:vMerge/>
            <w:shd w:val="clear" w:color="auto" w:fill="auto"/>
          </w:tcPr>
          <w:p w14:paraId="41841610" w14:textId="77777777" w:rsidR="00C135D2" w:rsidRPr="004A47DC" w:rsidRDefault="00C135D2" w:rsidP="00732B6D">
            <w:pPr>
              <w:pStyle w:val="EcorysBody"/>
              <w:numPr>
                <w:ilvl w:val="0"/>
                <w:numId w:val="2"/>
              </w:numPr>
              <w:spacing w:line="240" w:lineRule="auto"/>
              <w:rPr>
                <w:rFonts w:ascii="Garamond" w:hAnsi="Garamond" w:cs="Arial"/>
                <w:color w:val="000000" w:themeColor="text1"/>
                <w:sz w:val="16"/>
                <w:szCs w:val="16"/>
              </w:rPr>
            </w:pPr>
          </w:p>
        </w:tc>
        <w:tc>
          <w:tcPr>
            <w:tcW w:w="3587" w:type="dxa"/>
          </w:tcPr>
          <w:p w14:paraId="034F49CB" w14:textId="17BE76BA" w:rsidR="00C135D2" w:rsidRPr="004A47DC" w:rsidRDefault="00D571AD" w:rsidP="00D571AD">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3. </w:t>
            </w:r>
            <w:r w:rsidR="00C135D2" w:rsidRPr="004A47DC">
              <w:rPr>
                <w:rFonts w:ascii="Garamond" w:hAnsi="Garamond"/>
                <w:color w:val="000000" w:themeColor="text1"/>
                <w:lang w:val="sq-AL"/>
              </w:rPr>
              <w:t xml:space="preserve">Zgjerimi i fushës së risqeve fiskale të raportuara në </w:t>
            </w:r>
            <w:r w:rsidR="00573F94" w:rsidRPr="004A47DC">
              <w:rPr>
                <w:rFonts w:ascii="Garamond" w:hAnsi="Garamond"/>
                <w:color w:val="000000" w:themeColor="text1"/>
                <w:lang w:val="sq-AL"/>
              </w:rPr>
              <w:t>deklaratën e risqeve fiskale</w:t>
            </w:r>
            <w:r w:rsidR="00FC5468">
              <w:rPr>
                <w:rFonts w:ascii="Garamond" w:hAnsi="Garamond"/>
                <w:color w:val="000000" w:themeColor="text1"/>
                <w:lang w:val="sq-AL"/>
              </w:rPr>
              <w:t>,</w:t>
            </w:r>
            <w:r w:rsidR="00573F94" w:rsidRPr="004A47DC">
              <w:rPr>
                <w:rFonts w:ascii="Garamond" w:hAnsi="Garamond"/>
                <w:color w:val="000000" w:themeColor="text1"/>
                <w:lang w:val="sq-AL"/>
              </w:rPr>
              <w:t xml:space="preserve"> </w:t>
            </w:r>
            <w:r w:rsidR="00C135D2" w:rsidRPr="004A47DC">
              <w:rPr>
                <w:rFonts w:ascii="Garamond" w:hAnsi="Garamond"/>
                <w:color w:val="000000" w:themeColor="text1"/>
                <w:lang w:val="sq-AL"/>
              </w:rPr>
              <w:t xml:space="preserve">duke përfshirë edhe risqet që lidhen me fatkeqësitë natyrore dhe ndryshimet klimatike. </w:t>
            </w:r>
          </w:p>
        </w:tc>
        <w:tc>
          <w:tcPr>
            <w:tcW w:w="789" w:type="dxa"/>
            <w:vAlign w:val="center"/>
          </w:tcPr>
          <w:p w14:paraId="13CEAC64"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864" w:type="dxa"/>
            <w:vAlign w:val="center"/>
          </w:tcPr>
          <w:p w14:paraId="7AB84248"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&gt;2026</w:t>
            </w:r>
          </w:p>
        </w:tc>
        <w:tc>
          <w:tcPr>
            <w:tcW w:w="1771" w:type="dxa"/>
            <w:vMerge/>
          </w:tcPr>
          <w:p w14:paraId="09D3BFB7" w14:textId="77777777" w:rsidR="00C135D2" w:rsidRPr="004A47DC" w:rsidRDefault="00C135D2" w:rsidP="00D571AD">
            <w:pPr>
              <w:rPr>
                <w:rFonts w:ascii="Garamond" w:hAnsi="Garamond"/>
                <w:color w:val="000000" w:themeColor="text1"/>
                <w:sz w:val="16"/>
                <w:szCs w:val="16"/>
              </w:rPr>
            </w:pPr>
          </w:p>
        </w:tc>
      </w:tr>
      <w:tr w:rsidR="004719D2" w:rsidRPr="004A47DC" w14:paraId="0AF51CE9" w14:textId="77777777" w:rsidTr="00D571AD">
        <w:trPr>
          <w:trHeight w:val="251"/>
        </w:trPr>
        <w:tc>
          <w:tcPr>
            <w:tcW w:w="2005" w:type="dxa"/>
            <w:shd w:val="clear" w:color="auto" w:fill="auto"/>
          </w:tcPr>
          <w:p w14:paraId="7CAADFC1" w14:textId="6427A0BB"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Masa 1.3.2</w:t>
            </w:r>
            <w:r w:rsidR="00573F94" w:rsidRPr="004A47DC">
              <w:rPr>
                <w:rFonts w:ascii="Garamond" w:hAnsi="Garamond" w:cs="Arial"/>
                <w:b/>
                <w:bCs/>
                <w:color w:val="000000" w:themeColor="text1"/>
                <w:sz w:val="16"/>
                <w:szCs w:val="16"/>
              </w:rPr>
              <w:t>:</w:t>
            </w:r>
            <w:r w:rsidRPr="004A47DC">
              <w:rPr>
                <w:rFonts w:ascii="Garamond" w:hAnsi="Garamond" w:cs="Arial"/>
                <w:b/>
                <w:bCs/>
                <w:color w:val="000000" w:themeColor="text1"/>
                <w:sz w:val="16"/>
                <w:szCs w:val="16"/>
              </w:rPr>
              <w:t xml:space="preserve"> Forcimi i menaxhimit të risqeve fiskale</w:t>
            </w:r>
            <w:r w:rsidR="00FC5468">
              <w:rPr>
                <w:rFonts w:ascii="Garamond" w:hAnsi="Garamond" w:cs="Arial"/>
                <w:b/>
                <w:bCs/>
                <w:color w:val="000000" w:themeColor="text1"/>
                <w:sz w:val="16"/>
                <w:szCs w:val="16"/>
              </w:rPr>
              <w:t>,</w:t>
            </w:r>
            <w:r w:rsidRPr="004A47DC">
              <w:rPr>
                <w:rFonts w:ascii="Garamond" w:hAnsi="Garamond" w:cs="Arial"/>
                <w:b/>
                <w:bCs/>
                <w:color w:val="000000" w:themeColor="text1"/>
                <w:sz w:val="16"/>
                <w:szCs w:val="16"/>
              </w:rPr>
              <w:t xml:space="preserve"> në lidhje me PPP-të dhe kontratat koncesionare</w:t>
            </w:r>
          </w:p>
        </w:tc>
        <w:tc>
          <w:tcPr>
            <w:tcW w:w="3587" w:type="dxa"/>
          </w:tcPr>
          <w:p w14:paraId="4256EEB7" w14:textId="4A329B72" w:rsidR="00C135D2" w:rsidRPr="004A47DC" w:rsidRDefault="00D571AD" w:rsidP="00D571AD">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C135D2" w:rsidRPr="004A47DC">
              <w:rPr>
                <w:rFonts w:ascii="Garamond" w:hAnsi="Garamond"/>
                <w:color w:val="000000" w:themeColor="text1"/>
                <w:lang w:val="sq-AL"/>
              </w:rPr>
              <w:t xml:space="preserve">Përmirësimi i metodologjisë dhe rregulloreve për vlerësimin dhe monitorimin e risqeve fiskale të të gjitha PPP-ve dhe kontratave koncesionare në nivel kombëtar dhe vendor. </w:t>
            </w:r>
          </w:p>
        </w:tc>
        <w:tc>
          <w:tcPr>
            <w:tcW w:w="789" w:type="dxa"/>
            <w:vAlign w:val="center"/>
          </w:tcPr>
          <w:p w14:paraId="1C10C936"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864" w:type="dxa"/>
            <w:vAlign w:val="center"/>
          </w:tcPr>
          <w:p w14:paraId="4B03D137"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T2 2026</w:t>
            </w:r>
          </w:p>
        </w:tc>
        <w:tc>
          <w:tcPr>
            <w:tcW w:w="1771" w:type="dxa"/>
          </w:tcPr>
          <w:p w14:paraId="6C7E1873" w14:textId="6D8FDE71" w:rsidR="00C135D2" w:rsidRPr="004A47DC" w:rsidRDefault="00C135D2" w:rsidP="00D571AD">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w:t>
            </w:r>
            <w:r w:rsidR="00573F94" w:rsidRPr="004A47DC">
              <w:rPr>
                <w:rFonts w:ascii="Garamond" w:hAnsi="Garamond"/>
                <w:b/>
                <w:bCs/>
                <w:color w:val="000000" w:themeColor="text1"/>
                <w:sz w:val="16"/>
                <w:szCs w:val="16"/>
              </w:rPr>
              <w:t>përgjegjëse</w:t>
            </w:r>
            <w:r w:rsidRPr="004A47DC">
              <w:rPr>
                <w:rFonts w:ascii="Garamond" w:hAnsi="Garamond"/>
                <w:b/>
                <w:bCs/>
                <w:color w:val="000000" w:themeColor="text1"/>
                <w:sz w:val="16"/>
                <w:szCs w:val="16"/>
              </w:rPr>
              <w:t xml:space="preserve">: </w:t>
            </w:r>
          </w:p>
          <w:p w14:paraId="3C7CDC14" w14:textId="6F14B429"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DK</w:t>
            </w:r>
            <w:r w:rsidR="00FC5468">
              <w:rPr>
                <w:rFonts w:ascii="Garamond" w:hAnsi="Garamond"/>
                <w:color w:val="000000" w:themeColor="text1"/>
                <w:sz w:val="16"/>
                <w:szCs w:val="16"/>
              </w:rPr>
              <w:t>-ja</w:t>
            </w:r>
            <w:r w:rsidRPr="004A47DC">
              <w:rPr>
                <w:rFonts w:ascii="Garamond" w:hAnsi="Garamond" w:cs="Arial"/>
                <w:color w:val="000000" w:themeColor="text1"/>
                <w:sz w:val="16"/>
                <w:szCs w:val="16"/>
              </w:rPr>
              <w:t xml:space="preserve"> (lider)</w:t>
            </w:r>
          </w:p>
          <w:p w14:paraId="1D13BF1D"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p w14:paraId="199778D4"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630326D1" w14:textId="0850873A"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FMN</w:t>
            </w:r>
            <w:r w:rsidR="00FC5468">
              <w:rPr>
                <w:rFonts w:ascii="Garamond" w:hAnsi="Garamond"/>
                <w:color w:val="000000" w:themeColor="text1"/>
                <w:sz w:val="16"/>
                <w:szCs w:val="16"/>
              </w:rPr>
              <w:t>-ja</w:t>
            </w:r>
          </w:p>
        </w:tc>
      </w:tr>
      <w:tr w:rsidR="004719D2" w:rsidRPr="004A47DC" w14:paraId="79E1973C" w14:textId="77777777" w:rsidTr="00D571AD">
        <w:trPr>
          <w:trHeight w:val="20"/>
        </w:trPr>
        <w:tc>
          <w:tcPr>
            <w:tcW w:w="2005" w:type="dxa"/>
            <w:vMerge w:val="restart"/>
            <w:shd w:val="clear" w:color="auto" w:fill="auto"/>
          </w:tcPr>
          <w:p w14:paraId="7862C938" w14:textId="7C3F67F4"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Masa 1.3.3</w:t>
            </w:r>
            <w:r w:rsidR="00573F94" w:rsidRPr="004A47DC">
              <w:rPr>
                <w:rFonts w:ascii="Garamond" w:hAnsi="Garamond" w:cs="Arial"/>
                <w:b/>
                <w:bCs/>
                <w:color w:val="000000" w:themeColor="text1"/>
                <w:sz w:val="16"/>
                <w:szCs w:val="16"/>
              </w:rPr>
              <w:t>:</w:t>
            </w:r>
            <w:r w:rsidRPr="004A47DC">
              <w:rPr>
                <w:rFonts w:ascii="Garamond" w:hAnsi="Garamond" w:cs="Arial"/>
                <w:b/>
                <w:bCs/>
                <w:color w:val="000000" w:themeColor="text1"/>
                <w:sz w:val="16"/>
                <w:szCs w:val="16"/>
              </w:rPr>
              <w:t xml:space="preserve"> Forcimi i mbikëqyrjes fiskale të </w:t>
            </w:r>
            <w:r w:rsidR="004B7863" w:rsidRPr="004A47DC">
              <w:rPr>
                <w:rFonts w:ascii="Garamond" w:hAnsi="Garamond" w:cs="Arial"/>
                <w:b/>
                <w:bCs/>
                <w:color w:val="000000" w:themeColor="text1"/>
                <w:sz w:val="16"/>
                <w:szCs w:val="16"/>
              </w:rPr>
              <w:t>ndërmarrjeve shtetërore</w:t>
            </w:r>
          </w:p>
        </w:tc>
        <w:tc>
          <w:tcPr>
            <w:tcW w:w="3587" w:type="dxa"/>
            <w:shd w:val="clear" w:color="auto" w:fill="auto"/>
          </w:tcPr>
          <w:p w14:paraId="00CE5A7D" w14:textId="34D8BB77" w:rsidR="00C135D2" w:rsidRPr="004A47DC" w:rsidRDefault="00A25B2F" w:rsidP="00D571AD">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C135D2" w:rsidRPr="004A47DC">
              <w:rPr>
                <w:rFonts w:ascii="Garamond" w:hAnsi="Garamond"/>
                <w:color w:val="000000" w:themeColor="text1"/>
                <w:lang w:val="sq-AL"/>
              </w:rPr>
              <w:t>Përmirësimi i metodologjisë dhe rregulloreve për vlerësimin, monitorimin dhe mbikëqyrjen e risqeve fiskale që lidhen me</w:t>
            </w:r>
            <w:r w:rsidRPr="004A47DC">
              <w:rPr>
                <w:rFonts w:ascii="Garamond" w:hAnsi="Garamond"/>
                <w:color w:val="000000" w:themeColor="text1"/>
                <w:lang w:val="sq-AL"/>
              </w:rPr>
              <w:t xml:space="preserve"> </w:t>
            </w:r>
            <w:r w:rsidR="00FC5468" w:rsidRPr="004A47DC">
              <w:rPr>
                <w:rFonts w:ascii="Garamond" w:hAnsi="Garamond"/>
                <w:color w:val="000000" w:themeColor="text1"/>
                <w:lang w:val="sq-AL"/>
              </w:rPr>
              <w:t>ndërmarrjet shtetërore</w:t>
            </w:r>
            <w:r w:rsidR="00C135D2" w:rsidRPr="004A47DC">
              <w:rPr>
                <w:rFonts w:ascii="Garamond" w:hAnsi="Garamond"/>
                <w:color w:val="000000" w:themeColor="text1"/>
                <w:vertAlign w:val="superscript"/>
                <w:lang w:val="sq-AL"/>
              </w:rPr>
              <w:footnoteReference w:id="8"/>
            </w:r>
            <w:r w:rsidR="00C135D2" w:rsidRPr="004A47DC">
              <w:rPr>
                <w:rFonts w:ascii="Garamond" w:hAnsi="Garamond"/>
                <w:color w:val="000000" w:themeColor="text1"/>
                <w:lang w:val="sq-AL"/>
              </w:rPr>
              <w:t xml:space="preserve"> në nivel kombëtar dhe vendor</w:t>
            </w:r>
            <w:r w:rsidR="00FC5468">
              <w:rPr>
                <w:rFonts w:ascii="Garamond" w:hAnsi="Garamond"/>
                <w:color w:val="000000" w:themeColor="text1"/>
                <w:lang w:val="sq-AL"/>
              </w:rPr>
              <w:t>.</w:t>
            </w:r>
          </w:p>
        </w:tc>
        <w:tc>
          <w:tcPr>
            <w:tcW w:w="789" w:type="dxa"/>
            <w:shd w:val="clear" w:color="auto" w:fill="auto"/>
            <w:vAlign w:val="center"/>
          </w:tcPr>
          <w:p w14:paraId="07722BAE"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864" w:type="dxa"/>
            <w:shd w:val="clear" w:color="auto" w:fill="auto"/>
            <w:vAlign w:val="center"/>
          </w:tcPr>
          <w:p w14:paraId="42026384"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71" w:type="dxa"/>
            <w:vMerge w:val="restart"/>
          </w:tcPr>
          <w:p w14:paraId="70B091DC" w14:textId="77777777" w:rsidR="00C135D2" w:rsidRPr="004A47DC" w:rsidRDefault="00C135D2" w:rsidP="00D571AD">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208F6FCE" w14:textId="77777777" w:rsidR="00FC5468"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DRF</w:t>
            </w:r>
            <w:r w:rsidR="00FC5468">
              <w:rPr>
                <w:rFonts w:ascii="Garamond" w:hAnsi="Garamond"/>
                <w:color w:val="000000" w:themeColor="text1"/>
                <w:sz w:val="16"/>
                <w:szCs w:val="16"/>
              </w:rPr>
              <w:t>-ja</w:t>
            </w:r>
            <w:r w:rsidRPr="004A47DC">
              <w:rPr>
                <w:rFonts w:ascii="Garamond" w:hAnsi="Garamond"/>
                <w:color w:val="000000" w:themeColor="text1"/>
                <w:sz w:val="16"/>
                <w:szCs w:val="16"/>
              </w:rPr>
              <w:t xml:space="preserve"> (lider për metodologjinë), </w:t>
            </w:r>
          </w:p>
          <w:p w14:paraId="37DC633A" w14:textId="77777777" w:rsidR="00FC5468"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MF</w:t>
            </w:r>
            <w:r w:rsidR="00FC5468">
              <w:rPr>
                <w:rFonts w:ascii="Garamond" w:hAnsi="Garamond"/>
                <w:color w:val="000000" w:themeColor="text1"/>
                <w:sz w:val="16"/>
                <w:szCs w:val="16"/>
              </w:rPr>
              <w:t>-ja</w:t>
            </w:r>
            <w:r w:rsidRPr="004A47DC">
              <w:rPr>
                <w:rFonts w:ascii="Garamond" w:hAnsi="Garamond"/>
                <w:color w:val="000000" w:themeColor="text1"/>
                <w:sz w:val="16"/>
                <w:szCs w:val="16"/>
              </w:rPr>
              <w:t xml:space="preserve">, </w:t>
            </w:r>
          </w:p>
          <w:p w14:paraId="40D8916B" w14:textId="11FBC0B1" w:rsidR="00C135D2" w:rsidRPr="004A47DC"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MEKI</w:t>
            </w:r>
            <w:r w:rsidR="00FC5468">
              <w:rPr>
                <w:rFonts w:ascii="Garamond" w:hAnsi="Garamond"/>
                <w:color w:val="000000" w:themeColor="text1"/>
                <w:sz w:val="16"/>
                <w:szCs w:val="16"/>
              </w:rPr>
              <w:t>-ja</w:t>
            </w:r>
            <w:r w:rsidRPr="004A47DC">
              <w:rPr>
                <w:rFonts w:ascii="Garamond" w:hAnsi="Garamond"/>
                <w:color w:val="000000" w:themeColor="text1"/>
                <w:sz w:val="16"/>
                <w:szCs w:val="16"/>
              </w:rPr>
              <w:t xml:space="preserve"> (1.3.3.2)</w:t>
            </w:r>
          </w:p>
          <w:p w14:paraId="4F4F904F"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p w14:paraId="3A6009C1"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11630FE7" w14:textId="1CD77DA4"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FMN</w:t>
            </w:r>
            <w:r w:rsidR="00FC5468">
              <w:rPr>
                <w:rFonts w:ascii="Garamond" w:hAnsi="Garamond"/>
                <w:color w:val="000000" w:themeColor="text1"/>
                <w:sz w:val="16"/>
                <w:szCs w:val="16"/>
              </w:rPr>
              <w:t>-ja</w:t>
            </w:r>
          </w:p>
          <w:p w14:paraId="2065BBC7" w14:textId="77777777" w:rsidR="00C135D2" w:rsidRPr="004A47DC" w:rsidRDefault="00C135D2" w:rsidP="00D571AD">
            <w:pPr>
              <w:rPr>
                <w:rFonts w:ascii="Garamond" w:hAnsi="Garamond"/>
                <w:color w:val="000000" w:themeColor="text1"/>
                <w:sz w:val="16"/>
                <w:szCs w:val="16"/>
              </w:rPr>
            </w:pPr>
          </w:p>
        </w:tc>
      </w:tr>
      <w:tr w:rsidR="004719D2" w:rsidRPr="004A47DC" w14:paraId="1E9B7546" w14:textId="77777777" w:rsidTr="00D571AD">
        <w:trPr>
          <w:trHeight w:val="20"/>
        </w:trPr>
        <w:tc>
          <w:tcPr>
            <w:tcW w:w="2005" w:type="dxa"/>
            <w:vMerge/>
            <w:shd w:val="clear" w:color="auto" w:fill="auto"/>
          </w:tcPr>
          <w:p w14:paraId="5E73BFBF" w14:textId="77777777" w:rsidR="00C135D2" w:rsidRPr="004A47DC" w:rsidRDefault="00C135D2" w:rsidP="00732B6D">
            <w:pPr>
              <w:pStyle w:val="EcorysBody"/>
              <w:numPr>
                <w:ilvl w:val="0"/>
                <w:numId w:val="2"/>
              </w:numPr>
              <w:spacing w:line="240" w:lineRule="auto"/>
              <w:rPr>
                <w:rFonts w:ascii="Garamond" w:hAnsi="Garamond" w:cs="Arial"/>
                <w:color w:val="000000" w:themeColor="text1"/>
                <w:sz w:val="16"/>
                <w:szCs w:val="16"/>
              </w:rPr>
            </w:pPr>
          </w:p>
        </w:tc>
        <w:tc>
          <w:tcPr>
            <w:tcW w:w="3587" w:type="dxa"/>
            <w:shd w:val="clear" w:color="auto" w:fill="auto"/>
          </w:tcPr>
          <w:p w14:paraId="198FF268" w14:textId="1EA63DF8" w:rsidR="00C135D2" w:rsidRPr="004A47DC" w:rsidRDefault="00A25B2F" w:rsidP="00A25B2F">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2. </w:t>
            </w:r>
            <w:r w:rsidR="00C135D2" w:rsidRPr="004A47DC">
              <w:rPr>
                <w:rFonts w:ascii="Garamond" w:hAnsi="Garamond"/>
                <w:color w:val="000000" w:themeColor="text1"/>
                <w:lang w:val="sq-AL"/>
              </w:rPr>
              <w:t>Forcimi i kapaciteteve për monitorim dhe raportim të rregullt të risqeve fiskale</w:t>
            </w:r>
            <w:r w:rsidR="00FC5468">
              <w:rPr>
                <w:rFonts w:ascii="Garamond" w:hAnsi="Garamond"/>
                <w:color w:val="000000" w:themeColor="text1"/>
                <w:lang w:val="sq-AL"/>
              </w:rPr>
              <w:t>,</w:t>
            </w:r>
            <w:r w:rsidR="00C135D2" w:rsidRPr="004A47DC">
              <w:rPr>
                <w:rFonts w:ascii="Garamond" w:hAnsi="Garamond"/>
                <w:color w:val="000000" w:themeColor="text1"/>
                <w:lang w:val="sq-AL"/>
              </w:rPr>
              <w:t xml:space="preserve"> në lidhje me </w:t>
            </w:r>
            <w:r w:rsidR="00FC5468">
              <w:rPr>
                <w:rFonts w:ascii="Garamond" w:hAnsi="Garamond"/>
                <w:color w:val="000000" w:themeColor="text1"/>
                <w:lang w:val="sq-AL"/>
              </w:rPr>
              <w:t>n</w:t>
            </w:r>
            <w:r w:rsidR="00C135D2" w:rsidRPr="004A47DC">
              <w:rPr>
                <w:rFonts w:ascii="Garamond" w:hAnsi="Garamond"/>
                <w:color w:val="000000" w:themeColor="text1"/>
                <w:lang w:val="sq-AL"/>
              </w:rPr>
              <w:t xml:space="preserve">dërmarrjet </w:t>
            </w:r>
            <w:r w:rsidR="00FC5468">
              <w:rPr>
                <w:rFonts w:ascii="Garamond" w:hAnsi="Garamond"/>
                <w:color w:val="000000" w:themeColor="text1"/>
                <w:lang w:val="sq-AL"/>
              </w:rPr>
              <w:t>s</w:t>
            </w:r>
            <w:r w:rsidR="00C135D2" w:rsidRPr="004A47DC">
              <w:rPr>
                <w:rFonts w:ascii="Garamond" w:hAnsi="Garamond"/>
                <w:color w:val="000000" w:themeColor="text1"/>
                <w:lang w:val="sq-AL"/>
              </w:rPr>
              <w:t>htetërore</w:t>
            </w:r>
            <w:r w:rsidR="00FC5468">
              <w:rPr>
                <w:rFonts w:ascii="Garamond" w:hAnsi="Garamond"/>
                <w:color w:val="000000" w:themeColor="text1"/>
                <w:lang w:val="sq-AL"/>
              </w:rPr>
              <w:t>.</w:t>
            </w:r>
          </w:p>
        </w:tc>
        <w:tc>
          <w:tcPr>
            <w:tcW w:w="789" w:type="dxa"/>
            <w:shd w:val="clear" w:color="auto" w:fill="auto"/>
            <w:vAlign w:val="center"/>
          </w:tcPr>
          <w:p w14:paraId="42534876"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864" w:type="dxa"/>
            <w:shd w:val="clear" w:color="auto" w:fill="auto"/>
            <w:vAlign w:val="center"/>
          </w:tcPr>
          <w:p w14:paraId="100FB80D"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71" w:type="dxa"/>
            <w:vMerge/>
          </w:tcPr>
          <w:p w14:paraId="461494C0" w14:textId="77777777" w:rsidR="00C135D2" w:rsidRPr="004A47DC" w:rsidRDefault="00C135D2" w:rsidP="00D571AD">
            <w:pPr>
              <w:rPr>
                <w:rFonts w:ascii="Garamond" w:hAnsi="Garamond"/>
                <w:color w:val="000000" w:themeColor="text1"/>
                <w:sz w:val="16"/>
                <w:szCs w:val="16"/>
              </w:rPr>
            </w:pPr>
          </w:p>
        </w:tc>
      </w:tr>
      <w:tr w:rsidR="004719D2" w:rsidRPr="004A47DC" w14:paraId="1FE86618" w14:textId="77777777" w:rsidTr="00D571AD">
        <w:trPr>
          <w:trHeight w:val="883"/>
        </w:trPr>
        <w:tc>
          <w:tcPr>
            <w:tcW w:w="2005" w:type="dxa"/>
            <w:shd w:val="clear" w:color="auto" w:fill="auto"/>
          </w:tcPr>
          <w:p w14:paraId="4CEECB02"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1.3.4 Përmirësimi i mëtejshëm i menaxhimit të detyrimeve të prapambetura</w:t>
            </w:r>
          </w:p>
        </w:tc>
        <w:tc>
          <w:tcPr>
            <w:tcW w:w="3587" w:type="dxa"/>
          </w:tcPr>
          <w:p w14:paraId="7FEED7A0" w14:textId="2783E60A" w:rsidR="00C135D2" w:rsidRPr="004A47DC" w:rsidRDefault="00A25B2F" w:rsidP="00A25B2F">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C135D2" w:rsidRPr="004A47DC">
              <w:rPr>
                <w:rFonts w:ascii="Garamond" w:hAnsi="Garamond"/>
                <w:color w:val="000000" w:themeColor="text1"/>
                <w:lang w:val="sq-AL"/>
              </w:rPr>
              <w:t>Konsolidimi dhe përmirësimi i mëtejshëm i metodologjisë së monitorimit dhe raportimit të detyrimeve të prapambetura</w:t>
            </w:r>
            <w:r w:rsidR="004B7863">
              <w:rPr>
                <w:rFonts w:ascii="Garamond" w:hAnsi="Garamond"/>
                <w:color w:val="000000" w:themeColor="text1"/>
                <w:lang w:val="sq-AL"/>
              </w:rPr>
              <w:t>.</w:t>
            </w:r>
          </w:p>
        </w:tc>
        <w:tc>
          <w:tcPr>
            <w:tcW w:w="789" w:type="dxa"/>
            <w:vAlign w:val="center"/>
          </w:tcPr>
          <w:p w14:paraId="08D31568"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864" w:type="dxa"/>
            <w:vAlign w:val="center"/>
          </w:tcPr>
          <w:p w14:paraId="24E8E90F"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771" w:type="dxa"/>
          </w:tcPr>
          <w:p w14:paraId="1641B9B8" w14:textId="77777777" w:rsidR="00C135D2" w:rsidRPr="004A47DC" w:rsidRDefault="00C135D2" w:rsidP="00D571AD">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727E9671" w14:textId="021BFE0D" w:rsidR="00C135D2" w:rsidRPr="004A47DC"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Grupi i Punës i monitorimit të detyrimeve të prapambetura (lider), MF</w:t>
            </w:r>
            <w:r w:rsidR="00FC5468">
              <w:rPr>
                <w:rFonts w:ascii="Garamond" w:hAnsi="Garamond"/>
                <w:color w:val="000000" w:themeColor="text1"/>
                <w:sz w:val="16"/>
                <w:szCs w:val="16"/>
              </w:rPr>
              <w:t>-ja</w:t>
            </w:r>
          </w:p>
          <w:p w14:paraId="7D5E5BA4"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p w14:paraId="27EEA6AE"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097D1DAF" w14:textId="061F331F"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FC5468">
              <w:rPr>
                <w:rFonts w:ascii="Garamond" w:hAnsi="Garamond"/>
                <w:color w:val="000000" w:themeColor="text1"/>
                <w:sz w:val="16"/>
                <w:szCs w:val="16"/>
              </w:rPr>
              <w:t>-ja</w:t>
            </w:r>
            <w:r w:rsidRPr="004A47DC">
              <w:rPr>
                <w:rStyle w:val="FootnoteReference"/>
                <w:rFonts w:ascii="Garamond" w:hAnsi="Garamond"/>
                <w:color w:val="000000" w:themeColor="text1"/>
                <w:sz w:val="16"/>
                <w:szCs w:val="16"/>
              </w:rPr>
              <w:footnoteReference w:id="9"/>
            </w:r>
          </w:p>
        </w:tc>
      </w:tr>
    </w:tbl>
    <w:p w14:paraId="31A15DF1" w14:textId="77777777" w:rsidR="00C135D2" w:rsidRPr="004A47DC" w:rsidRDefault="00C135D2" w:rsidP="00A25B2F">
      <w:pPr>
        <w:pStyle w:val="TEKSTIII"/>
        <w:rPr>
          <w:color w:val="000000" w:themeColor="text1"/>
        </w:rPr>
      </w:pPr>
    </w:p>
    <w:p w14:paraId="169DBB5F" w14:textId="77777777" w:rsidR="00C135D2" w:rsidRPr="004A47DC" w:rsidRDefault="00C135D2" w:rsidP="00A25B2F">
      <w:pPr>
        <w:pStyle w:val="TEKSTIII"/>
        <w:rPr>
          <w:b/>
          <w:color w:val="000000" w:themeColor="text1"/>
        </w:rPr>
      </w:pPr>
      <w:r w:rsidRPr="004A47DC">
        <w:rPr>
          <w:b/>
          <w:color w:val="000000" w:themeColor="text1"/>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C135D2" w:rsidRPr="004A47DC" w14:paraId="71EE3E9D" w14:textId="77777777" w:rsidTr="004B7863">
        <w:trPr>
          <w:cantSplit/>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29F6AA"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E8B8B7"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031FF7"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2A5912C0" w14:textId="77777777" w:rsidTr="004B7863">
        <w:trPr>
          <w:cantSplit/>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5BE4FEDA" w14:textId="77777777" w:rsidR="00C135D2" w:rsidRPr="004A47DC" w:rsidRDefault="00C135D2" w:rsidP="004B7863">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7B11C7BC" w14:textId="77777777" w:rsidR="00C135D2" w:rsidRPr="004A47DC" w:rsidRDefault="00C135D2" w:rsidP="004B7863">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286FA1"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4F68E6"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7831AB"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165F76" w14:textId="77777777" w:rsidR="00C135D2" w:rsidRPr="004A47DC" w:rsidRDefault="00C135D2" w:rsidP="004B7863">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351C7D1A" w14:textId="77777777" w:rsidTr="001415B2">
        <w:tc>
          <w:tcPr>
            <w:tcW w:w="1727" w:type="pct"/>
            <w:tcBorders>
              <w:top w:val="single" w:sz="4" w:space="0" w:color="auto"/>
              <w:left w:val="single" w:sz="4" w:space="0" w:color="auto"/>
              <w:bottom w:val="single" w:sz="4" w:space="0" w:color="auto"/>
              <w:right w:val="single" w:sz="4" w:space="0" w:color="auto"/>
            </w:tcBorders>
            <w:vAlign w:val="center"/>
          </w:tcPr>
          <w:p w14:paraId="36312445" w14:textId="1B5E083E" w:rsidR="00C135D2" w:rsidRPr="004A47DC" w:rsidRDefault="0093737B" w:rsidP="0093737B">
            <w:pPr>
              <w:rPr>
                <w:rFonts w:ascii="Garamond" w:hAnsi="Garamond"/>
                <w:color w:val="000000" w:themeColor="text1"/>
                <w:sz w:val="16"/>
                <w:szCs w:val="16"/>
              </w:rPr>
            </w:pPr>
            <w:r w:rsidRPr="004A47DC">
              <w:rPr>
                <w:rFonts w:ascii="Garamond" w:hAnsi="Garamond"/>
                <w:color w:val="000000" w:themeColor="text1"/>
                <w:sz w:val="16"/>
                <w:szCs w:val="16"/>
              </w:rPr>
              <w:t xml:space="preserve">1. </w:t>
            </w:r>
            <w:r w:rsidR="00C135D2" w:rsidRPr="004A47DC">
              <w:rPr>
                <w:rFonts w:ascii="Garamond" w:hAnsi="Garamond"/>
                <w:color w:val="000000" w:themeColor="text1"/>
                <w:sz w:val="16"/>
                <w:szCs w:val="16"/>
              </w:rPr>
              <w:t>Prezantimi i Deklaratës vjetore të Riskut Fiskal</w:t>
            </w:r>
          </w:p>
        </w:tc>
        <w:tc>
          <w:tcPr>
            <w:tcW w:w="654" w:type="pct"/>
            <w:tcBorders>
              <w:top w:val="single" w:sz="4" w:space="0" w:color="auto"/>
              <w:left w:val="single" w:sz="4" w:space="0" w:color="auto"/>
              <w:bottom w:val="single" w:sz="4" w:space="0" w:color="auto"/>
              <w:right w:val="single" w:sz="4" w:space="0" w:color="auto"/>
            </w:tcBorders>
            <w:vAlign w:val="center"/>
          </w:tcPr>
          <w:p w14:paraId="164940B6"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13445133"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3EEBC527"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E pilotuar</w:t>
            </w:r>
          </w:p>
        </w:tc>
        <w:tc>
          <w:tcPr>
            <w:tcW w:w="655" w:type="pct"/>
            <w:tcBorders>
              <w:top w:val="single" w:sz="4" w:space="0" w:color="auto"/>
              <w:left w:val="single" w:sz="4" w:space="0" w:color="auto"/>
              <w:bottom w:val="single" w:sz="4" w:space="0" w:color="auto"/>
              <w:right w:val="single" w:sz="4" w:space="0" w:color="auto"/>
            </w:tcBorders>
            <w:vAlign w:val="center"/>
          </w:tcPr>
          <w:p w14:paraId="75F748C6"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E përfunduar</w:t>
            </w:r>
          </w:p>
        </w:tc>
        <w:tc>
          <w:tcPr>
            <w:tcW w:w="655" w:type="pct"/>
            <w:tcBorders>
              <w:top w:val="single" w:sz="4" w:space="0" w:color="auto"/>
              <w:left w:val="single" w:sz="4" w:space="0" w:color="auto"/>
              <w:bottom w:val="single" w:sz="4" w:space="0" w:color="auto"/>
              <w:right w:val="single" w:sz="4" w:space="0" w:color="auto"/>
            </w:tcBorders>
            <w:vAlign w:val="center"/>
          </w:tcPr>
          <w:p w14:paraId="2AAFCB71"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E konsoliduar</w:t>
            </w:r>
          </w:p>
        </w:tc>
      </w:tr>
      <w:tr w:rsidR="004719D2" w:rsidRPr="004A47DC" w14:paraId="10F3A822" w14:textId="77777777" w:rsidTr="001415B2">
        <w:tc>
          <w:tcPr>
            <w:tcW w:w="1727" w:type="pct"/>
            <w:tcBorders>
              <w:top w:val="single" w:sz="4" w:space="0" w:color="auto"/>
              <w:left w:val="single" w:sz="4" w:space="0" w:color="auto"/>
              <w:bottom w:val="single" w:sz="4" w:space="0" w:color="auto"/>
              <w:right w:val="single" w:sz="4" w:space="0" w:color="auto"/>
            </w:tcBorders>
            <w:vAlign w:val="center"/>
          </w:tcPr>
          <w:p w14:paraId="20F81A20" w14:textId="0A1CE4C7" w:rsidR="00C135D2" w:rsidRPr="004A47DC" w:rsidRDefault="0093737B" w:rsidP="0093737B">
            <w:pPr>
              <w:rPr>
                <w:rFonts w:ascii="Garamond" w:hAnsi="Garamond"/>
                <w:color w:val="000000" w:themeColor="text1"/>
                <w:sz w:val="16"/>
                <w:szCs w:val="16"/>
              </w:rPr>
            </w:pPr>
            <w:r w:rsidRPr="004A47DC">
              <w:rPr>
                <w:rFonts w:ascii="Garamond" w:hAnsi="Garamond"/>
                <w:color w:val="000000" w:themeColor="text1"/>
                <w:sz w:val="16"/>
                <w:szCs w:val="16"/>
              </w:rPr>
              <w:t xml:space="preserve">2. </w:t>
            </w:r>
            <w:r w:rsidR="00C135D2" w:rsidRPr="004A47DC">
              <w:rPr>
                <w:rFonts w:ascii="Garamond" w:hAnsi="Garamond"/>
                <w:color w:val="000000" w:themeColor="text1"/>
                <w:sz w:val="16"/>
                <w:szCs w:val="16"/>
              </w:rPr>
              <w:t>Vlerësimi PEFA</w:t>
            </w:r>
            <w:r w:rsidR="004B7863">
              <w:rPr>
                <w:rFonts w:ascii="Garamond" w:hAnsi="Garamond"/>
                <w:color w:val="000000" w:themeColor="text1"/>
                <w:sz w:val="16"/>
                <w:szCs w:val="16"/>
              </w:rPr>
              <w:t>,</w:t>
            </w:r>
            <w:r w:rsidR="00C135D2" w:rsidRPr="004A47DC">
              <w:rPr>
                <w:rFonts w:ascii="Garamond" w:hAnsi="Garamond"/>
                <w:color w:val="000000" w:themeColor="text1"/>
                <w:sz w:val="16"/>
                <w:szCs w:val="16"/>
              </w:rPr>
              <w:t xml:space="preserve"> Treguesi i Performancës 10.3 Detyrime kontigjente dhe risqe të tjera fiskale</w:t>
            </w:r>
          </w:p>
        </w:tc>
        <w:tc>
          <w:tcPr>
            <w:tcW w:w="654" w:type="pct"/>
            <w:tcBorders>
              <w:top w:val="single" w:sz="4" w:space="0" w:color="auto"/>
              <w:left w:val="single" w:sz="4" w:space="0" w:color="auto"/>
              <w:bottom w:val="single" w:sz="4" w:space="0" w:color="auto"/>
              <w:right w:val="single" w:sz="4" w:space="0" w:color="auto"/>
            </w:tcBorders>
            <w:vAlign w:val="center"/>
          </w:tcPr>
          <w:p w14:paraId="690F02A2"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C </w:t>
            </w:r>
          </w:p>
          <w:p w14:paraId="7FE4E5DA"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(2017)</w:t>
            </w:r>
          </w:p>
        </w:tc>
        <w:tc>
          <w:tcPr>
            <w:tcW w:w="655" w:type="pct"/>
            <w:tcBorders>
              <w:top w:val="single" w:sz="4" w:space="0" w:color="auto"/>
              <w:left w:val="single" w:sz="4" w:space="0" w:color="auto"/>
              <w:bottom w:val="single" w:sz="4" w:space="0" w:color="auto"/>
              <w:right w:val="single" w:sz="4" w:space="0" w:color="auto"/>
            </w:tcBorders>
            <w:vAlign w:val="center"/>
          </w:tcPr>
          <w:p w14:paraId="0B52D6B5"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040390A2"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17D05725"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2EABD413"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B </w:t>
            </w:r>
          </w:p>
        </w:tc>
      </w:tr>
      <w:tr w:rsidR="004719D2" w:rsidRPr="004A47DC" w14:paraId="47A3A5B1" w14:textId="77777777" w:rsidTr="001415B2">
        <w:tc>
          <w:tcPr>
            <w:tcW w:w="1727" w:type="pct"/>
            <w:tcBorders>
              <w:top w:val="single" w:sz="4" w:space="0" w:color="auto"/>
              <w:left w:val="single" w:sz="4" w:space="0" w:color="auto"/>
              <w:bottom w:val="single" w:sz="4" w:space="0" w:color="auto"/>
              <w:right w:val="single" w:sz="4" w:space="0" w:color="auto"/>
            </w:tcBorders>
            <w:vAlign w:val="center"/>
          </w:tcPr>
          <w:p w14:paraId="6E85E1E9" w14:textId="1181634A" w:rsidR="00C135D2" w:rsidRPr="004A47DC" w:rsidRDefault="0093737B" w:rsidP="0093737B">
            <w:pPr>
              <w:rPr>
                <w:rFonts w:ascii="Garamond" w:hAnsi="Garamond"/>
                <w:color w:val="000000" w:themeColor="text1"/>
                <w:sz w:val="16"/>
                <w:szCs w:val="16"/>
              </w:rPr>
            </w:pPr>
            <w:r w:rsidRPr="004A47DC">
              <w:rPr>
                <w:rFonts w:ascii="Garamond" w:hAnsi="Garamond"/>
                <w:color w:val="000000" w:themeColor="text1"/>
                <w:sz w:val="16"/>
                <w:szCs w:val="16"/>
              </w:rPr>
              <w:t xml:space="preserve">3. </w:t>
            </w:r>
            <w:r w:rsidR="00C135D2" w:rsidRPr="004A47DC">
              <w:rPr>
                <w:rFonts w:ascii="Garamond" w:hAnsi="Garamond"/>
                <w:color w:val="000000" w:themeColor="text1"/>
                <w:sz w:val="16"/>
                <w:szCs w:val="16"/>
              </w:rPr>
              <w:t>Vlerësimi PEFA</w:t>
            </w:r>
            <w:r w:rsidR="004B7863">
              <w:rPr>
                <w:rFonts w:ascii="Garamond" w:hAnsi="Garamond"/>
                <w:color w:val="000000" w:themeColor="text1"/>
                <w:sz w:val="16"/>
                <w:szCs w:val="16"/>
              </w:rPr>
              <w:t>,</w:t>
            </w:r>
            <w:r w:rsidR="00C135D2" w:rsidRPr="004A47DC">
              <w:rPr>
                <w:rFonts w:ascii="Garamond" w:hAnsi="Garamond"/>
                <w:color w:val="000000" w:themeColor="text1"/>
                <w:sz w:val="16"/>
                <w:szCs w:val="16"/>
              </w:rPr>
              <w:t xml:space="preserve"> Treguesi i Performancës 10.1 Monitorimi i korporatave publike.</w:t>
            </w:r>
          </w:p>
        </w:tc>
        <w:tc>
          <w:tcPr>
            <w:tcW w:w="654" w:type="pct"/>
            <w:tcBorders>
              <w:top w:val="single" w:sz="4" w:space="0" w:color="auto"/>
              <w:left w:val="single" w:sz="4" w:space="0" w:color="auto"/>
              <w:bottom w:val="single" w:sz="4" w:space="0" w:color="auto"/>
              <w:right w:val="single" w:sz="4" w:space="0" w:color="auto"/>
            </w:tcBorders>
            <w:vAlign w:val="center"/>
          </w:tcPr>
          <w:p w14:paraId="2138A560"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C </w:t>
            </w:r>
          </w:p>
          <w:p w14:paraId="152D25ED"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(2017)</w:t>
            </w:r>
          </w:p>
        </w:tc>
        <w:tc>
          <w:tcPr>
            <w:tcW w:w="655" w:type="pct"/>
            <w:tcBorders>
              <w:top w:val="single" w:sz="4" w:space="0" w:color="auto"/>
              <w:left w:val="single" w:sz="4" w:space="0" w:color="auto"/>
              <w:bottom w:val="single" w:sz="4" w:space="0" w:color="auto"/>
              <w:right w:val="single" w:sz="4" w:space="0" w:color="auto"/>
            </w:tcBorders>
            <w:vAlign w:val="center"/>
          </w:tcPr>
          <w:p w14:paraId="0014A49B"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32FB87EE"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769A8316"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20A3D15D"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B</w:t>
            </w:r>
          </w:p>
        </w:tc>
      </w:tr>
      <w:tr w:rsidR="00C135D2" w:rsidRPr="004A47DC" w14:paraId="48BBDB04" w14:textId="77777777" w:rsidTr="001415B2">
        <w:tc>
          <w:tcPr>
            <w:tcW w:w="1727" w:type="pct"/>
            <w:tcBorders>
              <w:top w:val="single" w:sz="4" w:space="0" w:color="auto"/>
              <w:left w:val="single" w:sz="4" w:space="0" w:color="auto"/>
              <w:bottom w:val="single" w:sz="4" w:space="0" w:color="auto"/>
              <w:right w:val="single" w:sz="4" w:space="0" w:color="auto"/>
            </w:tcBorders>
            <w:vAlign w:val="center"/>
          </w:tcPr>
          <w:p w14:paraId="6C184706" w14:textId="50906360" w:rsidR="00C135D2" w:rsidRPr="004A47DC" w:rsidRDefault="0093737B" w:rsidP="0093737B">
            <w:pPr>
              <w:rPr>
                <w:rFonts w:ascii="Garamond" w:hAnsi="Garamond"/>
                <w:color w:val="000000" w:themeColor="text1"/>
                <w:sz w:val="16"/>
                <w:szCs w:val="16"/>
              </w:rPr>
            </w:pPr>
            <w:r w:rsidRPr="004A47DC">
              <w:rPr>
                <w:rFonts w:ascii="Garamond" w:hAnsi="Garamond"/>
                <w:color w:val="000000" w:themeColor="text1"/>
                <w:sz w:val="16"/>
                <w:szCs w:val="16"/>
              </w:rPr>
              <w:t xml:space="preserve">4. </w:t>
            </w:r>
            <w:r w:rsidR="00C135D2" w:rsidRPr="004A47DC">
              <w:rPr>
                <w:rFonts w:ascii="Garamond" w:hAnsi="Garamond"/>
                <w:color w:val="000000" w:themeColor="text1"/>
                <w:sz w:val="16"/>
                <w:szCs w:val="16"/>
              </w:rPr>
              <w:t>Përmirësimi i metodologjisë për vlerësimin, monitorimin dhe mbikëqyrjen e risqeve fiskale në lidhje me NSH-të e përgatitur</w:t>
            </w:r>
            <w:r w:rsidR="00E814D7">
              <w:rPr>
                <w:rFonts w:ascii="Garamond" w:hAnsi="Garamond"/>
                <w:color w:val="000000" w:themeColor="text1"/>
                <w:sz w:val="16"/>
                <w:szCs w:val="16"/>
              </w:rPr>
              <w:t>a</w:t>
            </w:r>
          </w:p>
        </w:tc>
        <w:tc>
          <w:tcPr>
            <w:tcW w:w="654" w:type="pct"/>
            <w:tcBorders>
              <w:top w:val="single" w:sz="4" w:space="0" w:color="auto"/>
              <w:left w:val="single" w:sz="4" w:space="0" w:color="auto"/>
              <w:bottom w:val="single" w:sz="4" w:space="0" w:color="auto"/>
              <w:right w:val="single" w:sz="4" w:space="0" w:color="auto"/>
            </w:tcBorders>
            <w:vAlign w:val="center"/>
          </w:tcPr>
          <w:p w14:paraId="7A699535"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p w14:paraId="3F8DFEFA" w14:textId="77777777" w:rsidR="00C135D2" w:rsidRPr="004A47DC" w:rsidRDefault="00C135D2" w:rsidP="00D571AD">
            <w:pPr>
              <w:pStyle w:val="T-normal"/>
              <w:spacing w:line="240" w:lineRule="auto"/>
              <w:jc w:val="center"/>
              <w:rPr>
                <w:rFonts w:ascii="Garamond" w:hAnsi="Garamond"/>
                <w:color w:val="000000" w:themeColor="text1"/>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457B85E0"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2ECBC009"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992F50E"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75D0077A"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E përmirësuar</w:t>
            </w:r>
          </w:p>
        </w:tc>
      </w:tr>
    </w:tbl>
    <w:p w14:paraId="69CE007E" w14:textId="77777777" w:rsidR="00C135D2" w:rsidRPr="004A47DC" w:rsidRDefault="00C135D2" w:rsidP="0093737B">
      <w:pPr>
        <w:pStyle w:val="TEKSTIII"/>
        <w:rPr>
          <w:color w:val="000000" w:themeColor="text1"/>
        </w:rPr>
      </w:pPr>
    </w:p>
    <w:p w14:paraId="56A0CB62" w14:textId="335A5CAF" w:rsidR="00C135D2" w:rsidRPr="004A47DC" w:rsidRDefault="0093737B" w:rsidP="0093737B">
      <w:pPr>
        <w:pStyle w:val="TEKSTIII"/>
        <w:rPr>
          <w:b/>
          <w:color w:val="000000" w:themeColor="text1"/>
        </w:rPr>
      </w:pPr>
      <w:bookmarkStart w:id="6" w:name="_Toc168918675"/>
      <w:r w:rsidRPr="004A47DC">
        <w:rPr>
          <w:b/>
          <w:color w:val="000000" w:themeColor="text1"/>
        </w:rPr>
        <w:t xml:space="preserve">2.5 </w:t>
      </w:r>
      <w:r w:rsidR="00C135D2" w:rsidRPr="004A47DC">
        <w:rPr>
          <w:b/>
          <w:color w:val="000000" w:themeColor="text1"/>
        </w:rPr>
        <w:t>Komponenti 1.4</w:t>
      </w:r>
      <w:r w:rsidR="001415B2" w:rsidRPr="004A47DC">
        <w:rPr>
          <w:b/>
          <w:color w:val="000000" w:themeColor="text1"/>
        </w:rPr>
        <w:t>:</w:t>
      </w:r>
      <w:r w:rsidR="00C135D2" w:rsidRPr="004A47DC">
        <w:rPr>
          <w:b/>
          <w:color w:val="000000" w:themeColor="text1"/>
        </w:rPr>
        <w:t xml:space="preserve"> Këshilli </w:t>
      </w:r>
      <w:r w:rsidR="001415B2" w:rsidRPr="004A47DC">
        <w:rPr>
          <w:b/>
          <w:color w:val="000000" w:themeColor="text1"/>
        </w:rPr>
        <w:t>Fiskal</w:t>
      </w:r>
      <w:bookmarkEnd w:id="6"/>
    </w:p>
    <w:p w14:paraId="3C3C2A13" w14:textId="77777777" w:rsidR="00C135D2" w:rsidRPr="004A47DC" w:rsidRDefault="00C135D2" w:rsidP="0093737B">
      <w:pPr>
        <w:pStyle w:val="TEKSTIII"/>
        <w:rPr>
          <w:b/>
          <w:color w:val="000000" w:themeColor="text1"/>
        </w:rPr>
      </w:pPr>
      <w:r w:rsidRPr="004A47DC">
        <w:rPr>
          <w:b/>
          <w:color w:val="000000" w:themeColor="text1"/>
        </w:rPr>
        <w:t>Objektivi</w:t>
      </w:r>
    </w:p>
    <w:p w14:paraId="6B26E2C2" w14:textId="4E413B82" w:rsidR="00C135D2" w:rsidRPr="004A47DC" w:rsidRDefault="00C135D2" w:rsidP="0093737B">
      <w:pPr>
        <w:pStyle w:val="TEKSTIII"/>
        <w:rPr>
          <w:color w:val="000000" w:themeColor="text1"/>
        </w:rPr>
      </w:pPr>
      <w:r w:rsidRPr="004A47DC">
        <w:rPr>
          <w:color w:val="000000" w:themeColor="text1"/>
        </w:rPr>
        <w:t>Synimi për vitin 2030 është krijimi i një këshilli fiskal të plotë për të vlerësuar politikën fiskale të qeverisë.</w:t>
      </w:r>
    </w:p>
    <w:p w14:paraId="27D9B672" w14:textId="77777777" w:rsidR="00C135D2" w:rsidRPr="004A47DC" w:rsidRDefault="00C135D2" w:rsidP="0093737B">
      <w:pPr>
        <w:pStyle w:val="TEKSTIII"/>
        <w:rPr>
          <w:b/>
          <w:color w:val="000000" w:themeColor="text1"/>
        </w:rPr>
      </w:pPr>
      <w:r w:rsidRPr="004A47DC">
        <w:rPr>
          <w:b/>
          <w:color w:val="000000" w:themeColor="text1"/>
        </w:rPr>
        <w:t>Konteksti</w:t>
      </w:r>
    </w:p>
    <w:p w14:paraId="66390263" w14:textId="59DE4FC3" w:rsidR="00C135D2" w:rsidRPr="004A47DC" w:rsidRDefault="00C135D2" w:rsidP="0093737B">
      <w:pPr>
        <w:pStyle w:val="TEKSTIII"/>
        <w:rPr>
          <w:color w:val="000000" w:themeColor="text1"/>
        </w:rPr>
      </w:pPr>
      <w:r w:rsidRPr="004A47DC">
        <w:rPr>
          <w:color w:val="000000" w:themeColor="text1"/>
        </w:rPr>
        <w:t>Në përputhje me udhërrëfyesin e Reformës në Administratën Publike</w:t>
      </w:r>
      <w:r w:rsidR="00E814D7">
        <w:rPr>
          <w:color w:val="000000" w:themeColor="text1"/>
        </w:rPr>
        <w:t>,</w:t>
      </w:r>
      <w:r w:rsidRPr="00E814D7">
        <w:rPr>
          <w:rStyle w:val="FootnoteReference"/>
          <w:rFonts w:ascii="Garamond" w:hAnsi="Garamond"/>
          <w:color w:val="000000" w:themeColor="text1"/>
          <w:sz w:val="24"/>
          <w:szCs w:val="24"/>
        </w:rPr>
        <w:footnoteReference w:id="10"/>
      </w:r>
      <w:r w:rsidRPr="004A47DC">
        <w:rPr>
          <w:color w:val="000000" w:themeColor="text1"/>
        </w:rPr>
        <w:t xml:space="preserve"> si dhe rekomandimet dhe rregulloret e BE-së</w:t>
      </w:r>
      <w:r w:rsidR="00E814D7">
        <w:rPr>
          <w:color w:val="000000" w:themeColor="text1"/>
        </w:rPr>
        <w:t>,</w:t>
      </w:r>
      <w:r w:rsidRPr="00E814D7">
        <w:rPr>
          <w:rStyle w:val="FootnoteReference"/>
          <w:rFonts w:ascii="Garamond" w:hAnsi="Garamond"/>
          <w:color w:val="000000" w:themeColor="text1"/>
          <w:sz w:val="24"/>
          <w:szCs w:val="24"/>
        </w:rPr>
        <w:footnoteReference w:id="11"/>
      </w:r>
      <w:r w:rsidRPr="004A47DC">
        <w:rPr>
          <w:color w:val="000000" w:themeColor="text1"/>
        </w:rPr>
        <w:t xml:space="preserve"> do të krijohet një institucion i pavarur fiskal (Këshilli Fiskal) në kuadër të procesit të integrimit në BE. Mandati i Këshillit Fiskal do të jetë, ndër të tjera, vlerësimi i politikës fiskale të </w:t>
      </w:r>
      <w:r w:rsidR="001415B2" w:rsidRPr="004A47DC">
        <w:rPr>
          <w:color w:val="000000" w:themeColor="text1"/>
        </w:rPr>
        <w:t>q</w:t>
      </w:r>
      <w:r w:rsidRPr="004A47DC">
        <w:rPr>
          <w:color w:val="000000" w:themeColor="text1"/>
        </w:rPr>
        <w:t>everisë.</w:t>
      </w:r>
      <w:r w:rsidRPr="00E814D7">
        <w:rPr>
          <w:rStyle w:val="FootnoteReference"/>
          <w:rFonts w:ascii="Garamond" w:hAnsi="Garamond"/>
          <w:color w:val="000000" w:themeColor="text1"/>
          <w:sz w:val="24"/>
          <w:szCs w:val="24"/>
        </w:rPr>
        <w:footnoteReference w:id="12"/>
      </w:r>
      <w:r w:rsidRPr="004A47DC">
        <w:rPr>
          <w:color w:val="000000" w:themeColor="text1"/>
        </w:rPr>
        <w:t xml:space="preserve"> </w:t>
      </w:r>
    </w:p>
    <w:p w14:paraId="6A05F7C3" w14:textId="77777777" w:rsidR="00C135D2" w:rsidRPr="004A47DC" w:rsidRDefault="00C135D2" w:rsidP="0093737B">
      <w:pPr>
        <w:pStyle w:val="TEKSTIII"/>
        <w:rPr>
          <w:b/>
          <w:color w:val="000000" w:themeColor="text1"/>
        </w:rPr>
      </w:pPr>
      <w:r w:rsidRPr="004A47DC">
        <w:rPr>
          <w:b/>
          <w:color w:val="000000" w:themeColor="text1"/>
        </w:rPr>
        <w:t>Prioritetet</w:t>
      </w:r>
    </w:p>
    <w:p w14:paraId="01FED879" w14:textId="59845804" w:rsidR="00C135D2" w:rsidRPr="004A47DC" w:rsidRDefault="00C135D2" w:rsidP="0093737B">
      <w:pPr>
        <w:pStyle w:val="TEKSTIII"/>
        <w:rPr>
          <w:color w:val="000000" w:themeColor="text1"/>
        </w:rPr>
      </w:pPr>
      <w:r w:rsidRPr="004A47DC">
        <w:rPr>
          <w:color w:val="000000" w:themeColor="text1"/>
        </w:rPr>
        <w:t xml:space="preserve">Prioritetet për periudhën </w:t>
      </w:r>
      <w:r w:rsidR="00DB1D7E" w:rsidRPr="004A47DC">
        <w:rPr>
          <w:color w:val="000000" w:themeColor="text1"/>
        </w:rPr>
        <w:t>2023–2026</w:t>
      </w:r>
      <w:r w:rsidRPr="004A47DC">
        <w:rPr>
          <w:color w:val="000000" w:themeColor="text1"/>
        </w:rPr>
        <w:t xml:space="preserve"> janë:</w:t>
      </w:r>
    </w:p>
    <w:p w14:paraId="28C34B43" w14:textId="5C5D8D6A" w:rsidR="00C135D2" w:rsidRPr="004A47DC" w:rsidRDefault="0093737B" w:rsidP="0093737B">
      <w:pPr>
        <w:pStyle w:val="TEKSTIII"/>
        <w:rPr>
          <w:color w:val="000000" w:themeColor="text1"/>
        </w:rPr>
      </w:pPr>
      <w:r w:rsidRPr="004A47DC">
        <w:rPr>
          <w:color w:val="000000" w:themeColor="text1"/>
        </w:rPr>
        <w:t xml:space="preserve">- </w:t>
      </w:r>
      <w:r w:rsidR="00C135D2" w:rsidRPr="004A47DC">
        <w:rPr>
          <w:color w:val="000000" w:themeColor="text1"/>
        </w:rPr>
        <w:t>Krijimi i Këshillit Fiskal (</w:t>
      </w:r>
      <w:r w:rsidR="00E814D7" w:rsidRPr="004A47DC">
        <w:rPr>
          <w:color w:val="000000" w:themeColor="text1"/>
        </w:rPr>
        <w:t>institucion i pavarur fiskal</w:t>
      </w:r>
      <w:r w:rsidR="00C135D2" w:rsidRPr="004A47DC">
        <w:rPr>
          <w:color w:val="000000" w:themeColor="text1"/>
        </w:rPr>
        <w:t>)</w:t>
      </w:r>
      <w:r w:rsidR="00E814D7">
        <w:rPr>
          <w:color w:val="000000" w:themeColor="text1"/>
        </w:rPr>
        <w:t>.</w:t>
      </w:r>
    </w:p>
    <w:p w14:paraId="672B10BF" w14:textId="77777777" w:rsidR="00C135D2" w:rsidRPr="004A47DC" w:rsidRDefault="00C135D2" w:rsidP="0093737B">
      <w:pPr>
        <w:pStyle w:val="TEKSTIII"/>
        <w:rPr>
          <w:color w:val="000000" w:themeColor="text1"/>
        </w:rPr>
      </w:pPr>
    </w:p>
    <w:p w14:paraId="7A2E6432" w14:textId="77777777" w:rsidR="00C135D2" w:rsidRPr="004A47DC" w:rsidRDefault="00C135D2" w:rsidP="0093737B">
      <w:pPr>
        <w:pStyle w:val="TEKSTIII"/>
        <w:rPr>
          <w:b/>
          <w:color w:val="000000" w:themeColor="text1"/>
        </w:rPr>
      </w:pPr>
      <w:r w:rsidRPr="004A47DC">
        <w:rPr>
          <w:b/>
          <w:color w:val="000000" w:themeColor="text1"/>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980"/>
        <w:gridCol w:w="5208"/>
        <w:gridCol w:w="584"/>
        <w:gridCol w:w="707"/>
        <w:gridCol w:w="1582"/>
      </w:tblGrid>
      <w:tr w:rsidR="004719D2" w:rsidRPr="004A47DC" w14:paraId="1B693541" w14:textId="77777777" w:rsidTr="001415B2">
        <w:trPr>
          <w:trHeight w:val="20"/>
          <w:tblHeader/>
        </w:trPr>
        <w:tc>
          <w:tcPr>
            <w:tcW w:w="541" w:type="pct"/>
            <w:shd w:val="clear" w:color="auto" w:fill="D9D9D9" w:themeFill="background1" w:themeFillShade="D9"/>
            <w:vAlign w:val="center"/>
          </w:tcPr>
          <w:p w14:paraId="60C6D92F"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2874" w:type="pct"/>
            <w:shd w:val="clear" w:color="auto" w:fill="D9D9D9" w:themeFill="background1" w:themeFillShade="D9"/>
            <w:vAlign w:val="center"/>
          </w:tcPr>
          <w:p w14:paraId="4786C634"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22" w:type="pct"/>
            <w:shd w:val="clear" w:color="auto" w:fill="D9D9D9" w:themeFill="background1" w:themeFillShade="D9"/>
            <w:vAlign w:val="center"/>
          </w:tcPr>
          <w:p w14:paraId="186E8279"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390" w:type="pct"/>
            <w:shd w:val="clear" w:color="auto" w:fill="D9D9D9" w:themeFill="background1" w:themeFillShade="D9"/>
            <w:vAlign w:val="center"/>
          </w:tcPr>
          <w:p w14:paraId="62901DAB"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873" w:type="pct"/>
            <w:shd w:val="clear" w:color="auto" w:fill="D9D9D9" w:themeFill="background1" w:themeFillShade="D9"/>
            <w:vAlign w:val="center"/>
          </w:tcPr>
          <w:p w14:paraId="4DCF0E6C" w14:textId="3B4382F0"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 xml:space="preserve">Grupet e </w:t>
            </w:r>
            <w:r w:rsidR="001415B2" w:rsidRPr="004A47DC">
              <w:rPr>
                <w:rFonts w:ascii="Garamond" w:hAnsi="Garamond"/>
                <w:color w:val="000000" w:themeColor="text1"/>
              </w:rPr>
              <w:t>i</w:t>
            </w:r>
            <w:r w:rsidRPr="004A47DC">
              <w:rPr>
                <w:rFonts w:ascii="Garamond" w:hAnsi="Garamond"/>
                <w:color w:val="000000" w:themeColor="text1"/>
              </w:rPr>
              <w:t>nteresit</w:t>
            </w:r>
          </w:p>
        </w:tc>
      </w:tr>
      <w:tr w:rsidR="004719D2" w:rsidRPr="004A47DC" w14:paraId="3E6F9002" w14:textId="77777777" w:rsidTr="001415B2">
        <w:trPr>
          <w:trHeight w:val="1104"/>
        </w:trPr>
        <w:tc>
          <w:tcPr>
            <w:tcW w:w="541" w:type="pct"/>
            <w:vMerge w:val="restart"/>
            <w:shd w:val="clear" w:color="auto" w:fill="auto"/>
          </w:tcPr>
          <w:p w14:paraId="2E2CC74C"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1.4.1 </w:t>
            </w:r>
          </w:p>
          <w:p w14:paraId="06E6696F" w14:textId="77777777" w:rsidR="00C135D2" w:rsidRPr="004A47DC" w:rsidRDefault="00C135D2" w:rsidP="00D571AD">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Krijimi i Këshillit Fiskal</w:t>
            </w:r>
          </w:p>
        </w:tc>
        <w:tc>
          <w:tcPr>
            <w:tcW w:w="2874" w:type="pct"/>
          </w:tcPr>
          <w:p w14:paraId="50676AFD" w14:textId="34587054" w:rsidR="00C135D2" w:rsidRPr="004A47DC" w:rsidRDefault="0093737B" w:rsidP="0093737B">
            <w:pPr>
              <w:autoSpaceDE w:val="0"/>
              <w:autoSpaceDN w:val="0"/>
              <w:adjustRightInd w:val="0"/>
              <w:rPr>
                <w:rFonts w:ascii="Garamond" w:eastAsia="Times New Roman" w:hAnsi="Garamond"/>
                <w:bCs/>
                <w:color w:val="000000" w:themeColor="text1"/>
                <w:sz w:val="16"/>
                <w:szCs w:val="16"/>
              </w:rPr>
            </w:pPr>
            <w:r w:rsidRPr="004A47DC">
              <w:rPr>
                <w:rFonts w:ascii="Garamond" w:hAnsi="Garamond"/>
                <w:color w:val="000000" w:themeColor="text1"/>
                <w:sz w:val="16"/>
                <w:szCs w:val="16"/>
              </w:rPr>
              <w:t xml:space="preserve">1. </w:t>
            </w:r>
            <w:r w:rsidR="00C135D2" w:rsidRPr="004A47DC">
              <w:rPr>
                <w:rFonts w:ascii="Garamond" w:hAnsi="Garamond"/>
                <w:color w:val="000000" w:themeColor="text1"/>
                <w:sz w:val="16"/>
                <w:szCs w:val="16"/>
              </w:rPr>
              <w:t xml:space="preserve">Përgatitja e një raporti me opsione që paraqet modalitetet e mundshme për një </w:t>
            </w:r>
            <w:r w:rsidR="00E814D7" w:rsidRPr="004A47DC">
              <w:rPr>
                <w:rFonts w:ascii="Garamond" w:hAnsi="Garamond"/>
                <w:color w:val="000000" w:themeColor="text1"/>
                <w:sz w:val="16"/>
                <w:szCs w:val="16"/>
              </w:rPr>
              <w:t>këshill f</w:t>
            </w:r>
            <w:r w:rsidR="00C135D2" w:rsidRPr="004A47DC">
              <w:rPr>
                <w:rFonts w:ascii="Garamond" w:hAnsi="Garamond"/>
                <w:color w:val="000000" w:themeColor="text1"/>
                <w:sz w:val="16"/>
                <w:szCs w:val="16"/>
              </w:rPr>
              <w:t>iskal të përshtatur me kontekstin shqiptar. Identifikimi i opsionit të preferuar dhe zhvillimi i një plani të kostuar për krijimin dhe funksionimin e Këshillit Fiskal</w:t>
            </w:r>
            <w:r w:rsidR="00E814D7">
              <w:rPr>
                <w:rFonts w:ascii="Garamond" w:hAnsi="Garamond"/>
                <w:color w:val="000000" w:themeColor="text1"/>
                <w:sz w:val="16"/>
                <w:szCs w:val="16"/>
              </w:rPr>
              <w:t>.</w:t>
            </w:r>
          </w:p>
        </w:tc>
        <w:tc>
          <w:tcPr>
            <w:tcW w:w="322" w:type="pct"/>
            <w:vAlign w:val="center"/>
          </w:tcPr>
          <w:p w14:paraId="2A80576F"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390" w:type="pct"/>
            <w:vAlign w:val="center"/>
          </w:tcPr>
          <w:p w14:paraId="18A709E7"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873" w:type="pct"/>
            <w:vMerge w:val="restart"/>
          </w:tcPr>
          <w:p w14:paraId="5B33AED2" w14:textId="77777777" w:rsidR="00C135D2" w:rsidRPr="004A47DC" w:rsidRDefault="00C135D2" w:rsidP="00D571AD">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68C68833" w14:textId="77777777" w:rsidR="00C135D2" w:rsidRPr="004A47DC" w:rsidRDefault="00C135D2" w:rsidP="00D571AD">
            <w:pPr>
              <w:rPr>
                <w:rFonts w:ascii="Garamond" w:hAnsi="Garamond"/>
                <w:color w:val="000000" w:themeColor="text1"/>
                <w:sz w:val="16"/>
                <w:szCs w:val="16"/>
              </w:rPr>
            </w:pPr>
            <w:r w:rsidRPr="004A47DC">
              <w:rPr>
                <w:rFonts w:ascii="Garamond" w:hAnsi="Garamond"/>
                <w:color w:val="000000" w:themeColor="text1"/>
                <w:sz w:val="16"/>
                <w:szCs w:val="16"/>
              </w:rPr>
              <w:t>Grupi i punës për ngritjen e Këshillit Fiskal (lider)</w:t>
            </w:r>
          </w:p>
          <w:p w14:paraId="23640B88" w14:textId="77777777" w:rsidR="00C135D2" w:rsidRPr="004A47DC" w:rsidRDefault="00C135D2" w:rsidP="00D571AD">
            <w:pPr>
              <w:pStyle w:val="EcorysBody"/>
              <w:spacing w:line="240" w:lineRule="auto"/>
              <w:rPr>
                <w:rFonts w:ascii="Garamond" w:hAnsi="Garamond" w:cs="Arial"/>
                <w:b/>
                <w:bCs/>
                <w:color w:val="000000" w:themeColor="text1"/>
                <w:sz w:val="16"/>
                <w:szCs w:val="16"/>
              </w:rPr>
            </w:pPr>
          </w:p>
          <w:p w14:paraId="501B35AD" w14:textId="77777777" w:rsidR="00C135D2" w:rsidRPr="004A47DC" w:rsidRDefault="00C135D2" w:rsidP="00D571AD">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3EE6FC73" w14:textId="412872FA" w:rsidR="00C135D2" w:rsidRPr="004A47DC" w:rsidRDefault="00C135D2" w:rsidP="00D571AD">
            <w:pPr>
              <w:pStyle w:val="EcorysBody"/>
              <w:spacing w:line="240" w:lineRule="auto"/>
              <w:rPr>
                <w:rFonts w:ascii="Garamond" w:hAnsi="Garamond"/>
                <w:color w:val="000000" w:themeColor="text1"/>
                <w:sz w:val="16"/>
                <w:szCs w:val="16"/>
              </w:rPr>
            </w:pPr>
            <w:r w:rsidRPr="004A47DC">
              <w:rPr>
                <w:rFonts w:ascii="Garamond" w:hAnsi="Garamond"/>
                <w:color w:val="000000" w:themeColor="text1"/>
                <w:sz w:val="16"/>
                <w:szCs w:val="16"/>
              </w:rPr>
              <w:t>BB/Fondi i Mirëbesimit Rajonal të BE</w:t>
            </w:r>
            <w:r w:rsidR="00E814D7">
              <w:rPr>
                <w:rFonts w:ascii="Garamond" w:hAnsi="Garamond"/>
                <w:color w:val="000000" w:themeColor="text1"/>
                <w:sz w:val="16"/>
                <w:szCs w:val="16"/>
              </w:rPr>
              <w:t>-së</w:t>
            </w:r>
          </w:p>
        </w:tc>
      </w:tr>
      <w:tr w:rsidR="004719D2" w:rsidRPr="004A47DC" w14:paraId="5B13CC60" w14:textId="77777777" w:rsidTr="001415B2">
        <w:trPr>
          <w:trHeight w:val="20"/>
        </w:trPr>
        <w:tc>
          <w:tcPr>
            <w:tcW w:w="541" w:type="pct"/>
            <w:vMerge/>
            <w:shd w:val="clear" w:color="auto" w:fill="auto"/>
          </w:tcPr>
          <w:p w14:paraId="58F47A76" w14:textId="77777777" w:rsidR="00C135D2" w:rsidRPr="004A47DC" w:rsidRDefault="00C135D2" w:rsidP="00732B6D">
            <w:pPr>
              <w:pStyle w:val="EcorysBody"/>
              <w:numPr>
                <w:ilvl w:val="0"/>
                <w:numId w:val="2"/>
              </w:numPr>
              <w:spacing w:line="240" w:lineRule="auto"/>
              <w:rPr>
                <w:rFonts w:ascii="Garamond" w:hAnsi="Garamond" w:cs="Arial"/>
                <w:color w:val="000000" w:themeColor="text1"/>
                <w:sz w:val="16"/>
                <w:szCs w:val="16"/>
              </w:rPr>
            </w:pPr>
          </w:p>
        </w:tc>
        <w:tc>
          <w:tcPr>
            <w:tcW w:w="2874" w:type="pct"/>
          </w:tcPr>
          <w:p w14:paraId="360AE3A0" w14:textId="3FDA030F" w:rsidR="00C135D2" w:rsidRPr="004A47DC" w:rsidRDefault="0093737B" w:rsidP="0093737B">
            <w:pPr>
              <w:autoSpaceDE w:val="0"/>
              <w:autoSpaceDN w:val="0"/>
              <w:adjustRightInd w:val="0"/>
              <w:rPr>
                <w:rFonts w:ascii="Garamond" w:eastAsia="Times New Roman" w:hAnsi="Garamond"/>
                <w:bCs/>
                <w:color w:val="000000" w:themeColor="text1"/>
                <w:sz w:val="16"/>
                <w:szCs w:val="16"/>
              </w:rPr>
            </w:pPr>
            <w:r w:rsidRPr="004A47DC">
              <w:rPr>
                <w:rFonts w:ascii="Garamond" w:hAnsi="Garamond"/>
                <w:color w:val="000000" w:themeColor="text1"/>
                <w:sz w:val="16"/>
                <w:szCs w:val="16"/>
              </w:rPr>
              <w:t xml:space="preserve">2. </w:t>
            </w:r>
            <w:r w:rsidR="00C135D2" w:rsidRPr="004A47DC">
              <w:rPr>
                <w:rFonts w:ascii="Garamond" w:hAnsi="Garamond"/>
                <w:color w:val="000000" w:themeColor="text1"/>
                <w:sz w:val="16"/>
                <w:szCs w:val="16"/>
              </w:rPr>
              <w:t>Përgatitja dhe zbatimi i ndryshimeve të nevojshme në legjislacionin përkatës duke përfshirë një akt nënligjor për funksionimin e Këshillit Fiskal</w:t>
            </w:r>
            <w:r w:rsidR="00E814D7">
              <w:rPr>
                <w:rFonts w:ascii="Garamond" w:hAnsi="Garamond"/>
                <w:color w:val="000000" w:themeColor="text1"/>
                <w:sz w:val="16"/>
                <w:szCs w:val="16"/>
              </w:rPr>
              <w:t>.</w:t>
            </w:r>
          </w:p>
        </w:tc>
        <w:tc>
          <w:tcPr>
            <w:tcW w:w="322" w:type="pct"/>
            <w:vAlign w:val="center"/>
          </w:tcPr>
          <w:p w14:paraId="5ACB3409"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390" w:type="pct"/>
            <w:vAlign w:val="center"/>
          </w:tcPr>
          <w:p w14:paraId="40981EFA"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873" w:type="pct"/>
            <w:vMerge/>
          </w:tcPr>
          <w:p w14:paraId="26E93144" w14:textId="77777777" w:rsidR="00C135D2" w:rsidRPr="004A47DC" w:rsidRDefault="00C135D2" w:rsidP="00D571AD">
            <w:pPr>
              <w:rPr>
                <w:rFonts w:ascii="Garamond" w:hAnsi="Garamond"/>
                <w:color w:val="000000" w:themeColor="text1"/>
                <w:sz w:val="16"/>
                <w:szCs w:val="16"/>
              </w:rPr>
            </w:pPr>
          </w:p>
        </w:tc>
      </w:tr>
      <w:tr w:rsidR="004719D2" w:rsidRPr="004A47DC" w14:paraId="4C072DCE" w14:textId="77777777" w:rsidTr="001415B2">
        <w:trPr>
          <w:trHeight w:val="20"/>
        </w:trPr>
        <w:tc>
          <w:tcPr>
            <w:tcW w:w="541" w:type="pct"/>
            <w:vMerge/>
            <w:shd w:val="clear" w:color="auto" w:fill="auto"/>
          </w:tcPr>
          <w:p w14:paraId="21947471" w14:textId="77777777" w:rsidR="00C135D2" w:rsidRPr="004A47DC" w:rsidRDefault="00C135D2" w:rsidP="00732B6D">
            <w:pPr>
              <w:pStyle w:val="EcorysBody"/>
              <w:numPr>
                <w:ilvl w:val="0"/>
                <w:numId w:val="2"/>
              </w:numPr>
              <w:spacing w:line="240" w:lineRule="auto"/>
              <w:rPr>
                <w:rFonts w:ascii="Garamond" w:hAnsi="Garamond" w:cs="Arial"/>
                <w:color w:val="000000" w:themeColor="text1"/>
                <w:sz w:val="16"/>
                <w:szCs w:val="16"/>
              </w:rPr>
            </w:pPr>
          </w:p>
        </w:tc>
        <w:tc>
          <w:tcPr>
            <w:tcW w:w="2874" w:type="pct"/>
          </w:tcPr>
          <w:p w14:paraId="5743C64D" w14:textId="4DB01E21" w:rsidR="00C135D2" w:rsidRPr="00E814D7" w:rsidRDefault="00E814D7" w:rsidP="00E814D7">
            <w:pPr>
              <w:autoSpaceDE w:val="0"/>
              <w:autoSpaceDN w:val="0"/>
              <w:adjustRightInd w:val="0"/>
              <w:rPr>
                <w:rFonts w:ascii="Garamond" w:eastAsia="Times New Roman" w:hAnsi="Garamond"/>
                <w:bCs/>
                <w:color w:val="000000" w:themeColor="text1"/>
                <w:sz w:val="16"/>
                <w:szCs w:val="16"/>
              </w:rPr>
            </w:pPr>
            <w:r>
              <w:rPr>
                <w:rFonts w:ascii="Garamond" w:eastAsia="Times New Roman" w:hAnsi="Garamond"/>
                <w:bCs/>
                <w:color w:val="000000" w:themeColor="text1"/>
                <w:sz w:val="16"/>
                <w:szCs w:val="16"/>
              </w:rPr>
              <w:t xml:space="preserve">3. </w:t>
            </w:r>
            <w:r w:rsidR="00C135D2" w:rsidRPr="00E814D7">
              <w:rPr>
                <w:rFonts w:ascii="Garamond" w:eastAsia="Times New Roman" w:hAnsi="Garamond"/>
                <w:bCs/>
                <w:color w:val="000000" w:themeColor="text1"/>
                <w:sz w:val="16"/>
                <w:szCs w:val="16"/>
              </w:rPr>
              <w:t>Krijimi i Këshillit Fiskal</w:t>
            </w:r>
            <w:r w:rsidRPr="00E814D7">
              <w:rPr>
                <w:rFonts w:ascii="Garamond" w:eastAsia="Times New Roman" w:hAnsi="Garamond"/>
                <w:bCs/>
                <w:color w:val="000000" w:themeColor="text1"/>
                <w:sz w:val="16"/>
                <w:szCs w:val="16"/>
              </w:rPr>
              <w:t>.</w:t>
            </w:r>
          </w:p>
        </w:tc>
        <w:tc>
          <w:tcPr>
            <w:tcW w:w="322" w:type="pct"/>
            <w:vAlign w:val="center"/>
          </w:tcPr>
          <w:p w14:paraId="5E1B5B1A"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390" w:type="pct"/>
            <w:vAlign w:val="center"/>
          </w:tcPr>
          <w:p w14:paraId="5A82DA32" w14:textId="77777777" w:rsidR="00C135D2" w:rsidRPr="004A47DC" w:rsidRDefault="00C135D2" w:rsidP="00D571AD">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873" w:type="pct"/>
            <w:vMerge/>
          </w:tcPr>
          <w:p w14:paraId="68F9A3A0" w14:textId="77777777" w:rsidR="00C135D2" w:rsidRPr="004A47DC" w:rsidRDefault="00C135D2" w:rsidP="00D571AD">
            <w:pPr>
              <w:rPr>
                <w:rFonts w:ascii="Garamond" w:hAnsi="Garamond"/>
                <w:color w:val="000000" w:themeColor="text1"/>
                <w:sz w:val="16"/>
                <w:szCs w:val="16"/>
              </w:rPr>
            </w:pPr>
          </w:p>
        </w:tc>
      </w:tr>
    </w:tbl>
    <w:p w14:paraId="4A751B44" w14:textId="77777777" w:rsidR="00C135D2" w:rsidRPr="004A47DC" w:rsidRDefault="00C135D2" w:rsidP="0093737B">
      <w:pPr>
        <w:pStyle w:val="TEKSTIII"/>
        <w:rPr>
          <w:b/>
          <w:color w:val="000000" w:themeColor="text1"/>
        </w:rPr>
      </w:pPr>
    </w:p>
    <w:p w14:paraId="09A3DAF8" w14:textId="77777777" w:rsidR="00C135D2" w:rsidRPr="004A47DC" w:rsidRDefault="00C135D2" w:rsidP="0093737B">
      <w:pPr>
        <w:pStyle w:val="TEKSTIII"/>
        <w:rPr>
          <w:b/>
          <w:color w:val="000000" w:themeColor="text1"/>
        </w:rPr>
      </w:pPr>
      <w:r w:rsidRPr="004A47DC">
        <w:rPr>
          <w:b/>
          <w:color w:val="000000" w:themeColor="text1"/>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C135D2" w:rsidRPr="004A47DC" w14:paraId="686FD230" w14:textId="77777777" w:rsidTr="001415B2">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1418B5"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4D5F0"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90072C"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58CDC578" w14:textId="77777777" w:rsidTr="001415B2">
        <w:tc>
          <w:tcPr>
            <w:tcW w:w="1727" w:type="pct"/>
            <w:vMerge/>
            <w:tcBorders>
              <w:top w:val="single" w:sz="4" w:space="0" w:color="auto"/>
              <w:left w:val="single" w:sz="4" w:space="0" w:color="auto"/>
              <w:bottom w:val="single" w:sz="4" w:space="0" w:color="auto"/>
              <w:right w:val="single" w:sz="4" w:space="0" w:color="auto"/>
            </w:tcBorders>
            <w:vAlign w:val="center"/>
            <w:hideMark/>
          </w:tcPr>
          <w:p w14:paraId="24DF65EA" w14:textId="77777777" w:rsidR="00C135D2" w:rsidRPr="004A47DC" w:rsidRDefault="00C135D2" w:rsidP="001415B2">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295579C2" w14:textId="77777777" w:rsidR="00C135D2" w:rsidRPr="004A47DC" w:rsidRDefault="00C135D2" w:rsidP="001415B2">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2CC059"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BEB01"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34294"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AE10F8" w14:textId="77777777" w:rsidR="00C135D2" w:rsidRPr="004A47DC" w:rsidRDefault="00C135D2" w:rsidP="001415B2">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C135D2" w:rsidRPr="004A47DC" w14:paraId="4EE7F2DA" w14:textId="77777777" w:rsidTr="001415B2">
        <w:tc>
          <w:tcPr>
            <w:tcW w:w="1727" w:type="pct"/>
            <w:tcBorders>
              <w:top w:val="single" w:sz="4" w:space="0" w:color="auto"/>
              <w:left w:val="single" w:sz="4" w:space="0" w:color="auto"/>
              <w:bottom w:val="single" w:sz="4" w:space="0" w:color="auto"/>
              <w:right w:val="single" w:sz="4" w:space="0" w:color="auto"/>
            </w:tcBorders>
          </w:tcPr>
          <w:p w14:paraId="691D8274" w14:textId="655C6F2E" w:rsidR="00C135D2" w:rsidRPr="004A47DC" w:rsidRDefault="003D0C3A" w:rsidP="003D0C3A">
            <w:pPr>
              <w:rPr>
                <w:rFonts w:ascii="Garamond" w:hAnsi="Garamond"/>
                <w:color w:val="000000" w:themeColor="text1"/>
                <w:sz w:val="16"/>
                <w:szCs w:val="16"/>
              </w:rPr>
            </w:pPr>
            <w:r w:rsidRPr="004A47DC">
              <w:rPr>
                <w:rFonts w:ascii="Garamond" w:hAnsi="Garamond"/>
                <w:color w:val="000000" w:themeColor="text1"/>
                <w:sz w:val="16"/>
                <w:szCs w:val="16"/>
              </w:rPr>
              <w:t xml:space="preserve">1. </w:t>
            </w:r>
            <w:r w:rsidR="00C135D2" w:rsidRPr="004A47DC">
              <w:rPr>
                <w:rFonts w:ascii="Garamond" w:hAnsi="Garamond"/>
                <w:color w:val="000000" w:themeColor="text1"/>
                <w:sz w:val="16"/>
                <w:szCs w:val="16"/>
              </w:rPr>
              <w:t>Krijimi i Këshillit Fiskal</w:t>
            </w:r>
          </w:p>
        </w:tc>
        <w:tc>
          <w:tcPr>
            <w:tcW w:w="654" w:type="pct"/>
            <w:tcBorders>
              <w:top w:val="single" w:sz="4" w:space="0" w:color="auto"/>
              <w:left w:val="single" w:sz="4" w:space="0" w:color="auto"/>
              <w:bottom w:val="single" w:sz="4" w:space="0" w:color="auto"/>
              <w:right w:val="single" w:sz="4" w:space="0" w:color="auto"/>
            </w:tcBorders>
            <w:vAlign w:val="center"/>
          </w:tcPr>
          <w:p w14:paraId="2C2291A1" w14:textId="77777777" w:rsidR="00C135D2" w:rsidRPr="004A47DC" w:rsidRDefault="00C135D2" w:rsidP="00D571AD">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4539A022" w14:textId="77777777" w:rsidR="00C135D2" w:rsidRPr="004A47DC" w:rsidRDefault="00C135D2" w:rsidP="00D571AD">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tcPr>
          <w:p w14:paraId="4EC11F9A"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Përgatitja e raportit me opsionet mbi Këshillin Fiskal</w:t>
            </w:r>
          </w:p>
        </w:tc>
        <w:tc>
          <w:tcPr>
            <w:tcW w:w="655" w:type="pct"/>
            <w:tcBorders>
              <w:top w:val="single" w:sz="4" w:space="0" w:color="auto"/>
              <w:left w:val="single" w:sz="4" w:space="0" w:color="auto"/>
              <w:bottom w:val="single" w:sz="4" w:space="0" w:color="auto"/>
              <w:right w:val="single" w:sz="4" w:space="0" w:color="auto"/>
            </w:tcBorders>
          </w:tcPr>
          <w:p w14:paraId="61E63C52"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Hartimi i kuadrit ligjor të Këshillit Fiskal</w:t>
            </w:r>
          </w:p>
        </w:tc>
        <w:tc>
          <w:tcPr>
            <w:tcW w:w="655" w:type="pct"/>
            <w:tcBorders>
              <w:top w:val="single" w:sz="4" w:space="0" w:color="auto"/>
              <w:left w:val="single" w:sz="4" w:space="0" w:color="auto"/>
              <w:bottom w:val="single" w:sz="4" w:space="0" w:color="auto"/>
              <w:right w:val="single" w:sz="4" w:space="0" w:color="auto"/>
            </w:tcBorders>
          </w:tcPr>
          <w:p w14:paraId="58A50CC6" w14:textId="77777777" w:rsidR="00C135D2" w:rsidRPr="004A47DC" w:rsidRDefault="00C135D2" w:rsidP="00D571AD">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Miratimi i kuadrit ligjor të Këshillit Fiskal</w:t>
            </w:r>
          </w:p>
        </w:tc>
      </w:tr>
    </w:tbl>
    <w:p w14:paraId="1C1AB53E" w14:textId="058BC9EB" w:rsidR="00C135D2" w:rsidRPr="004A47DC" w:rsidRDefault="00C135D2" w:rsidP="00C135D2">
      <w:pPr>
        <w:pStyle w:val="TEKSTIII"/>
        <w:rPr>
          <w:color w:val="000000" w:themeColor="text1"/>
          <w:highlight w:val="yellow"/>
        </w:rPr>
      </w:pPr>
    </w:p>
    <w:p w14:paraId="1F76D27C" w14:textId="2DB34545" w:rsidR="004719D2" w:rsidRPr="004A47DC" w:rsidRDefault="004719D2" w:rsidP="004719D2">
      <w:pPr>
        <w:pStyle w:val="TEKSTIII"/>
        <w:rPr>
          <w:rStyle w:val="IntenseReference"/>
          <w:rFonts w:ascii="Garamond" w:eastAsiaTheme="majorEastAsia" w:hAnsi="Garamond" w:cstheme="majorBidi"/>
          <w:b/>
          <w:i w:val="0"/>
          <w:color w:val="000000" w:themeColor="text1"/>
          <w:sz w:val="26"/>
          <w:szCs w:val="26"/>
        </w:rPr>
      </w:pPr>
      <w:r w:rsidRPr="004A47DC">
        <w:rPr>
          <w:rStyle w:val="IntenseReference"/>
          <w:rFonts w:ascii="Garamond" w:eastAsiaTheme="majorEastAsia" w:hAnsi="Garamond" w:cstheme="majorBidi"/>
          <w:b/>
          <w:i w:val="0"/>
          <w:color w:val="000000" w:themeColor="text1"/>
          <w:sz w:val="26"/>
          <w:szCs w:val="26"/>
        </w:rPr>
        <w:t xml:space="preserve">3. </w:t>
      </w:r>
      <w:bookmarkStart w:id="7" w:name="_Toc168918676"/>
      <w:r w:rsidRPr="004A47DC">
        <w:rPr>
          <w:rStyle w:val="IntenseReference"/>
          <w:rFonts w:ascii="Garamond" w:eastAsiaTheme="majorEastAsia" w:hAnsi="Garamond" w:cstheme="majorBidi"/>
          <w:b/>
          <w:i w:val="0"/>
          <w:color w:val="000000" w:themeColor="text1"/>
          <w:sz w:val="26"/>
          <w:szCs w:val="26"/>
        </w:rPr>
        <w:t xml:space="preserve">Shtylla 2: Planifikimi i </w:t>
      </w:r>
      <w:r w:rsidR="00610D03" w:rsidRPr="004A47DC">
        <w:rPr>
          <w:rStyle w:val="IntenseReference"/>
          <w:rFonts w:ascii="Garamond" w:eastAsiaTheme="majorEastAsia" w:hAnsi="Garamond" w:cstheme="majorBidi"/>
          <w:b/>
          <w:i w:val="0"/>
          <w:color w:val="000000" w:themeColor="text1"/>
          <w:sz w:val="26"/>
          <w:szCs w:val="26"/>
        </w:rPr>
        <w:t xml:space="preserve">Integruar Strategjik </w:t>
      </w:r>
      <w:r w:rsidRPr="004A47DC">
        <w:rPr>
          <w:rStyle w:val="IntenseReference"/>
          <w:rFonts w:ascii="Garamond" w:eastAsiaTheme="majorEastAsia" w:hAnsi="Garamond" w:cstheme="majorBidi"/>
          <w:b/>
          <w:i w:val="0"/>
          <w:color w:val="000000" w:themeColor="text1"/>
          <w:sz w:val="26"/>
          <w:szCs w:val="26"/>
        </w:rPr>
        <w:t xml:space="preserve">dhe </w:t>
      </w:r>
      <w:r w:rsidR="00610D03" w:rsidRPr="004A47DC">
        <w:rPr>
          <w:rStyle w:val="IntenseReference"/>
          <w:rFonts w:ascii="Garamond" w:eastAsiaTheme="majorEastAsia" w:hAnsi="Garamond" w:cstheme="majorBidi"/>
          <w:b/>
          <w:i w:val="0"/>
          <w:color w:val="000000" w:themeColor="text1"/>
          <w:sz w:val="26"/>
          <w:szCs w:val="26"/>
        </w:rPr>
        <w:t>Buxhetor</w:t>
      </w:r>
      <w:r w:rsidRPr="004A47DC">
        <w:rPr>
          <w:rStyle w:val="IntenseReference"/>
          <w:rFonts w:ascii="Garamond" w:eastAsiaTheme="majorEastAsia" w:hAnsi="Garamond" w:cstheme="majorBidi"/>
          <w:b/>
          <w:i w:val="0"/>
          <w:color w:val="000000" w:themeColor="text1"/>
          <w:sz w:val="26"/>
          <w:szCs w:val="26"/>
        </w:rPr>
        <w:t xml:space="preserve">, </w:t>
      </w:r>
      <w:r w:rsidR="00610D03" w:rsidRPr="004A47DC">
        <w:rPr>
          <w:rStyle w:val="IntenseReference"/>
          <w:rFonts w:ascii="Garamond" w:eastAsiaTheme="majorEastAsia" w:hAnsi="Garamond" w:cstheme="majorBidi"/>
          <w:b/>
          <w:i w:val="0"/>
          <w:color w:val="000000" w:themeColor="text1"/>
          <w:sz w:val="26"/>
          <w:szCs w:val="26"/>
        </w:rPr>
        <w:t xml:space="preserve">Monitorimi </w:t>
      </w:r>
      <w:r w:rsidRPr="004A47DC">
        <w:rPr>
          <w:rStyle w:val="IntenseReference"/>
          <w:rFonts w:ascii="Garamond" w:eastAsiaTheme="majorEastAsia" w:hAnsi="Garamond" w:cstheme="majorBidi"/>
          <w:b/>
          <w:i w:val="0"/>
          <w:color w:val="000000" w:themeColor="text1"/>
          <w:sz w:val="26"/>
          <w:szCs w:val="26"/>
        </w:rPr>
        <w:t xml:space="preserve">dhe </w:t>
      </w:r>
      <w:r w:rsidR="00610D03" w:rsidRPr="004A47DC">
        <w:rPr>
          <w:rStyle w:val="IntenseReference"/>
          <w:rFonts w:ascii="Garamond" w:eastAsiaTheme="majorEastAsia" w:hAnsi="Garamond" w:cstheme="majorBidi"/>
          <w:b/>
          <w:i w:val="0"/>
          <w:color w:val="000000" w:themeColor="text1"/>
          <w:sz w:val="26"/>
          <w:szCs w:val="26"/>
        </w:rPr>
        <w:t>Raportimi Transparent</w:t>
      </w:r>
      <w:bookmarkEnd w:id="7"/>
    </w:p>
    <w:p w14:paraId="3A7F36EE" w14:textId="0273DA88" w:rsidR="004719D2" w:rsidRPr="004A47DC" w:rsidRDefault="004719D2" w:rsidP="004719D2">
      <w:pPr>
        <w:pStyle w:val="TEKSTIII"/>
        <w:rPr>
          <w:b/>
          <w:color w:val="000000" w:themeColor="text1"/>
        </w:rPr>
      </w:pPr>
      <w:bookmarkStart w:id="8" w:name="_Toc168918677"/>
      <w:r w:rsidRPr="004A47DC">
        <w:rPr>
          <w:b/>
          <w:color w:val="000000" w:themeColor="text1"/>
        </w:rPr>
        <w:t>3.1 Hyrje</w:t>
      </w:r>
      <w:bookmarkEnd w:id="8"/>
    </w:p>
    <w:p w14:paraId="5CFA5FEE" w14:textId="368ABE41" w:rsidR="004719D2" w:rsidRPr="004A47DC" w:rsidRDefault="004719D2" w:rsidP="001415B2">
      <w:pPr>
        <w:jc w:val="both"/>
        <w:rPr>
          <w:rFonts w:ascii="Garamond" w:hAnsi="Garamond"/>
          <w:color w:val="000000" w:themeColor="text1"/>
        </w:rPr>
      </w:pPr>
      <w:r w:rsidRPr="004A47DC">
        <w:rPr>
          <w:rFonts w:ascii="Garamond" w:hAnsi="Garamond"/>
          <w:color w:val="000000" w:themeColor="text1"/>
        </w:rPr>
        <w:t xml:space="preserve">Objektivi specifik i shtyllës së dytë është </w:t>
      </w:r>
      <w:r w:rsidR="00E33A13" w:rsidRPr="004A47DC">
        <w:rPr>
          <w:rFonts w:ascii="Garamond" w:hAnsi="Garamond"/>
          <w:color w:val="000000" w:themeColor="text1"/>
        </w:rPr>
        <w:t>“</w:t>
      </w:r>
      <w:r w:rsidRPr="004A47DC">
        <w:rPr>
          <w:rFonts w:ascii="Garamond" w:hAnsi="Garamond"/>
          <w:color w:val="000000" w:themeColor="text1"/>
        </w:rPr>
        <w:t>Përmirësimi i planifikimit buxhetor dhe praktikave të monitorimit të ekzekutimit të buxhetit</w:t>
      </w:r>
      <w:r w:rsidR="00E33A13" w:rsidRPr="004A47DC">
        <w:rPr>
          <w:rFonts w:ascii="Garamond" w:hAnsi="Garamond"/>
          <w:color w:val="000000" w:themeColor="text1"/>
        </w:rPr>
        <w:t>”</w:t>
      </w:r>
      <w:r w:rsidRPr="004A47DC">
        <w:rPr>
          <w:rFonts w:ascii="Garamond" w:hAnsi="Garamond"/>
          <w:color w:val="000000" w:themeColor="text1"/>
        </w:rPr>
        <w:t xml:space="preserve"> dhe mbulon komponentët: </w:t>
      </w:r>
      <w:r w:rsidR="003E0E17" w:rsidRPr="004A47DC">
        <w:rPr>
          <w:rFonts w:ascii="Garamond" w:hAnsi="Garamond"/>
          <w:color w:val="000000" w:themeColor="text1"/>
        </w:rPr>
        <w:t xml:space="preserve">planifikimi strategjik i integruar, planifikimi buxhetor afatmesëm, menaxhimi i investimeve publike, financat vendore, monitorimi dhe raportimi i zbatimit të buxhetit. objektivat afatgjatë dhe </w:t>
      </w:r>
      <w:r w:rsidRPr="004A47DC">
        <w:rPr>
          <w:rFonts w:ascii="Garamond" w:hAnsi="Garamond"/>
          <w:color w:val="000000" w:themeColor="text1"/>
        </w:rPr>
        <w:t>masat afatmesme janë përmbledhur si më poshtë:</w:t>
      </w:r>
      <w:r w:rsidR="00B2411C" w:rsidRPr="004A47DC">
        <w:rPr>
          <w:rFonts w:ascii="Garamond" w:hAnsi="Garamond"/>
          <w:color w:val="000000" w:themeColor="text1"/>
        </w:rPr>
        <w:t xml:space="preserve"> </w:t>
      </w:r>
    </w:p>
    <w:p w14:paraId="4A05B56F" w14:textId="4CD8E082"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b/>
          <w:bCs/>
          <w:lang w:eastAsia="sq-AL"/>
        </w:rPr>
      </w:pPr>
      <w:r w:rsidRPr="004A47DC">
        <w:rPr>
          <w:rFonts w:ascii="Garamond" w:hAnsi="Garamond" w:cs="Garamond"/>
          <w:b/>
          <w:bCs/>
          <w:lang w:eastAsia="sq-AL"/>
        </w:rPr>
        <w:t>Komponenti 2.1</w:t>
      </w:r>
      <w:r w:rsidR="001415B2" w:rsidRPr="004A47DC">
        <w:rPr>
          <w:rFonts w:ascii="Garamond" w:hAnsi="Garamond" w:cs="Garamond"/>
          <w:b/>
          <w:bCs/>
          <w:lang w:eastAsia="sq-AL"/>
        </w:rPr>
        <w:t>:</w:t>
      </w:r>
      <w:r w:rsidRPr="004A47DC">
        <w:rPr>
          <w:rFonts w:ascii="Garamond" w:hAnsi="Garamond" w:cs="Garamond"/>
          <w:b/>
          <w:bCs/>
          <w:lang w:eastAsia="sq-AL"/>
        </w:rPr>
        <w:t xml:space="preserve"> </w:t>
      </w:r>
      <w:r w:rsidR="003E0E17" w:rsidRPr="004A47DC">
        <w:rPr>
          <w:rFonts w:ascii="Garamond" w:hAnsi="Garamond" w:cs="Garamond"/>
          <w:b/>
          <w:bCs/>
          <w:lang w:eastAsia="sq-AL"/>
        </w:rPr>
        <w:t>Planifikimi strategjik i integruar</w:t>
      </w:r>
    </w:p>
    <w:p w14:paraId="37F3A769" w14:textId="36CA3FE0"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lang w:eastAsia="sq-AL"/>
        </w:rPr>
      </w:pPr>
      <w:r w:rsidRPr="004A47DC">
        <w:rPr>
          <w:rFonts w:ascii="Garamond" w:hAnsi="Garamond" w:cs="Garamond"/>
          <w:lang w:eastAsia="sq-AL"/>
        </w:rPr>
        <w:t xml:space="preserve">Synimi 2030: Të funksionojë një Sistem Planifikimi </w:t>
      </w:r>
      <w:r w:rsidR="00810C45">
        <w:rPr>
          <w:rFonts w:ascii="Garamond" w:hAnsi="Garamond" w:cs="Garamond"/>
          <w:lang w:eastAsia="sq-AL"/>
        </w:rPr>
        <w:t>të</w:t>
      </w:r>
      <w:r w:rsidRPr="004A47DC">
        <w:rPr>
          <w:rFonts w:ascii="Garamond" w:hAnsi="Garamond" w:cs="Garamond"/>
          <w:lang w:eastAsia="sq-AL"/>
        </w:rPr>
        <w:t xml:space="preserve"> Integruar (SPI) për të zhvilluar, monitoruar dhe vlerësuar në mënyrë efektive strategjitë kombëtare, sektoriale, ndërsektoriale dhe rajonale të ndërlidhura dhe investimet publike të prioritizuara</w:t>
      </w:r>
      <w:r w:rsidR="00810C45">
        <w:rPr>
          <w:rFonts w:ascii="Garamond" w:hAnsi="Garamond" w:cs="Garamond"/>
          <w:lang w:eastAsia="sq-AL"/>
        </w:rPr>
        <w:t>,</w:t>
      </w:r>
      <w:r w:rsidRPr="004A47DC">
        <w:rPr>
          <w:rFonts w:ascii="Garamond" w:hAnsi="Garamond" w:cs="Garamond"/>
          <w:lang w:eastAsia="sq-AL"/>
        </w:rPr>
        <w:t xml:space="preserve"> në lidhje me burimet buxhetore.</w:t>
      </w:r>
      <w:r w:rsidR="00B2411C" w:rsidRPr="004A47DC">
        <w:rPr>
          <w:rFonts w:ascii="Garamond" w:hAnsi="Garamond" w:cs="Garamond"/>
          <w:lang w:eastAsia="sq-AL"/>
        </w:rPr>
        <w:t xml:space="preserve"> </w:t>
      </w:r>
    </w:p>
    <w:p w14:paraId="1A352D47" w14:textId="320BE938"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52471ACF" w14:textId="31D7CF11"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2.1.1</w:t>
      </w:r>
      <w:r w:rsidR="001415B2" w:rsidRPr="004A47DC">
        <w:rPr>
          <w:rFonts w:ascii="Garamond" w:hAnsi="Garamond" w:cs="Garamond"/>
          <w:color w:val="000000"/>
          <w:lang w:eastAsia="sq-AL"/>
        </w:rPr>
        <w:t>:</w:t>
      </w:r>
      <w:r w:rsidRPr="004A47DC">
        <w:rPr>
          <w:rFonts w:ascii="Garamond" w:hAnsi="Garamond" w:cs="Garamond"/>
          <w:color w:val="000000"/>
          <w:lang w:eastAsia="sq-AL"/>
        </w:rPr>
        <w:t xml:space="preserve"> Përmirësimi i Sistemit të Planifikimit të Integruar të mbështetur nga </w:t>
      </w:r>
      <w:r w:rsidR="00810C45" w:rsidRPr="004A47DC">
        <w:rPr>
          <w:rFonts w:ascii="Garamond" w:hAnsi="Garamond" w:cs="Garamond"/>
          <w:color w:val="000000"/>
          <w:lang w:eastAsia="sq-AL"/>
        </w:rPr>
        <w:t>teknologjia e informacionit për formulimin dhe monitorimin e strategjive;</w:t>
      </w:r>
    </w:p>
    <w:p w14:paraId="796E91B3" w14:textId="62AC191C"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color w:val="000000"/>
          <w:lang w:eastAsia="sq-AL"/>
        </w:rPr>
      </w:pPr>
      <w:r w:rsidRPr="004A47DC">
        <w:rPr>
          <w:rFonts w:ascii="Garamond" w:hAnsi="Garamond" w:cs="Garamond"/>
          <w:color w:val="000000"/>
          <w:lang w:eastAsia="sq-AL"/>
        </w:rPr>
        <w:t>Masa 2.1.2</w:t>
      </w:r>
      <w:r w:rsidR="001415B2" w:rsidRPr="004A47DC">
        <w:rPr>
          <w:rFonts w:ascii="Garamond" w:hAnsi="Garamond" w:cs="Garamond"/>
          <w:color w:val="000000"/>
          <w:lang w:eastAsia="sq-AL"/>
        </w:rPr>
        <w:t>:</w:t>
      </w:r>
      <w:r w:rsidRPr="004A47DC">
        <w:rPr>
          <w:rFonts w:ascii="Garamond" w:hAnsi="Garamond" w:cs="Garamond"/>
          <w:color w:val="000000"/>
          <w:lang w:eastAsia="sq-AL"/>
        </w:rPr>
        <w:t xml:space="preserve"> Zgjerimi i rishikimit afatmesëm dhe vlerësimit </w:t>
      </w:r>
      <w:r w:rsidRPr="00810C45">
        <w:rPr>
          <w:rFonts w:ascii="Garamond" w:hAnsi="Garamond" w:cs="Garamond"/>
          <w:i/>
          <w:color w:val="000000"/>
          <w:lang w:eastAsia="sq-AL"/>
        </w:rPr>
        <w:t>ex-post</w:t>
      </w:r>
      <w:r w:rsidRPr="004A47DC">
        <w:rPr>
          <w:rFonts w:ascii="Garamond" w:hAnsi="Garamond" w:cs="Garamond"/>
          <w:color w:val="000000"/>
          <w:lang w:eastAsia="sq-AL"/>
        </w:rPr>
        <w:t xml:space="preserve"> të strategjive dhe planeve të veprimit.</w:t>
      </w:r>
    </w:p>
    <w:p w14:paraId="0A51A276" w14:textId="00349D8A"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b/>
          <w:bCs/>
          <w:lang w:eastAsia="sq-AL"/>
        </w:rPr>
      </w:pPr>
      <w:r w:rsidRPr="004A47DC">
        <w:rPr>
          <w:rFonts w:ascii="Garamond" w:hAnsi="Garamond" w:cs="Garamond"/>
          <w:b/>
          <w:bCs/>
          <w:lang w:eastAsia="sq-AL"/>
        </w:rPr>
        <w:t>Komponenti 2.2</w:t>
      </w:r>
      <w:r w:rsidR="001415B2" w:rsidRPr="004A47DC">
        <w:rPr>
          <w:rFonts w:ascii="Garamond" w:hAnsi="Garamond" w:cs="Garamond"/>
          <w:b/>
          <w:bCs/>
          <w:lang w:eastAsia="sq-AL"/>
        </w:rPr>
        <w:t>:</w:t>
      </w:r>
      <w:r w:rsidRPr="004A47DC">
        <w:rPr>
          <w:rFonts w:ascii="Garamond" w:hAnsi="Garamond" w:cs="Garamond"/>
          <w:b/>
          <w:bCs/>
          <w:lang w:eastAsia="sq-AL"/>
        </w:rPr>
        <w:t xml:space="preserve"> Planifikimi </w:t>
      </w:r>
      <w:r w:rsidR="00F81BE4" w:rsidRPr="004A47DC">
        <w:rPr>
          <w:rFonts w:ascii="Garamond" w:hAnsi="Garamond" w:cs="Garamond"/>
          <w:b/>
          <w:bCs/>
          <w:lang w:eastAsia="sq-AL"/>
        </w:rPr>
        <w:t>buxhetor afatmesëm</w:t>
      </w:r>
    </w:p>
    <w:p w14:paraId="31FD8930" w14:textId="7502A5BB"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lang w:eastAsia="sq-AL"/>
        </w:rPr>
      </w:pPr>
      <w:r w:rsidRPr="004A47DC">
        <w:rPr>
          <w:rFonts w:ascii="Garamond" w:hAnsi="Garamond" w:cs="Garamond"/>
          <w:lang w:eastAsia="sq-AL"/>
        </w:rPr>
        <w:t>Synimi 2030: të ketë sisteme për të garantuar PBA-në (si deklarata para</w:t>
      </w:r>
      <w:r w:rsidR="00510359">
        <w:rPr>
          <w:rFonts w:ascii="Garamond" w:hAnsi="Garamond" w:cs="Garamond"/>
          <w:lang w:eastAsia="sq-AL"/>
        </w:rPr>
        <w:t>-</w:t>
      </w:r>
      <w:r w:rsidRPr="004A47DC">
        <w:rPr>
          <w:rFonts w:ascii="Garamond" w:hAnsi="Garamond" w:cs="Garamond"/>
          <w:lang w:eastAsia="sq-AL"/>
        </w:rPr>
        <w:t>buxhetore ashtu edhe ligji i buxhetit vjetor) me cilësi të lartë dhe të besueshme në shërbim të zbatimit të prioriteteve dhe politikave të qeverisë dhe ofrimit të shërbimeve publike.</w:t>
      </w:r>
      <w:r w:rsidR="00B2411C" w:rsidRPr="004A47DC">
        <w:rPr>
          <w:rFonts w:ascii="Garamond" w:hAnsi="Garamond" w:cs="Garamond"/>
          <w:lang w:eastAsia="sq-AL"/>
        </w:rPr>
        <w:t xml:space="preserve"> </w:t>
      </w:r>
    </w:p>
    <w:p w14:paraId="0F794E01" w14:textId="2303C738"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3E55179B" w14:textId="77CFCEB4"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2.2.1 Përmirësimi i mëtejshëm i metodave, procedurave dhe llogaridhënies menaxheriale për formulimin e PBA-së</w:t>
      </w:r>
      <w:r w:rsidR="003E0E17">
        <w:rPr>
          <w:rFonts w:ascii="Garamond" w:hAnsi="Garamond" w:cs="Garamond"/>
          <w:color w:val="000000"/>
          <w:lang w:eastAsia="sq-AL"/>
        </w:rPr>
        <w:t>;</w:t>
      </w:r>
    </w:p>
    <w:p w14:paraId="3C29AAE9" w14:textId="70794819"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Symbol"/>
          <w:color w:val="0070C0"/>
          <w:lang w:eastAsia="sq-AL"/>
        </w:rPr>
        <w:t xml:space="preserve"> </w:t>
      </w:r>
      <w:r w:rsidRPr="004A47DC">
        <w:rPr>
          <w:rFonts w:ascii="Garamond" w:hAnsi="Garamond" w:cs="Garamond"/>
          <w:color w:val="000000"/>
          <w:lang w:eastAsia="sq-AL"/>
        </w:rPr>
        <w:t>Masa 2.2.2 Përmirësimi i dokumentacionit buxhetor dhe në veçanti elementit të informacionit të performancës</w:t>
      </w:r>
      <w:r w:rsidR="003E0E17">
        <w:rPr>
          <w:rFonts w:ascii="Garamond" w:hAnsi="Garamond" w:cs="Symbol"/>
          <w:color w:val="0070C0"/>
          <w:lang w:eastAsia="sq-AL"/>
        </w:rPr>
        <w:t>;</w:t>
      </w:r>
    </w:p>
    <w:p w14:paraId="6790974E" w14:textId="68F740AE"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2.2.3</w:t>
      </w:r>
      <w:r w:rsidR="003E0E17">
        <w:rPr>
          <w:rFonts w:ascii="Garamond" w:hAnsi="Garamond" w:cs="Garamond"/>
          <w:color w:val="000000"/>
          <w:lang w:eastAsia="sq-AL"/>
        </w:rPr>
        <w:t xml:space="preserve"> </w:t>
      </w:r>
      <w:r w:rsidRPr="004A47DC">
        <w:rPr>
          <w:rFonts w:ascii="Garamond" w:hAnsi="Garamond" w:cs="Garamond"/>
          <w:color w:val="000000"/>
          <w:lang w:eastAsia="sq-AL"/>
        </w:rPr>
        <w:t>Prezantimi i rishikimeve të shpenzimeve</w:t>
      </w:r>
      <w:r w:rsidR="003E0E17">
        <w:rPr>
          <w:rFonts w:ascii="Garamond" w:hAnsi="Garamond" w:cs="Symbol"/>
          <w:color w:val="0070C0"/>
          <w:lang w:eastAsia="sq-AL"/>
        </w:rPr>
        <w:t>;</w:t>
      </w:r>
    </w:p>
    <w:p w14:paraId="514477F7" w14:textId="18143E00"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2.2.4 Zhvillimi dhe prezantimi i mëtejshëm i buxhetimit të përgjigjshëm gjinor dhe buxhetimit të përgjigjshëm ndaj klimës</w:t>
      </w:r>
      <w:r w:rsidR="003E0E17">
        <w:rPr>
          <w:rFonts w:ascii="Garamond" w:hAnsi="Garamond" w:cs="Symbol"/>
          <w:color w:val="0070C0"/>
          <w:lang w:eastAsia="sq-AL"/>
        </w:rPr>
        <w:t>;</w:t>
      </w:r>
    </w:p>
    <w:p w14:paraId="095C4BAD" w14:textId="5B9B4F5A"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color w:val="000000"/>
          <w:lang w:eastAsia="sq-AL"/>
        </w:rPr>
      </w:pPr>
      <w:r w:rsidRPr="004A47DC">
        <w:rPr>
          <w:rFonts w:ascii="Garamond" w:hAnsi="Garamond" w:cs="Garamond"/>
          <w:color w:val="000000"/>
          <w:lang w:eastAsia="sq-AL"/>
        </w:rPr>
        <w:t xml:space="preserve">Masa 2.2.5 Miratimi i Dokumentit të Politikave Prioritare së bashku me Listën Unike të Projekteve me Rëndësi Kombëtare si pjesë integrale e saj. </w:t>
      </w:r>
    </w:p>
    <w:p w14:paraId="26E7F71E" w14:textId="53FD76E7"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b/>
          <w:bCs/>
          <w:lang w:eastAsia="sq-AL"/>
        </w:rPr>
      </w:pPr>
      <w:r w:rsidRPr="004A47DC">
        <w:rPr>
          <w:rFonts w:ascii="Garamond" w:hAnsi="Garamond" w:cs="Garamond"/>
          <w:b/>
          <w:bCs/>
          <w:lang w:eastAsia="sq-AL"/>
        </w:rPr>
        <w:t>Komponenti 2.3</w:t>
      </w:r>
      <w:r w:rsidR="001415B2" w:rsidRPr="004A47DC">
        <w:rPr>
          <w:rFonts w:ascii="Garamond" w:hAnsi="Garamond" w:cs="Garamond"/>
          <w:b/>
          <w:bCs/>
          <w:lang w:eastAsia="sq-AL"/>
        </w:rPr>
        <w:t>:</w:t>
      </w:r>
      <w:r w:rsidRPr="004A47DC">
        <w:rPr>
          <w:rFonts w:ascii="Garamond" w:hAnsi="Garamond" w:cs="Garamond"/>
          <w:b/>
          <w:bCs/>
          <w:lang w:eastAsia="sq-AL"/>
        </w:rPr>
        <w:t xml:space="preserve"> Menaxhimi i </w:t>
      </w:r>
      <w:r w:rsidR="003E0E17" w:rsidRPr="004A47DC">
        <w:rPr>
          <w:rFonts w:ascii="Garamond" w:hAnsi="Garamond" w:cs="Garamond"/>
          <w:b/>
          <w:bCs/>
          <w:lang w:eastAsia="sq-AL"/>
        </w:rPr>
        <w:t>investimeve publike</w:t>
      </w:r>
    </w:p>
    <w:p w14:paraId="7ED52CD4" w14:textId="77777777" w:rsidR="00810C45" w:rsidRDefault="009F4BAE" w:rsidP="009F4BAE">
      <w:pPr>
        <w:tabs>
          <w:tab w:val="left" w:pos="9016"/>
        </w:tabs>
        <w:autoSpaceDE w:val="0"/>
        <w:autoSpaceDN w:val="0"/>
        <w:adjustRightInd w:val="0"/>
        <w:spacing w:line="288" w:lineRule="atLeast"/>
        <w:ind w:firstLine="284"/>
        <w:jc w:val="both"/>
        <w:rPr>
          <w:rFonts w:ascii="Garamond" w:hAnsi="Garamond" w:cs="Garamond"/>
          <w:lang w:eastAsia="sq-AL"/>
        </w:rPr>
      </w:pPr>
      <w:r w:rsidRPr="004A47DC">
        <w:rPr>
          <w:rFonts w:ascii="Garamond" w:hAnsi="Garamond" w:cs="Garamond"/>
          <w:lang w:eastAsia="sq-AL"/>
        </w:rPr>
        <w:t>Synimi</w:t>
      </w:r>
      <w:r w:rsidR="00B2411C" w:rsidRPr="004A47DC">
        <w:rPr>
          <w:rFonts w:ascii="Garamond" w:hAnsi="Garamond" w:cs="Garamond"/>
          <w:lang w:eastAsia="sq-AL"/>
        </w:rPr>
        <w:t xml:space="preserve"> </w:t>
      </w:r>
      <w:r w:rsidRPr="004A47DC">
        <w:rPr>
          <w:rFonts w:ascii="Garamond" w:hAnsi="Garamond" w:cs="Garamond"/>
          <w:lang w:eastAsia="sq-AL"/>
        </w:rPr>
        <w:t>2030: Një sistem i shëndoshë për menaxhimin e investimeve publike bazuar në Listën Unike të Projekteve me Rëndësi Kombëtare, praktikat e bazuara në meritë për vlerësimin dhe përzgjedhjen e projekteve të lidhura me objektivat strategjik</w:t>
      </w:r>
      <w:r w:rsidR="00056667" w:rsidRPr="004A47DC">
        <w:rPr>
          <w:rFonts w:ascii="Garamond" w:hAnsi="Garamond" w:cs="Garamond"/>
          <w:lang w:eastAsia="sq-AL"/>
        </w:rPr>
        <w:t>ë</w:t>
      </w:r>
      <w:r w:rsidRPr="004A47DC">
        <w:rPr>
          <w:rFonts w:ascii="Garamond" w:hAnsi="Garamond" w:cs="Garamond"/>
          <w:lang w:eastAsia="sq-AL"/>
        </w:rPr>
        <w:t xml:space="preserve"> të qeverisë dhe monitorim transparent, raportim dhe vlerësim për përzgjedhjen, ekzekutimin dhe përfundimin e projekteve të investimeve publike</w:t>
      </w:r>
      <w:r w:rsidR="00810C45">
        <w:rPr>
          <w:rFonts w:ascii="Garamond" w:hAnsi="Garamond" w:cs="Garamond"/>
          <w:lang w:eastAsia="sq-AL"/>
        </w:rPr>
        <w:t>.</w:t>
      </w:r>
    </w:p>
    <w:p w14:paraId="17B7A5B8" w14:textId="78425B7D"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00056667" w:rsidRPr="004A47DC">
        <w:rPr>
          <w:rFonts w:ascii="Garamond" w:hAnsi="Garamond" w:cs="Garamond"/>
          <w:lang w:eastAsia="sq-AL"/>
        </w:rPr>
        <w:t>:</w:t>
      </w:r>
    </w:p>
    <w:p w14:paraId="41905CED" w14:textId="7040293A"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2.3.1 Operacionalizimi i procedurave për përmirësimin e menaxhimit të investimeve publike;</w:t>
      </w:r>
    </w:p>
    <w:p w14:paraId="5DE5B610" w14:textId="687A87BC"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color w:val="000000"/>
          <w:lang w:eastAsia="sq-AL"/>
        </w:rPr>
      </w:pPr>
      <w:r w:rsidRPr="004A47DC">
        <w:rPr>
          <w:rFonts w:ascii="Garamond" w:hAnsi="Garamond" w:cs="Garamond"/>
          <w:color w:val="000000"/>
          <w:lang w:eastAsia="sq-AL"/>
        </w:rPr>
        <w:t xml:space="preserve">Masa 2.3.2 Forcimi i Listës Unike të Projekteve dhe rritja e rolit </w:t>
      </w:r>
      <w:r w:rsidRPr="004A47DC">
        <w:rPr>
          <w:rFonts w:ascii="Garamond" w:hAnsi="Garamond" w:cs="Garamond"/>
          <w:i/>
          <w:color w:val="000000"/>
          <w:lang w:eastAsia="sq-AL"/>
        </w:rPr>
        <w:t>gatekeep</w:t>
      </w:r>
      <w:r w:rsidRPr="004A47DC">
        <w:rPr>
          <w:rFonts w:ascii="Garamond" w:hAnsi="Garamond" w:cs="Garamond"/>
          <w:color w:val="000000"/>
          <w:lang w:eastAsia="sq-AL"/>
        </w:rPr>
        <w:t>-er</w:t>
      </w:r>
      <w:r w:rsidR="001415B2" w:rsidRPr="004A47DC">
        <w:rPr>
          <w:rFonts w:ascii="Garamond" w:hAnsi="Garamond" w:cs="Garamond"/>
          <w:color w:val="000000"/>
          <w:lang w:eastAsia="sq-AL"/>
        </w:rPr>
        <w:t>it</w:t>
      </w:r>
      <w:r w:rsidRPr="004A47DC">
        <w:rPr>
          <w:rFonts w:ascii="Garamond" w:hAnsi="Garamond" w:cs="Garamond"/>
          <w:color w:val="000000"/>
          <w:lang w:eastAsia="sq-AL"/>
        </w:rPr>
        <w:t xml:space="preserve"> të MF-së;</w:t>
      </w:r>
    </w:p>
    <w:p w14:paraId="4F0B5299" w14:textId="6AA061F2"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b/>
          <w:bCs/>
          <w:lang w:eastAsia="sq-AL"/>
        </w:rPr>
      </w:pPr>
      <w:r w:rsidRPr="004A47DC">
        <w:rPr>
          <w:rFonts w:ascii="Garamond" w:hAnsi="Garamond" w:cs="Garamond"/>
          <w:b/>
          <w:bCs/>
          <w:lang w:eastAsia="sq-AL"/>
        </w:rPr>
        <w:t>Komponenti 2.4</w:t>
      </w:r>
      <w:r w:rsidR="001415B2" w:rsidRPr="004A47DC">
        <w:rPr>
          <w:rFonts w:ascii="Garamond" w:hAnsi="Garamond" w:cs="Garamond"/>
          <w:b/>
          <w:bCs/>
          <w:lang w:eastAsia="sq-AL"/>
        </w:rPr>
        <w:t>:</w:t>
      </w:r>
      <w:r w:rsidRPr="004A47DC">
        <w:rPr>
          <w:rFonts w:ascii="Garamond" w:hAnsi="Garamond" w:cs="Garamond"/>
          <w:b/>
          <w:bCs/>
          <w:lang w:eastAsia="sq-AL"/>
        </w:rPr>
        <w:t xml:space="preserve"> Financat </w:t>
      </w:r>
      <w:r w:rsidR="001415B2" w:rsidRPr="004A47DC">
        <w:rPr>
          <w:rFonts w:ascii="Garamond" w:hAnsi="Garamond" w:cs="Garamond"/>
          <w:b/>
          <w:bCs/>
          <w:lang w:eastAsia="sq-AL"/>
        </w:rPr>
        <w:t>v</w:t>
      </w:r>
      <w:r w:rsidRPr="004A47DC">
        <w:rPr>
          <w:rFonts w:ascii="Garamond" w:hAnsi="Garamond" w:cs="Garamond"/>
          <w:b/>
          <w:bCs/>
          <w:lang w:eastAsia="sq-AL"/>
        </w:rPr>
        <w:t>endore</w:t>
      </w:r>
    </w:p>
    <w:p w14:paraId="62932368" w14:textId="38CCD1B1"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lang w:eastAsia="sq-AL"/>
        </w:rPr>
      </w:pPr>
      <w:r w:rsidRPr="004A47DC">
        <w:rPr>
          <w:rFonts w:ascii="Garamond" w:hAnsi="Garamond" w:cs="Garamond"/>
          <w:lang w:eastAsia="sq-AL"/>
        </w:rPr>
        <w:t>Synimi 2030: Bashkitë të kenë sisteme të fuqishme të MFP-së dhe burime financiare të përshtatshme</w:t>
      </w:r>
      <w:r w:rsidR="00810C45">
        <w:rPr>
          <w:rFonts w:ascii="Garamond" w:hAnsi="Garamond" w:cs="Garamond"/>
          <w:lang w:eastAsia="sq-AL"/>
        </w:rPr>
        <w:t>,</w:t>
      </w:r>
      <w:r w:rsidRPr="004A47DC">
        <w:rPr>
          <w:rFonts w:ascii="Garamond" w:hAnsi="Garamond" w:cs="Garamond"/>
          <w:lang w:eastAsia="sq-AL"/>
        </w:rPr>
        <w:t xml:space="preserve"> përmes mekanizmave transparentë të ndarjes dhe transferimit të të ardhurave dhe kapaciteteve të mbledhjes së të ardhurave që u mundësojnë atyre të ofrojnë shërbime publike në përputhje me standardet e aplikueshme.</w:t>
      </w:r>
    </w:p>
    <w:p w14:paraId="5E983EFA" w14:textId="09E383A7"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3DA2307F" w14:textId="3FB62644" w:rsidR="00D03165"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2.4.1 Përmirësimi i formulës së granteve dhe sistemit të llogaritjes për qeverisjen vendore;</w:t>
      </w:r>
      <w:r w:rsidRPr="004A47DC">
        <w:rPr>
          <w:rFonts w:ascii="Garamond" w:hAnsi="Garamond" w:cs="Symbol"/>
          <w:color w:val="0070C0"/>
          <w:lang w:eastAsia="sq-AL"/>
        </w:rPr>
        <w:t>·</w:t>
      </w:r>
    </w:p>
    <w:p w14:paraId="536CAF9C" w14:textId="49E6D8EB"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 xml:space="preserve">Masa 2.4.2 Forcimi i formulimit dhe monitorimit të zbatimit të PBA-së në </w:t>
      </w:r>
      <w:r w:rsidR="00D03165">
        <w:rPr>
          <w:rFonts w:ascii="Garamond" w:hAnsi="Garamond" w:cs="Garamond"/>
          <w:color w:val="000000"/>
          <w:lang w:eastAsia="sq-AL"/>
        </w:rPr>
        <w:t>b</w:t>
      </w:r>
      <w:r w:rsidRPr="004A47DC">
        <w:rPr>
          <w:rFonts w:ascii="Garamond" w:hAnsi="Garamond" w:cs="Garamond"/>
          <w:color w:val="000000"/>
          <w:lang w:eastAsia="sq-AL"/>
        </w:rPr>
        <w:t>ashki;</w:t>
      </w:r>
    </w:p>
    <w:p w14:paraId="27C3FCE0" w14:textId="381C7D86"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Masa 2.4.3 Zhvillimi dhe vendosja e Sistemit të ri të Menaxhimit të Buxhetit Vendor (SMBV) për përgatitjen dhe monitorimin e buxhetit vendor;</w:t>
      </w:r>
    </w:p>
    <w:p w14:paraId="482EDF4A" w14:textId="38084277"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color w:val="000000"/>
          <w:lang w:eastAsia="sq-AL"/>
        </w:rPr>
      </w:pPr>
      <w:r w:rsidRPr="004A47DC">
        <w:rPr>
          <w:rFonts w:ascii="Garamond" w:hAnsi="Garamond" w:cs="Garamond"/>
          <w:color w:val="000000"/>
          <w:lang w:eastAsia="sq-AL"/>
        </w:rPr>
        <w:t>Masa 2.4.4 Përmirësimi i nivelit të burimeve financiare nga taksat e ndara</w:t>
      </w:r>
      <w:r w:rsidR="00D03165">
        <w:rPr>
          <w:rFonts w:ascii="Garamond" w:hAnsi="Garamond" w:cs="Garamond"/>
          <w:color w:val="000000"/>
          <w:lang w:eastAsia="sq-AL"/>
        </w:rPr>
        <w:t>.</w:t>
      </w:r>
    </w:p>
    <w:p w14:paraId="273E8526" w14:textId="5A134191"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b/>
          <w:bCs/>
          <w:lang w:eastAsia="sq-AL"/>
        </w:rPr>
      </w:pPr>
      <w:r w:rsidRPr="004A47DC">
        <w:rPr>
          <w:rFonts w:ascii="Garamond" w:hAnsi="Garamond" w:cs="Garamond"/>
          <w:b/>
          <w:bCs/>
          <w:lang w:eastAsia="sq-AL"/>
        </w:rPr>
        <w:t>Komponenti 2.5</w:t>
      </w:r>
      <w:r w:rsidR="00D03165">
        <w:rPr>
          <w:rFonts w:ascii="Garamond" w:hAnsi="Garamond" w:cs="Garamond"/>
          <w:b/>
          <w:bCs/>
          <w:lang w:eastAsia="sq-AL"/>
        </w:rPr>
        <w:t>:</w:t>
      </w:r>
      <w:r w:rsidRPr="004A47DC">
        <w:rPr>
          <w:rFonts w:ascii="Garamond" w:hAnsi="Garamond" w:cs="Garamond"/>
          <w:b/>
          <w:bCs/>
          <w:lang w:eastAsia="sq-AL"/>
        </w:rPr>
        <w:t xml:space="preserve"> Raportimi dhe </w:t>
      </w:r>
      <w:r w:rsidR="00F81BE4" w:rsidRPr="004A47DC">
        <w:rPr>
          <w:rFonts w:ascii="Garamond" w:hAnsi="Garamond" w:cs="Garamond"/>
          <w:b/>
          <w:bCs/>
          <w:lang w:eastAsia="sq-AL"/>
        </w:rPr>
        <w:t>monitorimi i zbatimit të buxhetit</w:t>
      </w:r>
    </w:p>
    <w:p w14:paraId="64C2D800" w14:textId="7B8256E8"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Garamond"/>
          <w:lang w:eastAsia="sq-AL"/>
        </w:rPr>
      </w:pPr>
      <w:r w:rsidRPr="004A47DC">
        <w:rPr>
          <w:rFonts w:ascii="Garamond" w:hAnsi="Garamond" w:cs="Garamond"/>
          <w:lang w:eastAsia="sq-AL"/>
        </w:rPr>
        <w:t>Synimi 2030: Ekziston një sistem gjithëpërfshirës dhe transparent i monitorimit dhe raportimit të buxhetit në nivel të institucioneve buxhetore dhe në nivel qendror</w:t>
      </w:r>
      <w:r w:rsidR="00D03165">
        <w:rPr>
          <w:rFonts w:ascii="Garamond" w:hAnsi="Garamond" w:cs="Garamond"/>
          <w:lang w:eastAsia="sq-AL"/>
        </w:rPr>
        <w:t>,</w:t>
      </w:r>
      <w:r w:rsidRPr="004A47DC">
        <w:rPr>
          <w:rFonts w:ascii="Garamond" w:hAnsi="Garamond" w:cs="Garamond"/>
          <w:lang w:eastAsia="sq-AL"/>
        </w:rPr>
        <w:t xml:space="preserve"> që mbulon të gjitha aspektet e raportimit buxhetor.</w:t>
      </w:r>
    </w:p>
    <w:p w14:paraId="774A8236" w14:textId="6EFAC5A7"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3C329D0A" w14:textId="2FEA9F55"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 xml:space="preserve">Masa 2.5.1 Përmirësimi i raportimit dhe monitorimit të zbatimit të buxhetit dhe prezantimi i raportit të </w:t>
      </w:r>
      <w:r w:rsidR="00D03165" w:rsidRPr="004A47DC">
        <w:rPr>
          <w:rFonts w:ascii="Garamond" w:hAnsi="Garamond" w:cs="Garamond"/>
          <w:color w:val="000000"/>
          <w:lang w:eastAsia="sq-AL"/>
        </w:rPr>
        <w:t>zbatimit të buxhetit për qytetarët</w:t>
      </w:r>
      <w:r w:rsidRPr="004A47DC">
        <w:rPr>
          <w:rFonts w:ascii="Garamond" w:hAnsi="Garamond" w:cs="Garamond"/>
          <w:color w:val="000000"/>
          <w:lang w:eastAsia="sq-AL"/>
        </w:rPr>
        <w:t>;</w:t>
      </w:r>
    </w:p>
    <w:p w14:paraId="556836A2" w14:textId="56EF3A06" w:rsidR="009F4BAE" w:rsidRPr="004A47DC" w:rsidRDefault="009F4BAE" w:rsidP="009F4BAE">
      <w:pPr>
        <w:tabs>
          <w:tab w:val="left" w:pos="9016"/>
        </w:tabs>
        <w:autoSpaceDE w:val="0"/>
        <w:autoSpaceDN w:val="0"/>
        <w:adjustRightInd w:val="0"/>
        <w:spacing w:line="288" w:lineRule="atLeast"/>
        <w:ind w:firstLine="284"/>
        <w:jc w:val="both"/>
        <w:rPr>
          <w:rFonts w:ascii="Garamond" w:hAnsi="Garamond" w:cs="Symbol"/>
          <w:color w:val="0070C0"/>
          <w:lang w:eastAsia="sq-AL"/>
        </w:rPr>
      </w:pPr>
      <w:r w:rsidRPr="004A47DC">
        <w:rPr>
          <w:rFonts w:ascii="Garamond" w:hAnsi="Garamond" w:cs="Garamond"/>
          <w:color w:val="000000"/>
          <w:lang w:eastAsia="sq-AL"/>
        </w:rPr>
        <w:t xml:space="preserve">Masa 2.5.2 Përmirësimi i monitorimit dhe raportimit për </w:t>
      </w:r>
      <w:r w:rsidR="00D03165" w:rsidRPr="004A47DC">
        <w:rPr>
          <w:rFonts w:ascii="Garamond" w:hAnsi="Garamond" w:cs="Garamond"/>
          <w:color w:val="000000"/>
          <w:lang w:eastAsia="sq-AL"/>
        </w:rPr>
        <w:t>projektet e investimeve publike</w:t>
      </w:r>
      <w:r w:rsidRPr="004A47DC">
        <w:rPr>
          <w:rFonts w:ascii="Garamond" w:hAnsi="Garamond" w:cs="Garamond"/>
          <w:color w:val="000000"/>
          <w:lang w:eastAsia="sq-AL"/>
        </w:rPr>
        <w:t>;</w:t>
      </w:r>
    </w:p>
    <w:p w14:paraId="4758ACD4" w14:textId="3291D039" w:rsidR="009F4BAE" w:rsidRPr="004A47DC" w:rsidRDefault="009F4BAE" w:rsidP="001415B2">
      <w:pPr>
        <w:tabs>
          <w:tab w:val="left" w:pos="9016"/>
        </w:tabs>
        <w:autoSpaceDE w:val="0"/>
        <w:autoSpaceDN w:val="0"/>
        <w:adjustRightInd w:val="0"/>
        <w:spacing w:line="288" w:lineRule="atLeast"/>
        <w:ind w:firstLine="284"/>
        <w:jc w:val="both"/>
        <w:rPr>
          <w:rStyle w:val="IntenseReference"/>
          <w:rFonts w:ascii="Garamond" w:eastAsia="Calibri" w:hAnsi="Garamond" w:cs="Garamond"/>
          <w:i w:val="0"/>
          <w:color w:val="auto"/>
          <w:sz w:val="24"/>
          <w:szCs w:val="24"/>
          <w:lang w:eastAsia="sq-AL"/>
        </w:rPr>
      </w:pPr>
      <w:r w:rsidRPr="004A47DC">
        <w:rPr>
          <w:rFonts w:ascii="Garamond" w:hAnsi="Garamond" w:cs="Garamond"/>
          <w:color w:val="000000"/>
          <w:lang w:eastAsia="sq-AL"/>
        </w:rPr>
        <w:t xml:space="preserve">Masa 2.5.3 Përmirësimi i monitorimit dhe raportimit për PPP-të dhe </w:t>
      </w:r>
      <w:r w:rsidR="00D03165" w:rsidRPr="004A47DC">
        <w:rPr>
          <w:rFonts w:ascii="Garamond" w:hAnsi="Garamond" w:cs="Garamond"/>
          <w:color w:val="000000"/>
          <w:lang w:eastAsia="sq-AL"/>
        </w:rPr>
        <w:t>kontratat e k</w:t>
      </w:r>
      <w:r w:rsidRPr="004A47DC">
        <w:rPr>
          <w:rFonts w:ascii="Garamond" w:hAnsi="Garamond" w:cs="Garamond"/>
          <w:color w:val="000000"/>
          <w:lang w:eastAsia="sq-AL"/>
        </w:rPr>
        <w:t>oncesionit.</w:t>
      </w:r>
      <w:bookmarkStart w:id="9" w:name="_Toc168918678"/>
    </w:p>
    <w:p w14:paraId="69DC4516" w14:textId="7418155B" w:rsidR="004719D2" w:rsidRPr="004A47DC" w:rsidRDefault="004719D2" w:rsidP="004719D2">
      <w:pPr>
        <w:pStyle w:val="TEKSTIII"/>
        <w:rPr>
          <w:rStyle w:val="IntenseReference"/>
          <w:rFonts w:ascii="Garamond" w:eastAsiaTheme="majorEastAsia" w:hAnsi="Garamond" w:cstheme="majorBidi"/>
          <w:b/>
          <w:i w:val="0"/>
          <w:iCs/>
          <w:color w:val="000000" w:themeColor="text1"/>
          <w:sz w:val="24"/>
          <w:szCs w:val="24"/>
        </w:rPr>
      </w:pPr>
      <w:r w:rsidRPr="004A47DC">
        <w:rPr>
          <w:rStyle w:val="IntenseReference"/>
          <w:rFonts w:ascii="Garamond" w:eastAsiaTheme="majorEastAsia" w:hAnsi="Garamond" w:cstheme="majorBidi"/>
          <w:b/>
          <w:i w:val="0"/>
          <w:color w:val="000000" w:themeColor="text1"/>
          <w:sz w:val="24"/>
          <w:szCs w:val="24"/>
        </w:rPr>
        <w:t>3.2 Komponenti 2.1</w:t>
      </w:r>
      <w:r w:rsidR="001415B2" w:rsidRPr="004A47DC">
        <w:rPr>
          <w:rStyle w:val="IntenseReference"/>
          <w:rFonts w:ascii="Garamond" w:eastAsiaTheme="majorEastAsia" w:hAnsi="Garamond" w:cstheme="majorBidi"/>
          <w:b/>
          <w:i w:val="0"/>
          <w:color w:val="000000" w:themeColor="text1"/>
          <w:sz w:val="24"/>
          <w:szCs w:val="24"/>
        </w:rPr>
        <w:t>:</w:t>
      </w:r>
      <w:r w:rsidRPr="004A47DC">
        <w:rPr>
          <w:rStyle w:val="IntenseReference"/>
          <w:rFonts w:ascii="Garamond" w:eastAsiaTheme="majorEastAsia" w:hAnsi="Garamond" w:cstheme="majorBidi"/>
          <w:b/>
          <w:i w:val="0"/>
          <w:color w:val="000000" w:themeColor="text1"/>
          <w:sz w:val="24"/>
          <w:szCs w:val="24"/>
        </w:rPr>
        <w:t xml:space="preserve"> Planifikimi </w:t>
      </w:r>
      <w:r w:rsidR="00F81BE4" w:rsidRPr="004A47DC">
        <w:rPr>
          <w:rStyle w:val="IntenseReference"/>
          <w:rFonts w:ascii="Garamond" w:eastAsiaTheme="majorEastAsia" w:hAnsi="Garamond" w:cstheme="majorBidi"/>
          <w:b/>
          <w:i w:val="0"/>
          <w:color w:val="000000" w:themeColor="text1"/>
          <w:sz w:val="24"/>
          <w:szCs w:val="24"/>
        </w:rPr>
        <w:t>strategjik i integruar</w:t>
      </w:r>
      <w:bookmarkEnd w:id="9"/>
      <w:r w:rsidR="00F81BE4" w:rsidRPr="004A47DC">
        <w:rPr>
          <w:rStyle w:val="IntenseReference"/>
          <w:rFonts w:ascii="Garamond" w:eastAsiaTheme="majorEastAsia" w:hAnsi="Garamond" w:cstheme="majorBidi"/>
          <w:b/>
          <w:i w:val="0"/>
          <w:color w:val="000000" w:themeColor="text1"/>
          <w:sz w:val="24"/>
          <w:szCs w:val="24"/>
        </w:rPr>
        <w:t xml:space="preserve"> </w:t>
      </w:r>
    </w:p>
    <w:p w14:paraId="10177C46" w14:textId="77777777" w:rsidR="004719D2" w:rsidRPr="004A47DC" w:rsidRDefault="004719D2" w:rsidP="004719D2">
      <w:pPr>
        <w:pStyle w:val="TEKSTIII"/>
        <w:rPr>
          <w:b/>
        </w:rPr>
      </w:pPr>
      <w:r w:rsidRPr="004A47DC">
        <w:rPr>
          <w:b/>
        </w:rPr>
        <w:t>Objektivi</w:t>
      </w:r>
    </w:p>
    <w:p w14:paraId="70074D16" w14:textId="16BDFE6D" w:rsidR="004719D2" w:rsidRPr="004A47DC" w:rsidRDefault="004719D2" w:rsidP="004719D2">
      <w:pPr>
        <w:pStyle w:val="TEKSTIII"/>
      </w:pPr>
      <w:r w:rsidRPr="004A47DC">
        <w:t xml:space="preserve">Synimi për vitin 2030 është të funksionojë një Sistem Planifikimi </w:t>
      </w:r>
      <w:r w:rsidR="00D03165">
        <w:t>të</w:t>
      </w:r>
      <w:r w:rsidRPr="004A47DC">
        <w:t xml:space="preserve"> Integruar (SPI), </w:t>
      </w:r>
      <w:r w:rsidR="004E5C5E">
        <w:t>të</w:t>
      </w:r>
      <w:r w:rsidRPr="004A47DC">
        <w:t xml:space="preserve"> mbështetur nga TI</w:t>
      </w:r>
      <w:r w:rsidR="004E5C5E">
        <w:t>-ja</w:t>
      </w:r>
      <w:r w:rsidRPr="004A47DC">
        <w:t>, që i mundëson qeverisë të zhvillojë dhe monitorojë në mënyrë efektive strategjitë e ndërlidhura kombëtare, sektoriale, ndërsektoriale dhe rajonale, politikat dhe investimet publike prioritare</w:t>
      </w:r>
      <w:r w:rsidR="004E5C5E">
        <w:t>,</w:t>
      </w:r>
      <w:r w:rsidRPr="004A47DC">
        <w:t xml:space="preserve"> në mbështetje të arritjes së synimeve për zhvillimin kombëtar dhe integrimin në BE</w:t>
      </w:r>
      <w:r w:rsidR="00F31A1E">
        <w:t>,</w:t>
      </w:r>
      <w:r w:rsidRPr="004A47DC">
        <w:t xml:space="preserve"> dhe në përputhje me burimet buxhetore në dispozicion.</w:t>
      </w:r>
    </w:p>
    <w:p w14:paraId="52B4491C" w14:textId="77777777" w:rsidR="00F31A1E" w:rsidRDefault="004719D2" w:rsidP="00F31A1E">
      <w:pPr>
        <w:pStyle w:val="TEKSTIII"/>
        <w:rPr>
          <w:b/>
        </w:rPr>
      </w:pPr>
      <w:r w:rsidRPr="004A47DC">
        <w:rPr>
          <w:b/>
        </w:rPr>
        <w:t>Kontekst</w:t>
      </w:r>
    </w:p>
    <w:p w14:paraId="098817AD" w14:textId="4CA7683C" w:rsidR="004719D2" w:rsidRPr="00F31A1E" w:rsidRDefault="004719D2" w:rsidP="00F31A1E">
      <w:pPr>
        <w:pStyle w:val="TEKSTIII"/>
        <w:rPr>
          <w:b/>
        </w:rPr>
      </w:pPr>
      <w:r w:rsidRPr="004A47DC">
        <w:rPr>
          <w:color w:val="000000" w:themeColor="text1"/>
        </w:rPr>
        <w:t>Organet qeveritare kanë krijuar një seri gjithëpërfshirëse strategjish dhe plane veprimi shoqëruese janë në fuqi, të përbërë nga Strategjia Kombëtare gjithëpërfshirëse për Zhvillim dhe Integrim Evropian (SKZHIE) dhe janë zhvilluar dhe po rinovohen rregullisht disa strategji sektoriale, nënsektoriale, ndërsektoriale dhe rajonale. Agjencia Shtetërore e Programimit Strategjik dhe Koordinimit të ndihmës (SASPAC) ka vendosur rregullore dhe udhëzime për të udhëhequr zhvillimin dhe monitorimin e strategjive</w:t>
      </w:r>
      <w:r w:rsidR="00F31A1E">
        <w:rPr>
          <w:color w:val="000000" w:themeColor="text1"/>
        </w:rPr>
        <w:t>,</w:t>
      </w:r>
      <w:r w:rsidRPr="004A47DC">
        <w:rPr>
          <w:color w:val="000000" w:themeColor="text1"/>
        </w:rPr>
        <w:t xml:space="preserve"> dhe planeve të tyre të veprimit në një mënyrë të qëndrueshme. Gjithashtu, është vënë në funksion një Sistem Informacioni (SIPI/IPSIS) për të mbështetur Procesin e Planifikimit të Integruar. SIPI</w:t>
      </w:r>
      <w:r w:rsidR="00F31A1E">
        <w:rPr>
          <w:color w:val="000000" w:themeColor="text1"/>
        </w:rPr>
        <w:t>,</w:t>
      </w:r>
      <w:r w:rsidRPr="004A47DC">
        <w:rPr>
          <w:color w:val="000000" w:themeColor="text1"/>
        </w:rPr>
        <w:t xml:space="preserve"> deri më tani</w:t>
      </w:r>
      <w:r w:rsidR="00F31A1E">
        <w:rPr>
          <w:color w:val="000000" w:themeColor="text1"/>
        </w:rPr>
        <w:t>,</w:t>
      </w:r>
      <w:r w:rsidRPr="004A47DC">
        <w:rPr>
          <w:color w:val="000000" w:themeColor="text1"/>
        </w:rPr>
        <w:t xml:space="preserve"> është përdorur vetëm në një masë shumë të kufizuar dhe janë bërë plane për të përmirësuar SIPI</w:t>
      </w:r>
      <w:r w:rsidR="00F31A1E">
        <w:rPr>
          <w:color w:val="000000" w:themeColor="text1"/>
        </w:rPr>
        <w:t>-</w:t>
      </w:r>
      <w:r w:rsidR="00F31A1E">
        <w:t>n</w:t>
      </w:r>
      <w:r w:rsidRPr="004A47DC">
        <w:rPr>
          <w:color w:val="000000" w:themeColor="text1"/>
        </w:rPr>
        <w:t xml:space="preserve"> për </w:t>
      </w:r>
      <w:r w:rsidR="001415B2" w:rsidRPr="004A47DC">
        <w:rPr>
          <w:color w:val="000000" w:themeColor="text1"/>
        </w:rPr>
        <w:t>t</w:t>
      </w:r>
      <w:r w:rsidR="00CE6AE5" w:rsidRPr="004A47DC">
        <w:rPr>
          <w:color w:val="000000" w:themeColor="text1"/>
        </w:rPr>
        <w:t>’</w:t>
      </w:r>
      <w:r w:rsidR="001415B2" w:rsidRPr="004A47DC">
        <w:rPr>
          <w:color w:val="000000" w:themeColor="text1"/>
        </w:rPr>
        <w:t xml:space="preserve">i </w:t>
      </w:r>
      <w:r w:rsidRPr="004A47DC">
        <w:rPr>
          <w:color w:val="000000" w:themeColor="text1"/>
        </w:rPr>
        <w:t>shërbyer më mirë nevojave të përdoruesve të tij. Një sfidë e vazhdueshme mbetet</w:t>
      </w:r>
      <w:r w:rsidR="001415B2" w:rsidRPr="004A47DC">
        <w:rPr>
          <w:color w:val="000000" w:themeColor="text1"/>
        </w:rPr>
        <w:t>:</w:t>
      </w:r>
      <w:r w:rsidRPr="004A47DC">
        <w:rPr>
          <w:color w:val="000000" w:themeColor="text1"/>
        </w:rPr>
        <w:t xml:space="preserve"> i</w:t>
      </w:r>
      <w:r w:rsidR="001415B2" w:rsidRPr="004A47DC">
        <w:rPr>
          <w:color w:val="000000" w:themeColor="text1"/>
        </w:rPr>
        <w:t>.</w:t>
      </w:r>
      <w:r w:rsidRPr="004A47DC">
        <w:rPr>
          <w:color w:val="000000" w:themeColor="text1"/>
        </w:rPr>
        <w:t xml:space="preserve"> harmonizimi dhe integrimi i strategjive të ndryshme në nivele të ndryshme</w:t>
      </w:r>
      <w:r w:rsidR="001415B2" w:rsidRPr="004A47DC">
        <w:rPr>
          <w:color w:val="000000" w:themeColor="text1"/>
        </w:rPr>
        <w:t>;</w:t>
      </w:r>
      <w:r w:rsidRPr="004A47DC">
        <w:rPr>
          <w:color w:val="000000" w:themeColor="text1"/>
        </w:rPr>
        <w:t xml:space="preserve"> dhe ii</w:t>
      </w:r>
      <w:r w:rsidR="001415B2" w:rsidRPr="004A47DC">
        <w:rPr>
          <w:color w:val="000000" w:themeColor="text1"/>
        </w:rPr>
        <w:t>.</w:t>
      </w:r>
      <w:r w:rsidRPr="004A47DC">
        <w:rPr>
          <w:color w:val="000000" w:themeColor="text1"/>
        </w:rPr>
        <w:t xml:space="preserve"> zhvillimi i strategjive dhe planeve të veprimit me kosto adekuate</w:t>
      </w:r>
      <w:r w:rsidR="00C40602">
        <w:rPr>
          <w:color w:val="000000" w:themeColor="text1"/>
        </w:rPr>
        <w:t>,</w:t>
      </w:r>
      <w:r w:rsidRPr="004A47DC">
        <w:rPr>
          <w:color w:val="000000" w:themeColor="text1"/>
        </w:rPr>
        <w:t xml:space="preserve"> brenda burimeve të disponueshme të alokuara përmes </w:t>
      </w:r>
      <w:r w:rsidR="00C40602" w:rsidRPr="004A47DC">
        <w:rPr>
          <w:color w:val="000000" w:themeColor="text1"/>
        </w:rPr>
        <w:t>programeve buxhetore afatmesme.</w:t>
      </w:r>
    </w:p>
    <w:p w14:paraId="4F5ACBFB" w14:textId="77777777" w:rsidR="004719D2" w:rsidRPr="004A47DC" w:rsidRDefault="004719D2" w:rsidP="004719D2">
      <w:pPr>
        <w:pStyle w:val="TEKSTIII"/>
        <w:rPr>
          <w:b/>
        </w:rPr>
      </w:pPr>
      <w:r w:rsidRPr="004A47DC">
        <w:rPr>
          <w:b/>
        </w:rPr>
        <w:t>Prioritetet</w:t>
      </w:r>
    </w:p>
    <w:p w14:paraId="69504B00" w14:textId="3B83DF34" w:rsidR="004719D2" w:rsidRPr="004A47DC" w:rsidRDefault="004719D2" w:rsidP="004719D2">
      <w:pPr>
        <w:pStyle w:val="TEKSTIII"/>
      </w:pPr>
      <w:r w:rsidRPr="004A47DC">
        <w:t xml:space="preserve">Prioritetet kryesore për periudhën </w:t>
      </w:r>
      <w:r w:rsidR="00DB1D7E" w:rsidRPr="004A47DC">
        <w:t>2023–2026</w:t>
      </w:r>
      <w:r w:rsidRPr="004A47DC">
        <w:t xml:space="preserve"> janë:</w:t>
      </w:r>
    </w:p>
    <w:p w14:paraId="485A31A4" w14:textId="7585EBF7" w:rsidR="004719D2" w:rsidRPr="004A47DC" w:rsidRDefault="004719D2" w:rsidP="004719D2">
      <w:pPr>
        <w:pStyle w:val="TEKSTIII"/>
      </w:pPr>
      <w:r w:rsidRPr="004A47DC">
        <w:t xml:space="preserve">- Rishikimi </w:t>
      </w:r>
      <w:r w:rsidRPr="004A47DC">
        <w:rPr>
          <w:rStyle w:val="rynqvb"/>
          <w:color w:val="000000" w:themeColor="text1"/>
        </w:rPr>
        <w:t>dhe përmirësimi i SPI-së</w:t>
      </w:r>
      <w:r w:rsidR="00C40602">
        <w:rPr>
          <w:rStyle w:val="rynqvb"/>
          <w:color w:val="000000" w:themeColor="text1"/>
        </w:rPr>
        <w:t>,</w:t>
      </w:r>
      <w:r w:rsidRPr="004A47DC">
        <w:rPr>
          <w:rStyle w:val="rynqvb"/>
          <w:color w:val="000000" w:themeColor="text1"/>
        </w:rPr>
        <w:t xml:space="preserve"> për të siguruar zhvillimin efektiv të strategjisë së integruar në të gjitha nivelet</w:t>
      </w:r>
      <w:r w:rsidR="00C40602">
        <w:rPr>
          <w:rStyle w:val="rynqvb"/>
          <w:color w:val="000000" w:themeColor="text1"/>
        </w:rPr>
        <w:t>;</w:t>
      </w:r>
    </w:p>
    <w:p w14:paraId="472F36F8" w14:textId="63E22C04" w:rsidR="004719D2" w:rsidRPr="004A47DC" w:rsidRDefault="004719D2" w:rsidP="004719D2">
      <w:pPr>
        <w:pStyle w:val="TEKSTIII"/>
      </w:pPr>
      <w:r w:rsidRPr="004A47DC">
        <w:t>- Prezantimi dhe përmirësimi gradual i Dokumentit vjetor të Prioriteteve të Politikave dhe bashkëlidhur saj Lista Unike e Projekteve me Rëndësi Kombëtare</w:t>
      </w:r>
      <w:r w:rsidR="00C40602">
        <w:t>;</w:t>
      </w:r>
    </w:p>
    <w:p w14:paraId="795CB27D" w14:textId="540D9CDD" w:rsidR="004719D2" w:rsidRPr="004A47DC" w:rsidRDefault="004719D2" w:rsidP="004719D2">
      <w:pPr>
        <w:pStyle w:val="TEKSTIII"/>
      </w:pPr>
      <w:r w:rsidRPr="004A47DC">
        <w:t>- Zhvillimi i mëtejshëm i SIPI</w:t>
      </w:r>
      <w:r w:rsidR="00C40602">
        <w:t>-</w:t>
      </w:r>
      <w:r w:rsidR="00B306F5">
        <w:t>t</w:t>
      </w:r>
      <w:r w:rsidR="00C40602">
        <w:t>,</w:t>
      </w:r>
      <w:r w:rsidRPr="004A47DC">
        <w:t xml:space="preserve"> në mbështetje të SPI-së dhe sigurimi i lidhjeve</w:t>
      </w:r>
      <w:r w:rsidR="00C40602">
        <w:t>,</w:t>
      </w:r>
      <w:r w:rsidRPr="004A47DC">
        <w:t xml:space="preserve"> në veçanti me</w:t>
      </w:r>
      <w:r w:rsidR="00E31153" w:rsidRPr="004A47DC">
        <w:t>:</w:t>
      </w:r>
      <w:r w:rsidRPr="004A47DC">
        <w:t xml:space="preserve"> i</w:t>
      </w:r>
      <w:r w:rsidR="00E31153" w:rsidRPr="004A47DC">
        <w:t>.</w:t>
      </w:r>
      <w:r w:rsidRPr="004A47DC">
        <w:t xml:space="preserve"> modulin buxhetor të Sistemit Informativ të Menaxhimit Financiar Shqiptar (SIMFSH) për zhvillimin e PBA-së së orientuar drejt performancës</w:t>
      </w:r>
      <w:r w:rsidR="00E31153" w:rsidRPr="004A47DC">
        <w:t>;</w:t>
      </w:r>
      <w:r w:rsidRPr="004A47DC">
        <w:t xml:space="preserve"> ii</w:t>
      </w:r>
      <w:r w:rsidR="00E31153" w:rsidRPr="004A47DC">
        <w:t>.</w:t>
      </w:r>
      <w:r w:rsidRPr="004A47DC">
        <w:t xml:space="preserve"> modulin MIP të SIMFSH-së për planifikimin e investimeve publike; iii</w:t>
      </w:r>
      <w:r w:rsidR="00E31153" w:rsidRPr="004A47DC">
        <w:t>.</w:t>
      </w:r>
      <w:r w:rsidRPr="004A47DC">
        <w:t xml:space="preserve"> modulin e monitorimit të SIMFSH-së për monitorimin dhe raportimin e zbatimit të PBA-së dhe projekteve të investimeve publike; dhe iv</w:t>
      </w:r>
      <w:r w:rsidR="00E31153" w:rsidRPr="004A47DC">
        <w:t>.</w:t>
      </w:r>
      <w:r w:rsidRPr="004A47DC">
        <w:t xml:space="preserve"> Sistemin Informatik të Menaxhimi të Asistencës së Jashtme (SIMAJ) për planifikimin dhe menaxhimin e projekteve zhvillimore me mbështetje të jashtme.</w:t>
      </w:r>
    </w:p>
    <w:p w14:paraId="743862EA" w14:textId="77777777" w:rsidR="004719D2" w:rsidRPr="004A47DC" w:rsidRDefault="004719D2" w:rsidP="004719D2">
      <w:pPr>
        <w:pStyle w:val="TEKSTIII"/>
      </w:pPr>
    </w:p>
    <w:p w14:paraId="32378E70"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Masat dhe aktivitetet</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1847"/>
        <w:gridCol w:w="3943"/>
        <w:gridCol w:w="774"/>
        <w:gridCol w:w="768"/>
        <w:gridCol w:w="1729"/>
      </w:tblGrid>
      <w:tr w:rsidR="004719D2" w:rsidRPr="004A47DC" w14:paraId="72B2A81C" w14:textId="77777777" w:rsidTr="00C40602">
        <w:trPr>
          <w:trHeight w:val="182"/>
          <w:tblHeader/>
        </w:trPr>
        <w:tc>
          <w:tcPr>
            <w:tcW w:w="10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03A07" w14:textId="77777777" w:rsidR="004719D2" w:rsidRPr="004A47DC" w:rsidRDefault="004719D2" w:rsidP="00C4060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21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9EE221" w14:textId="77777777" w:rsidR="004719D2" w:rsidRPr="004A47DC" w:rsidRDefault="004719D2" w:rsidP="00C4060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4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55DFAE" w14:textId="77777777" w:rsidR="004719D2" w:rsidRPr="004A47DC" w:rsidRDefault="004719D2" w:rsidP="00C4060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73124B" w14:textId="77777777" w:rsidR="004719D2" w:rsidRPr="004A47DC" w:rsidRDefault="004719D2" w:rsidP="00C4060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9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91994B" w14:textId="77777777" w:rsidR="004719D2" w:rsidRPr="004A47DC" w:rsidRDefault="004719D2" w:rsidP="00C40602">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48A9281E" w14:textId="77777777" w:rsidTr="00E31153">
        <w:trPr>
          <w:trHeight w:val="455"/>
        </w:trPr>
        <w:tc>
          <w:tcPr>
            <w:tcW w:w="1019" w:type="pct"/>
            <w:vMerge w:val="restart"/>
            <w:tcBorders>
              <w:top w:val="single" w:sz="4" w:space="0" w:color="auto"/>
              <w:left w:val="single" w:sz="4" w:space="0" w:color="auto"/>
              <w:right w:val="single" w:sz="4" w:space="0" w:color="auto"/>
            </w:tcBorders>
          </w:tcPr>
          <w:p w14:paraId="4AE84085" w14:textId="4D8AA1E1"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2.1.1 Përmirësimi i Sistemit të Planifikimit të Integruar të mbështetur nga TI</w:t>
            </w:r>
            <w:r w:rsidR="00C40602">
              <w:rPr>
                <w:rFonts w:ascii="Garamond" w:hAnsi="Garamond" w:cs="Arial"/>
                <w:b/>
                <w:bCs/>
                <w:color w:val="000000" w:themeColor="text1"/>
                <w:sz w:val="16"/>
                <w:szCs w:val="16"/>
              </w:rPr>
              <w:t>-ja</w:t>
            </w:r>
            <w:r w:rsidRPr="004A47DC">
              <w:rPr>
                <w:rFonts w:ascii="Garamond" w:hAnsi="Garamond" w:cs="Arial"/>
                <w:b/>
                <w:bCs/>
                <w:color w:val="000000" w:themeColor="text1"/>
                <w:sz w:val="16"/>
                <w:szCs w:val="16"/>
              </w:rPr>
              <w:t xml:space="preserve"> për formulimin dhe monitorimin e strategjive</w:t>
            </w:r>
          </w:p>
        </w:tc>
        <w:tc>
          <w:tcPr>
            <w:tcW w:w="2176" w:type="pct"/>
            <w:tcBorders>
              <w:top w:val="single" w:sz="4" w:space="0" w:color="auto"/>
              <w:left w:val="single" w:sz="4" w:space="0" w:color="auto"/>
              <w:bottom w:val="single" w:sz="4" w:space="0" w:color="auto"/>
              <w:right w:val="single" w:sz="4" w:space="0" w:color="auto"/>
            </w:tcBorders>
            <w:vAlign w:val="center"/>
          </w:tcPr>
          <w:p w14:paraId="4AFFFC04" w14:textId="5A710BE1" w:rsidR="004719D2" w:rsidRPr="004A47DC" w:rsidRDefault="004719D2" w:rsidP="004719D2">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1</w:t>
            </w:r>
            <w:r w:rsidRPr="004A47DC">
              <w:rPr>
                <w:sz w:val="16"/>
                <w:szCs w:val="16"/>
              </w:rPr>
              <w:t xml:space="preserve">. </w:t>
            </w:r>
            <w:r w:rsidRPr="004A47DC">
              <w:rPr>
                <w:rFonts w:ascii="Garamond" w:hAnsi="Garamond" w:cs="Arial"/>
                <w:color w:val="000000" w:themeColor="text1"/>
                <w:sz w:val="16"/>
                <w:szCs w:val="16"/>
              </w:rPr>
              <w:t>Rishikimi i efektivitetit të Sistemit aktual të Planifikimit të Integruar dhe hartimi i propozimeve për përmirësim.</w:t>
            </w:r>
          </w:p>
        </w:tc>
        <w:tc>
          <w:tcPr>
            <w:tcW w:w="427" w:type="pct"/>
            <w:tcBorders>
              <w:top w:val="single" w:sz="4" w:space="0" w:color="auto"/>
              <w:left w:val="single" w:sz="4" w:space="0" w:color="auto"/>
              <w:bottom w:val="single" w:sz="4" w:space="0" w:color="auto"/>
              <w:right w:val="single" w:sz="4" w:space="0" w:color="auto"/>
            </w:tcBorders>
            <w:vAlign w:val="center"/>
          </w:tcPr>
          <w:p w14:paraId="59740D2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bottom w:val="single" w:sz="4" w:space="0" w:color="auto"/>
              <w:right w:val="single" w:sz="4" w:space="0" w:color="auto"/>
            </w:tcBorders>
            <w:vAlign w:val="center"/>
          </w:tcPr>
          <w:p w14:paraId="542979F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955" w:type="pct"/>
            <w:vMerge w:val="restart"/>
            <w:tcBorders>
              <w:top w:val="single" w:sz="4" w:space="0" w:color="auto"/>
              <w:left w:val="single" w:sz="4" w:space="0" w:color="auto"/>
              <w:right w:val="single" w:sz="4" w:space="0" w:color="auto"/>
            </w:tcBorders>
          </w:tcPr>
          <w:p w14:paraId="5639E388"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05DAC595" w14:textId="16E22E0F"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 (lider), MF</w:t>
            </w:r>
            <w:r w:rsidR="0052508C">
              <w:rPr>
                <w:rFonts w:ascii="Garamond" w:hAnsi="Garamond" w:cs="Arial"/>
                <w:color w:val="000000" w:themeColor="text1"/>
                <w:sz w:val="16"/>
                <w:szCs w:val="16"/>
              </w:rPr>
              <w:t>-ja</w:t>
            </w:r>
            <w:r w:rsidRPr="004A47DC">
              <w:rPr>
                <w:rFonts w:ascii="Garamond" w:hAnsi="Garamond" w:cs="Arial"/>
                <w:color w:val="000000" w:themeColor="text1"/>
                <w:sz w:val="16"/>
                <w:szCs w:val="16"/>
              </w:rPr>
              <w:t>.</w:t>
            </w:r>
          </w:p>
          <w:p w14:paraId="34DA8B32"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F1ABB21"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7F89C324" w14:textId="0EEE64A9"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 xml:space="preserve">Ministritë e </w:t>
            </w:r>
            <w:r w:rsidR="00E31153" w:rsidRPr="004A47DC">
              <w:rPr>
                <w:rFonts w:ascii="Garamond" w:hAnsi="Garamond" w:cs="Arial"/>
                <w:color w:val="000000" w:themeColor="text1"/>
                <w:sz w:val="16"/>
                <w:szCs w:val="16"/>
              </w:rPr>
              <w:t>l</w:t>
            </w:r>
            <w:r w:rsidRPr="004A47DC">
              <w:rPr>
                <w:rFonts w:ascii="Garamond" w:hAnsi="Garamond" w:cs="Arial"/>
                <w:color w:val="000000" w:themeColor="text1"/>
                <w:sz w:val="16"/>
                <w:szCs w:val="16"/>
              </w:rPr>
              <w:t>injës</w:t>
            </w:r>
          </w:p>
          <w:p w14:paraId="63103A55" w14:textId="754147E2"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 xml:space="preserve">Ndihma e </w:t>
            </w:r>
            <w:r w:rsidR="00E31153" w:rsidRPr="004A47DC">
              <w:rPr>
                <w:rFonts w:ascii="Garamond" w:hAnsi="Garamond" w:cs="Arial"/>
                <w:color w:val="000000" w:themeColor="text1"/>
                <w:sz w:val="16"/>
                <w:szCs w:val="16"/>
              </w:rPr>
              <w:t>h</w:t>
            </w:r>
            <w:r w:rsidRPr="004A47DC">
              <w:rPr>
                <w:rFonts w:ascii="Garamond" w:hAnsi="Garamond" w:cs="Arial"/>
                <w:color w:val="000000" w:themeColor="text1"/>
                <w:sz w:val="16"/>
                <w:szCs w:val="16"/>
              </w:rPr>
              <w:t>uaj</w:t>
            </w:r>
          </w:p>
          <w:p w14:paraId="009AAB45" w14:textId="77777777" w:rsidR="004719D2" w:rsidRPr="004A47DC" w:rsidRDefault="004719D2" w:rsidP="00CF7CEC">
            <w:pPr>
              <w:rPr>
                <w:rFonts w:ascii="Garamond" w:hAnsi="Garamond"/>
                <w:b/>
                <w:bCs/>
                <w:color w:val="000000" w:themeColor="text1"/>
                <w:sz w:val="16"/>
                <w:szCs w:val="16"/>
              </w:rPr>
            </w:pPr>
          </w:p>
        </w:tc>
      </w:tr>
      <w:tr w:rsidR="004719D2" w:rsidRPr="004A47DC" w14:paraId="62E95B49" w14:textId="77777777" w:rsidTr="00E31153">
        <w:trPr>
          <w:trHeight w:val="455"/>
        </w:trPr>
        <w:tc>
          <w:tcPr>
            <w:tcW w:w="1019" w:type="pct"/>
            <w:vMerge/>
            <w:tcBorders>
              <w:left w:val="single" w:sz="4" w:space="0" w:color="auto"/>
              <w:right w:val="single" w:sz="4" w:space="0" w:color="auto"/>
            </w:tcBorders>
          </w:tcPr>
          <w:p w14:paraId="1C74EDA1"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176" w:type="pct"/>
            <w:tcBorders>
              <w:top w:val="single" w:sz="4" w:space="0" w:color="auto"/>
              <w:left w:val="single" w:sz="4" w:space="0" w:color="auto"/>
              <w:bottom w:val="single" w:sz="4" w:space="0" w:color="auto"/>
              <w:right w:val="single" w:sz="4" w:space="0" w:color="auto"/>
            </w:tcBorders>
            <w:vAlign w:val="center"/>
          </w:tcPr>
          <w:p w14:paraId="4CCCF98D" w14:textId="3DE19A18" w:rsidR="004719D2" w:rsidRPr="004A47DC" w:rsidRDefault="004719D2" w:rsidP="004719D2">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2</w:t>
            </w:r>
            <w:r w:rsidRPr="004A47DC">
              <w:rPr>
                <w:sz w:val="16"/>
                <w:szCs w:val="16"/>
              </w:rPr>
              <w:t xml:space="preserve">. </w:t>
            </w:r>
            <w:r w:rsidRPr="004A47DC">
              <w:rPr>
                <w:rFonts w:ascii="Garamond" w:hAnsi="Garamond" w:cs="Arial"/>
                <w:color w:val="000000" w:themeColor="text1"/>
                <w:sz w:val="16"/>
                <w:szCs w:val="16"/>
              </w:rPr>
              <w:t>Përmirësimi i ligjeve, akteve nënligjore dhe udhëzimeve për planifikim të integruar</w:t>
            </w:r>
            <w:r w:rsidR="00C40602">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aty ku është e nevojshme.</w:t>
            </w:r>
          </w:p>
        </w:tc>
        <w:tc>
          <w:tcPr>
            <w:tcW w:w="427" w:type="pct"/>
            <w:tcBorders>
              <w:top w:val="single" w:sz="4" w:space="0" w:color="auto"/>
              <w:left w:val="single" w:sz="4" w:space="0" w:color="auto"/>
              <w:bottom w:val="single" w:sz="4" w:space="0" w:color="auto"/>
              <w:right w:val="single" w:sz="4" w:space="0" w:color="auto"/>
            </w:tcBorders>
            <w:vAlign w:val="center"/>
          </w:tcPr>
          <w:p w14:paraId="6E8E7BA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bottom w:val="single" w:sz="4" w:space="0" w:color="auto"/>
              <w:right w:val="single" w:sz="4" w:space="0" w:color="auto"/>
            </w:tcBorders>
            <w:vAlign w:val="center"/>
          </w:tcPr>
          <w:p w14:paraId="6B2B737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955" w:type="pct"/>
            <w:vMerge/>
            <w:tcBorders>
              <w:left w:val="single" w:sz="4" w:space="0" w:color="auto"/>
              <w:right w:val="single" w:sz="4" w:space="0" w:color="auto"/>
            </w:tcBorders>
          </w:tcPr>
          <w:p w14:paraId="7CF87690" w14:textId="77777777" w:rsidR="004719D2" w:rsidRPr="004A47DC" w:rsidRDefault="004719D2" w:rsidP="00CF7CEC">
            <w:pPr>
              <w:rPr>
                <w:rFonts w:ascii="Garamond" w:hAnsi="Garamond"/>
                <w:b/>
                <w:bCs/>
                <w:color w:val="000000" w:themeColor="text1"/>
                <w:sz w:val="16"/>
                <w:szCs w:val="16"/>
              </w:rPr>
            </w:pPr>
          </w:p>
        </w:tc>
      </w:tr>
      <w:tr w:rsidR="004719D2" w:rsidRPr="004A47DC" w14:paraId="6D840A29" w14:textId="77777777" w:rsidTr="00E31153">
        <w:trPr>
          <w:trHeight w:val="107"/>
        </w:trPr>
        <w:tc>
          <w:tcPr>
            <w:tcW w:w="1019" w:type="pct"/>
            <w:vMerge/>
            <w:tcBorders>
              <w:left w:val="single" w:sz="4" w:space="0" w:color="auto"/>
              <w:right w:val="single" w:sz="4" w:space="0" w:color="auto"/>
            </w:tcBorders>
            <w:hideMark/>
          </w:tcPr>
          <w:p w14:paraId="2D5FEBCB" w14:textId="77777777" w:rsidR="004719D2" w:rsidRPr="004A47DC" w:rsidRDefault="004719D2" w:rsidP="00CF7CEC">
            <w:pPr>
              <w:pStyle w:val="EcorysBody"/>
              <w:spacing w:line="240" w:lineRule="auto"/>
              <w:rPr>
                <w:rFonts w:ascii="Garamond" w:hAnsi="Garamond" w:cs="Arial"/>
                <w:color w:val="000000" w:themeColor="text1"/>
                <w:sz w:val="16"/>
                <w:szCs w:val="16"/>
              </w:rPr>
            </w:pPr>
          </w:p>
        </w:tc>
        <w:tc>
          <w:tcPr>
            <w:tcW w:w="2176" w:type="pct"/>
            <w:tcBorders>
              <w:top w:val="single" w:sz="4" w:space="0" w:color="auto"/>
              <w:left w:val="single" w:sz="4" w:space="0" w:color="auto"/>
              <w:right w:val="single" w:sz="4" w:space="0" w:color="auto"/>
            </w:tcBorders>
            <w:vAlign w:val="center"/>
          </w:tcPr>
          <w:p w14:paraId="53E59047" w14:textId="164AACF7" w:rsidR="004719D2" w:rsidRPr="004A47DC" w:rsidRDefault="004719D2" w:rsidP="004719D2">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3</w:t>
            </w:r>
            <w:r w:rsidRPr="004A47DC">
              <w:rPr>
                <w:sz w:val="16"/>
                <w:szCs w:val="16"/>
              </w:rPr>
              <w:t xml:space="preserve">. </w:t>
            </w:r>
            <w:r w:rsidRPr="004A47DC">
              <w:rPr>
                <w:rFonts w:ascii="Garamond" w:hAnsi="Garamond" w:cs="Arial"/>
                <w:color w:val="000000" w:themeColor="text1"/>
                <w:sz w:val="16"/>
                <w:szCs w:val="16"/>
              </w:rPr>
              <w:t>Përmirësimi i SIPI</w:t>
            </w:r>
            <w:r w:rsidR="00C40602">
              <w:rPr>
                <w:rFonts w:ascii="Garamond" w:hAnsi="Garamond" w:cs="Arial"/>
                <w:color w:val="000000" w:themeColor="text1"/>
                <w:sz w:val="16"/>
                <w:szCs w:val="16"/>
              </w:rPr>
              <w:t>-</w:t>
            </w:r>
            <w:r w:rsidR="00B306F5">
              <w:rPr>
                <w:rFonts w:ascii="Garamond" w:hAnsi="Garamond" w:cs="Arial"/>
                <w:color w:val="000000" w:themeColor="text1"/>
                <w:sz w:val="16"/>
                <w:szCs w:val="16"/>
              </w:rPr>
              <w:t>t</w:t>
            </w:r>
            <w:r w:rsidR="00C40602">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duke përfshirë ndërfaqet e tij me sisteme të tjera kompjuterike përkatëse</w:t>
            </w:r>
            <w:r w:rsidRPr="004A47DC">
              <w:rPr>
                <w:rStyle w:val="FootnoteReference"/>
                <w:rFonts w:ascii="Garamond" w:hAnsi="Garamond" w:cs="Arial"/>
                <w:color w:val="000000" w:themeColor="text1"/>
                <w:sz w:val="16"/>
                <w:szCs w:val="16"/>
              </w:rPr>
              <w:footnoteReference w:id="13"/>
            </w:r>
            <w:r w:rsidRPr="004A47DC">
              <w:rPr>
                <w:rFonts w:ascii="Garamond" w:hAnsi="Garamond" w:cs="Arial"/>
                <w:color w:val="000000" w:themeColor="text1"/>
                <w:sz w:val="16"/>
                <w:szCs w:val="16"/>
              </w:rPr>
              <w:t>.</w:t>
            </w:r>
          </w:p>
        </w:tc>
        <w:tc>
          <w:tcPr>
            <w:tcW w:w="427" w:type="pct"/>
            <w:tcBorders>
              <w:top w:val="single" w:sz="4" w:space="0" w:color="auto"/>
              <w:left w:val="single" w:sz="4" w:space="0" w:color="auto"/>
              <w:right w:val="single" w:sz="4" w:space="0" w:color="auto"/>
            </w:tcBorders>
            <w:vAlign w:val="center"/>
          </w:tcPr>
          <w:p w14:paraId="28DCE33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right w:val="single" w:sz="4" w:space="0" w:color="auto"/>
            </w:tcBorders>
            <w:vAlign w:val="center"/>
          </w:tcPr>
          <w:p w14:paraId="3D056C4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955" w:type="pct"/>
            <w:vMerge/>
            <w:tcBorders>
              <w:left w:val="single" w:sz="4" w:space="0" w:color="auto"/>
              <w:right w:val="single" w:sz="4" w:space="0" w:color="auto"/>
            </w:tcBorders>
          </w:tcPr>
          <w:p w14:paraId="1417BB95" w14:textId="77777777" w:rsidR="004719D2" w:rsidRPr="004A47DC" w:rsidRDefault="004719D2" w:rsidP="00CF7CEC">
            <w:pPr>
              <w:rPr>
                <w:rFonts w:ascii="Garamond" w:hAnsi="Garamond"/>
                <w:color w:val="000000" w:themeColor="text1"/>
                <w:sz w:val="16"/>
                <w:szCs w:val="16"/>
              </w:rPr>
            </w:pPr>
          </w:p>
        </w:tc>
      </w:tr>
      <w:tr w:rsidR="004719D2" w:rsidRPr="004A47DC" w14:paraId="3EB5DD16" w14:textId="77777777" w:rsidTr="00E31153">
        <w:trPr>
          <w:trHeight w:val="36"/>
        </w:trPr>
        <w:tc>
          <w:tcPr>
            <w:tcW w:w="1019" w:type="pct"/>
            <w:vMerge/>
            <w:tcBorders>
              <w:left w:val="single" w:sz="4" w:space="0" w:color="auto"/>
              <w:right w:val="single" w:sz="4" w:space="0" w:color="auto"/>
            </w:tcBorders>
          </w:tcPr>
          <w:p w14:paraId="7D86A839" w14:textId="77777777" w:rsidR="004719D2" w:rsidRPr="004A47DC" w:rsidRDefault="004719D2" w:rsidP="00CF7CEC">
            <w:pPr>
              <w:rPr>
                <w:rFonts w:ascii="Garamond" w:hAnsi="Garamond"/>
                <w:color w:val="000000" w:themeColor="text1"/>
                <w:sz w:val="16"/>
                <w:szCs w:val="16"/>
              </w:rPr>
            </w:pPr>
          </w:p>
        </w:tc>
        <w:tc>
          <w:tcPr>
            <w:tcW w:w="2176" w:type="pct"/>
            <w:tcBorders>
              <w:top w:val="single" w:sz="4" w:space="0" w:color="auto"/>
              <w:left w:val="single" w:sz="4" w:space="0" w:color="auto"/>
              <w:right w:val="single" w:sz="4" w:space="0" w:color="auto"/>
            </w:tcBorders>
            <w:vAlign w:val="center"/>
          </w:tcPr>
          <w:p w14:paraId="31F0911D" w14:textId="47B8E6A1" w:rsidR="004719D2" w:rsidRPr="004A47DC" w:rsidRDefault="004719D2" w:rsidP="004719D2">
            <w:pPr>
              <w:rPr>
                <w:rFonts w:ascii="Garamond" w:hAnsi="Garamond"/>
                <w:color w:val="000000" w:themeColor="text1"/>
                <w:sz w:val="16"/>
                <w:szCs w:val="16"/>
              </w:rPr>
            </w:pPr>
            <w:r w:rsidRPr="004A47DC">
              <w:rPr>
                <w:rFonts w:ascii="Garamond" w:hAnsi="Garamond"/>
                <w:color w:val="000000" w:themeColor="text1"/>
                <w:sz w:val="16"/>
                <w:szCs w:val="16"/>
              </w:rPr>
              <w:t>4</w:t>
            </w:r>
            <w:r w:rsidRPr="004A47DC">
              <w:rPr>
                <w:sz w:val="16"/>
                <w:szCs w:val="16"/>
              </w:rPr>
              <w:t xml:space="preserve">. </w:t>
            </w:r>
            <w:r w:rsidRPr="004A47DC">
              <w:rPr>
                <w:rFonts w:ascii="Garamond" w:hAnsi="Garamond"/>
                <w:color w:val="000000" w:themeColor="text1"/>
                <w:sz w:val="16"/>
                <w:szCs w:val="16"/>
              </w:rPr>
              <w:t xml:space="preserve">Zhvillimi dhe zbatimi i një plani gjithëpërfshirës të zhvillimit të kapaciteteve për nëpunësit civilë të angazhuar në procesin e planifikimit të integruar. </w:t>
            </w:r>
          </w:p>
        </w:tc>
        <w:tc>
          <w:tcPr>
            <w:tcW w:w="427" w:type="pct"/>
            <w:tcBorders>
              <w:top w:val="single" w:sz="4" w:space="0" w:color="auto"/>
              <w:left w:val="single" w:sz="4" w:space="0" w:color="auto"/>
              <w:right w:val="single" w:sz="4" w:space="0" w:color="auto"/>
            </w:tcBorders>
            <w:vAlign w:val="center"/>
          </w:tcPr>
          <w:p w14:paraId="74FBC97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right w:val="single" w:sz="4" w:space="0" w:color="auto"/>
            </w:tcBorders>
            <w:vAlign w:val="center"/>
          </w:tcPr>
          <w:p w14:paraId="7A6DDD4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955" w:type="pct"/>
            <w:vMerge/>
            <w:tcBorders>
              <w:left w:val="single" w:sz="4" w:space="0" w:color="auto"/>
              <w:right w:val="single" w:sz="4" w:space="0" w:color="auto"/>
            </w:tcBorders>
          </w:tcPr>
          <w:p w14:paraId="63D00753"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055D259B" w14:textId="77777777" w:rsidTr="00E31153">
        <w:trPr>
          <w:trHeight w:val="662"/>
        </w:trPr>
        <w:tc>
          <w:tcPr>
            <w:tcW w:w="1019" w:type="pct"/>
            <w:vMerge/>
            <w:tcBorders>
              <w:left w:val="single" w:sz="4" w:space="0" w:color="auto"/>
              <w:right w:val="single" w:sz="4" w:space="0" w:color="auto"/>
            </w:tcBorders>
            <w:vAlign w:val="center"/>
          </w:tcPr>
          <w:p w14:paraId="61EF57FA" w14:textId="77777777" w:rsidR="004719D2" w:rsidRPr="004A47DC" w:rsidRDefault="004719D2" w:rsidP="00CF7CEC">
            <w:pPr>
              <w:rPr>
                <w:rFonts w:ascii="Garamond" w:hAnsi="Garamond"/>
                <w:color w:val="000000" w:themeColor="text1"/>
                <w:sz w:val="16"/>
                <w:szCs w:val="16"/>
              </w:rPr>
            </w:pPr>
          </w:p>
        </w:tc>
        <w:tc>
          <w:tcPr>
            <w:tcW w:w="2176" w:type="pct"/>
            <w:tcBorders>
              <w:top w:val="single" w:sz="4" w:space="0" w:color="auto"/>
              <w:left w:val="single" w:sz="4" w:space="0" w:color="auto"/>
              <w:bottom w:val="single" w:sz="4" w:space="0" w:color="auto"/>
              <w:right w:val="single" w:sz="4" w:space="0" w:color="auto"/>
            </w:tcBorders>
            <w:vAlign w:val="center"/>
          </w:tcPr>
          <w:p w14:paraId="360EFA7F" w14:textId="0EDA84BF" w:rsidR="004719D2" w:rsidRPr="004A47DC" w:rsidRDefault="004719D2" w:rsidP="004719D2">
            <w:pPr>
              <w:rPr>
                <w:rFonts w:ascii="Garamond" w:hAnsi="Garamond"/>
                <w:color w:val="000000" w:themeColor="text1"/>
                <w:sz w:val="16"/>
                <w:szCs w:val="16"/>
              </w:rPr>
            </w:pPr>
            <w:r w:rsidRPr="004A47DC">
              <w:rPr>
                <w:rFonts w:ascii="Garamond" w:hAnsi="Garamond"/>
                <w:color w:val="000000" w:themeColor="text1"/>
                <w:sz w:val="16"/>
                <w:szCs w:val="16"/>
              </w:rPr>
              <w:t>5</w:t>
            </w:r>
            <w:r w:rsidRPr="004A47DC">
              <w:rPr>
                <w:sz w:val="16"/>
                <w:szCs w:val="16"/>
              </w:rPr>
              <w:t xml:space="preserve">. </w:t>
            </w:r>
            <w:r w:rsidRPr="004A47DC">
              <w:rPr>
                <w:rFonts w:ascii="Garamond" w:hAnsi="Garamond"/>
                <w:color w:val="000000" w:themeColor="text1"/>
                <w:sz w:val="16"/>
                <w:szCs w:val="16"/>
              </w:rPr>
              <w:t>Përmirësimi i SIMAJ për të planifikuar dhe menaxhuar në mënyrë adekuate projektet e zbatuara me partnerë të jashtëm</w:t>
            </w:r>
            <w:r w:rsidR="00B306F5">
              <w:rPr>
                <w:rFonts w:ascii="Garamond" w:hAnsi="Garamond"/>
                <w:color w:val="000000" w:themeColor="text1"/>
                <w:sz w:val="16"/>
                <w:szCs w:val="16"/>
              </w:rPr>
              <w:t>.</w:t>
            </w:r>
          </w:p>
        </w:tc>
        <w:tc>
          <w:tcPr>
            <w:tcW w:w="427" w:type="pct"/>
            <w:tcBorders>
              <w:top w:val="single" w:sz="4" w:space="0" w:color="auto"/>
              <w:left w:val="single" w:sz="4" w:space="0" w:color="auto"/>
              <w:bottom w:val="single" w:sz="4" w:space="0" w:color="auto"/>
              <w:right w:val="single" w:sz="4" w:space="0" w:color="auto"/>
            </w:tcBorders>
            <w:vAlign w:val="center"/>
          </w:tcPr>
          <w:p w14:paraId="77ACAA7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bottom w:val="single" w:sz="4" w:space="0" w:color="auto"/>
              <w:right w:val="single" w:sz="4" w:space="0" w:color="auto"/>
            </w:tcBorders>
            <w:vAlign w:val="center"/>
          </w:tcPr>
          <w:p w14:paraId="36143FE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2026</w:t>
            </w:r>
          </w:p>
        </w:tc>
        <w:tc>
          <w:tcPr>
            <w:tcW w:w="955" w:type="pct"/>
            <w:vMerge/>
            <w:tcBorders>
              <w:left w:val="single" w:sz="4" w:space="0" w:color="auto"/>
              <w:right w:val="single" w:sz="4" w:space="0" w:color="auto"/>
            </w:tcBorders>
            <w:vAlign w:val="center"/>
          </w:tcPr>
          <w:p w14:paraId="41E4E620" w14:textId="77777777" w:rsidR="004719D2" w:rsidRPr="004A47DC" w:rsidRDefault="004719D2" w:rsidP="00CF7CEC">
            <w:pPr>
              <w:rPr>
                <w:rFonts w:ascii="Garamond" w:hAnsi="Garamond"/>
                <w:color w:val="000000" w:themeColor="text1"/>
                <w:sz w:val="16"/>
                <w:szCs w:val="16"/>
              </w:rPr>
            </w:pPr>
          </w:p>
        </w:tc>
      </w:tr>
      <w:tr w:rsidR="004719D2" w:rsidRPr="004A47DC" w14:paraId="742DA4DA" w14:textId="77777777" w:rsidTr="00E31153">
        <w:trPr>
          <w:trHeight w:val="24"/>
        </w:trPr>
        <w:tc>
          <w:tcPr>
            <w:tcW w:w="1019" w:type="pct"/>
            <w:vMerge w:val="restart"/>
            <w:tcBorders>
              <w:left w:val="single" w:sz="4" w:space="0" w:color="auto"/>
              <w:right w:val="single" w:sz="4" w:space="0" w:color="auto"/>
            </w:tcBorders>
            <w:vAlign w:val="center"/>
          </w:tcPr>
          <w:p w14:paraId="617865D3"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2.1.2 </w:t>
            </w:r>
          </w:p>
          <w:p w14:paraId="62E74A88" w14:textId="77777777" w:rsidR="004719D2" w:rsidRPr="004A47DC" w:rsidRDefault="004719D2" w:rsidP="00CF7CEC">
            <w:pPr>
              <w:pStyle w:val="EcorysBody"/>
              <w:spacing w:line="240" w:lineRule="auto"/>
              <w:rPr>
                <w:rFonts w:ascii="Garamond" w:hAnsi="Garamond"/>
                <w:color w:val="000000" w:themeColor="text1"/>
                <w:sz w:val="16"/>
                <w:szCs w:val="16"/>
              </w:rPr>
            </w:pPr>
            <w:r w:rsidRPr="004A47DC">
              <w:rPr>
                <w:rFonts w:ascii="Garamond" w:hAnsi="Garamond" w:cs="Arial"/>
                <w:b/>
                <w:bCs/>
                <w:color w:val="000000" w:themeColor="text1"/>
                <w:sz w:val="16"/>
                <w:szCs w:val="16"/>
              </w:rPr>
              <w:t xml:space="preserve">Zgjerimi i rishikimit afatmesëm dhe vlerësimit </w:t>
            </w:r>
            <w:r w:rsidRPr="00B306F5">
              <w:rPr>
                <w:rFonts w:ascii="Garamond" w:hAnsi="Garamond" w:cs="Arial"/>
                <w:b/>
                <w:bCs/>
                <w:i/>
                <w:color w:val="000000" w:themeColor="text1"/>
                <w:sz w:val="16"/>
                <w:szCs w:val="16"/>
              </w:rPr>
              <w:t>ex-post</w:t>
            </w:r>
            <w:r w:rsidRPr="004A47DC">
              <w:rPr>
                <w:rFonts w:ascii="Garamond" w:hAnsi="Garamond" w:cs="Arial"/>
                <w:b/>
                <w:bCs/>
                <w:color w:val="000000" w:themeColor="text1"/>
                <w:sz w:val="16"/>
                <w:szCs w:val="16"/>
              </w:rPr>
              <w:t xml:space="preserve"> të strategjive dhe planeve të veprimit</w:t>
            </w:r>
          </w:p>
        </w:tc>
        <w:tc>
          <w:tcPr>
            <w:tcW w:w="2176" w:type="pct"/>
            <w:tcBorders>
              <w:top w:val="single" w:sz="4" w:space="0" w:color="auto"/>
              <w:left w:val="single" w:sz="4" w:space="0" w:color="auto"/>
              <w:bottom w:val="single" w:sz="4" w:space="0" w:color="auto"/>
              <w:right w:val="single" w:sz="4" w:space="0" w:color="auto"/>
            </w:tcBorders>
            <w:vAlign w:val="center"/>
          </w:tcPr>
          <w:p w14:paraId="5E233F69" w14:textId="143A1FC5" w:rsidR="004719D2" w:rsidRPr="004A47DC" w:rsidRDefault="004719D2" w:rsidP="004719D2">
            <w:pPr>
              <w:rPr>
                <w:rFonts w:ascii="Garamond" w:hAnsi="Garamond"/>
                <w:color w:val="000000" w:themeColor="text1"/>
                <w:sz w:val="16"/>
                <w:szCs w:val="16"/>
              </w:rPr>
            </w:pPr>
            <w:r w:rsidRPr="004A47DC">
              <w:rPr>
                <w:rFonts w:ascii="Garamond" w:hAnsi="Garamond"/>
                <w:color w:val="000000" w:themeColor="text1"/>
                <w:sz w:val="16"/>
                <w:szCs w:val="16"/>
              </w:rPr>
              <w:t>1</w:t>
            </w:r>
            <w:r w:rsidRPr="004A47DC">
              <w:rPr>
                <w:sz w:val="16"/>
                <w:szCs w:val="16"/>
              </w:rPr>
              <w:t xml:space="preserve">. </w:t>
            </w:r>
            <w:r w:rsidRPr="004A47DC">
              <w:rPr>
                <w:rFonts w:ascii="Garamond" w:hAnsi="Garamond"/>
                <w:color w:val="000000" w:themeColor="text1"/>
                <w:sz w:val="16"/>
                <w:szCs w:val="16"/>
              </w:rPr>
              <w:t xml:space="preserve">Zhvillimi/përditësimi i metodologjisë/udhëzuesit për rishikimet afatmesme dhe vlerësimet </w:t>
            </w:r>
            <w:r w:rsidRPr="00B306F5">
              <w:rPr>
                <w:rFonts w:ascii="Garamond" w:hAnsi="Garamond"/>
                <w:i/>
                <w:color w:val="000000" w:themeColor="text1"/>
                <w:sz w:val="16"/>
                <w:szCs w:val="16"/>
              </w:rPr>
              <w:t>ex-post</w:t>
            </w:r>
            <w:r w:rsidR="00B306F5">
              <w:rPr>
                <w:rFonts w:ascii="Garamond" w:hAnsi="Garamond"/>
                <w:color w:val="000000" w:themeColor="text1"/>
                <w:sz w:val="16"/>
                <w:szCs w:val="16"/>
              </w:rPr>
              <w:t>.</w:t>
            </w:r>
          </w:p>
        </w:tc>
        <w:tc>
          <w:tcPr>
            <w:tcW w:w="427" w:type="pct"/>
            <w:tcBorders>
              <w:top w:val="single" w:sz="4" w:space="0" w:color="auto"/>
              <w:left w:val="single" w:sz="4" w:space="0" w:color="auto"/>
              <w:bottom w:val="single" w:sz="4" w:space="0" w:color="auto"/>
              <w:right w:val="single" w:sz="4" w:space="0" w:color="auto"/>
            </w:tcBorders>
            <w:vAlign w:val="center"/>
          </w:tcPr>
          <w:p w14:paraId="0944909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24" w:type="pct"/>
            <w:tcBorders>
              <w:top w:val="single" w:sz="4" w:space="0" w:color="auto"/>
              <w:left w:val="single" w:sz="4" w:space="0" w:color="auto"/>
              <w:bottom w:val="single" w:sz="4" w:space="0" w:color="auto"/>
              <w:right w:val="single" w:sz="4" w:space="0" w:color="auto"/>
            </w:tcBorders>
            <w:vAlign w:val="center"/>
          </w:tcPr>
          <w:p w14:paraId="266BA47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55" w:type="pct"/>
            <w:vMerge w:val="restart"/>
            <w:tcBorders>
              <w:left w:val="single" w:sz="4" w:space="0" w:color="auto"/>
              <w:right w:val="single" w:sz="4" w:space="0" w:color="auto"/>
            </w:tcBorders>
            <w:vAlign w:val="center"/>
          </w:tcPr>
          <w:p w14:paraId="0A91E24C"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19A32865" w14:textId="452BCE6C"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w:t>
            </w:r>
            <w:r w:rsidR="00B306F5">
              <w:rPr>
                <w:rFonts w:ascii="Garamond" w:hAnsi="Garamond" w:cs="Arial"/>
                <w:color w:val="000000" w:themeColor="text1"/>
                <w:sz w:val="16"/>
                <w:szCs w:val="16"/>
              </w:rPr>
              <w:t>-i</w:t>
            </w:r>
            <w:r w:rsidRPr="004A47DC">
              <w:rPr>
                <w:rFonts w:ascii="Garamond" w:hAnsi="Garamond" w:cs="Arial"/>
                <w:color w:val="000000" w:themeColor="text1"/>
                <w:sz w:val="16"/>
                <w:szCs w:val="16"/>
              </w:rPr>
              <w:t xml:space="preserve"> (lider), MF</w:t>
            </w:r>
            <w:r w:rsidR="00B306F5">
              <w:rPr>
                <w:rFonts w:ascii="Garamond" w:hAnsi="Garamond" w:cs="Arial"/>
                <w:color w:val="000000" w:themeColor="text1"/>
                <w:sz w:val="16"/>
                <w:szCs w:val="16"/>
              </w:rPr>
              <w:t>-</w:t>
            </w:r>
            <w:r w:rsidR="0052508C">
              <w:rPr>
                <w:rFonts w:ascii="Garamond" w:hAnsi="Garamond" w:cs="Arial"/>
                <w:color w:val="000000" w:themeColor="text1"/>
                <w:sz w:val="16"/>
                <w:szCs w:val="16"/>
              </w:rPr>
              <w:t>ja</w:t>
            </w:r>
            <w:r w:rsidRPr="004A47DC">
              <w:rPr>
                <w:rFonts w:ascii="Garamond" w:hAnsi="Garamond" w:cs="Arial"/>
                <w:color w:val="000000" w:themeColor="text1"/>
                <w:sz w:val="16"/>
                <w:szCs w:val="16"/>
              </w:rPr>
              <w:t>.</w:t>
            </w:r>
          </w:p>
          <w:p w14:paraId="235179AB"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07B559D6"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3440982"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7137A8E2" w14:textId="77777777" w:rsidTr="00E31153">
        <w:trPr>
          <w:trHeight w:val="408"/>
        </w:trPr>
        <w:tc>
          <w:tcPr>
            <w:tcW w:w="1019" w:type="pct"/>
            <w:vMerge/>
            <w:tcBorders>
              <w:left w:val="single" w:sz="4" w:space="0" w:color="auto"/>
              <w:right w:val="single" w:sz="4" w:space="0" w:color="auto"/>
            </w:tcBorders>
            <w:vAlign w:val="center"/>
          </w:tcPr>
          <w:p w14:paraId="161A3D3A" w14:textId="77777777" w:rsidR="004719D2" w:rsidRPr="004A47DC" w:rsidRDefault="004719D2" w:rsidP="00CF7CEC">
            <w:pPr>
              <w:rPr>
                <w:rFonts w:ascii="Garamond" w:hAnsi="Garamond"/>
                <w:color w:val="000000" w:themeColor="text1"/>
                <w:sz w:val="16"/>
                <w:szCs w:val="16"/>
              </w:rPr>
            </w:pPr>
          </w:p>
        </w:tc>
        <w:tc>
          <w:tcPr>
            <w:tcW w:w="2176" w:type="pct"/>
            <w:tcBorders>
              <w:top w:val="single" w:sz="4" w:space="0" w:color="auto"/>
              <w:left w:val="single" w:sz="4" w:space="0" w:color="auto"/>
              <w:right w:val="single" w:sz="4" w:space="0" w:color="auto"/>
            </w:tcBorders>
            <w:vAlign w:val="center"/>
          </w:tcPr>
          <w:p w14:paraId="07ABA1A1" w14:textId="14E18EED" w:rsidR="004719D2" w:rsidRPr="004A47DC" w:rsidRDefault="004719D2" w:rsidP="004719D2">
            <w:pPr>
              <w:rPr>
                <w:rFonts w:ascii="Garamond" w:hAnsi="Garamond"/>
                <w:color w:val="000000" w:themeColor="text1"/>
                <w:sz w:val="16"/>
                <w:szCs w:val="16"/>
              </w:rPr>
            </w:pPr>
            <w:r w:rsidRPr="004A47DC">
              <w:rPr>
                <w:rFonts w:ascii="Garamond" w:hAnsi="Garamond"/>
                <w:color w:val="000000" w:themeColor="text1"/>
                <w:sz w:val="16"/>
                <w:szCs w:val="16"/>
              </w:rPr>
              <w:t>2</w:t>
            </w:r>
            <w:r w:rsidRPr="004A47DC">
              <w:rPr>
                <w:sz w:val="16"/>
                <w:szCs w:val="16"/>
              </w:rPr>
              <w:t xml:space="preserve">. </w:t>
            </w:r>
            <w:r w:rsidRPr="004A47DC">
              <w:rPr>
                <w:rFonts w:ascii="Garamond" w:hAnsi="Garamond"/>
                <w:color w:val="000000" w:themeColor="text1"/>
                <w:sz w:val="16"/>
                <w:szCs w:val="16"/>
              </w:rPr>
              <w:t>Zhvillimi dhe zbatimi i zhvillimit të kapaciteteve të ekipeve të vlerësimit</w:t>
            </w:r>
            <w:r w:rsidR="00B306F5">
              <w:rPr>
                <w:rFonts w:ascii="Garamond" w:hAnsi="Garamond"/>
                <w:color w:val="000000" w:themeColor="text1"/>
                <w:sz w:val="16"/>
                <w:szCs w:val="16"/>
              </w:rPr>
              <w:t>.</w:t>
            </w:r>
          </w:p>
        </w:tc>
        <w:tc>
          <w:tcPr>
            <w:tcW w:w="427" w:type="pct"/>
            <w:tcBorders>
              <w:top w:val="single" w:sz="4" w:space="0" w:color="auto"/>
              <w:left w:val="single" w:sz="4" w:space="0" w:color="auto"/>
              <w:right w:val="single" w:sz="4" w:space="0" w:color="auto"/>
            </w:tcBorders>
            <w:vAlign w:val="center"/>
          </w:tcPr>
          <w:p w14:paraId="5E6462D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424" w:type="pct"/>
            <w:tcBorders>
              <w:top w:val="single" w:sz="4" w:space="0" w:color="auto"/>
              <w:left w:val="single" w:sz="4" w:space="0" w:color="auto"/>
              <w:right w:val="single" w:sz="4" w:space="0" w:color="auto"/>
            </w:tcBorders>
            <w:vAlign w:val="center"/>
          </w:tcPr>
          <w:p w14:paraId="4C31E67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55" w:type="pct"/>
            <w:vMerge/>
            <w:tcBorders>
              <w:left w:val="single" w:sz="4" w:space="0" w:color="auto"/>
              <w:right w:val="single" w:sz="4" w:space="0" w:color="auto"/>
            </w:tcBorders>
            <w:vAlign w:val="center"/>
          </w:tcPr>
          <w:p w14:paraId="316455AD" w14:textId="77777777" w:rsidR="004719D2" w:rsidRPr="004A47DC" w:rsidRDefault="004719D2" w:rsidP="00CF7CEC">
            <w:pPr>
              <w:rPr>
                <w:rFonts w:ascii="Garamond" w:hAnsi="Garamond"/>
                <w:color w:val="000000" w:themeColor="text1"/>
                <w:sz w:val="16"/>
                <w:szCs w:val="16"/>
              </w:rPr>
            </w:pPr>
          </w:p>
        </w:tc>
      </w:tr>
      <w:tr w:rsidR="004719D2" w:rsidRPr="004A47DC" w14:paraId="12CB69D9" w14:textId="77777777" w:rsidTr="00E31153">
        <w:trPr>
          <w:trHeight w:val="408"/>
        </w:trPr>
        <w:tc>
          <w:tcPr>
            <w:tcW w:w="1019" w:type="pct"/>
            <w:vMerge/>
            <w:tcBorders>
              <w:left w:val="single" w:sz="4" w:space="0" w:color="auto"/>
              <w:right w:val="single" w:sz="4" w:space="0" w:color="auto"/>
            </w:tcBorders>
            <w:vAlign w:val="center"/>
          </w:tcPr>
          <w:p w14:paraId="7F56DA89" w14:textId="77777777" w:rsidR="004719D2" w:rsidRPr="004A47DC" w:rsidRDefault="004719D2" w:rsidP="00CF7CEC">
            <w:pPr>
              <w:rPr>
                <w:rFonts w:ascii="Garamond" w:hAnsi="Garamond"/>
                <w:color w:val="000000" w:themeColor="text1"/>
                <w:sz w:val="16"/>
                <w:szCs w:val="16"/>
              </w:rPr>
            </w:pPr>
          </w:p>
        </w:tc>
        <w:tc>
          <w:tcPr>
            <w:tcW w:w="2176" w:type="pct"/>
            <w:tcBorders>
              <w:top w:val="single" w:sz="4" w:space="0" w:color="auto"/>
              <w:left w:val="single" w:sz="4" w:space="0" w:color="auto"/>
              <w:right w:val="single" w:sz="4" w:space="0" w:color="auto"/>
            </w:tcBorders>
            <w:vAlign w:val="center"/>
          </w:tcPr>
          <w:p w14:paraId="420AC476" w14:textId="03F84CF6" w:rsidR="004719D2" w:rsidRPr="004A47DC" w:rsidRDefault="004719D2" w:rsidP="004719D2">
            <w:pPr>
              <w:rPr>
                <w:rFonts w:ascii="Garamond" w:hAnsi="Garamond"/>
                <w:color w:val="000000" w:themeColor="text1"/>
                <w:sz w:val="16"/>
                <w:szCs w:val="16"/>
              </w:rPr>
            </w:pPr>
            <w:r w:rsidRPr="004A47DC">
              <w:rPr>
                <w:rFonts w:ascii="Garamond" w:hAnsi="Garamond"/>
                <w:color w:val="000000" w:themeColor="text1"/>
                <w:sz w:val="16"/>
                <w:szCs w:val="16"/>
              </w:rPr>
              <w:t>3</w:t>
            </w:r>
            <w:r w:rsidRPr="004A47DC">
              <w:rPr>
                <w:sz w:val="16"/>
                <w:szCs w:val="16"/>
              </w:rPr>
              <w:t xml:space="preserve">. </w:t>
            </w:r>
            <w:r w:rsidRPr="004A47DC">
              <w:rPr>
                <w:rFonts w:ascii="Garamond" w:hAnsi="Garamond"/>
                <w:color w:val="000000" w:themeColor="text1"/>
                <w:sz w:val="16"/>
                <w:szCs w:val="16"/>
              </w:rPr>
              <w:t xml:space="preserve">Fillimi gradual i zbatimit/zgjerimit të rishikimeve afatmesme dhe vlerësimeve </w:t>
            </w:r>
            <w:r w:rsidRPr="00B306F5">
              <w:rPr>
                <w:rFonts w:ascii="Garamond" w:hAnsi="Garamond"/>
                <w:i/>
                <w:color w:val="000000" w:themeColor="text1"/>
                <w:sz w:val="16"/>
                <w:szCs w:val="16"/>
              </w:rPr>
              <w:t>ex-post</w:t>
            </w:r>
            <w:r w:rsidRPr="004A47DC">
              <w:rPr>
                <w:rFonts w:ascii="Garamond" w:hAnsi="Garamond"/>
                <w:color w:val="000000" w:themeColor="text1"/>
                <w:sz w:val="16"/>
                <w:szCs w:val="16"/>
              </w:rPr>
              <w:t xml:space="preserve"> përmes pilotimeve</w:t>
            </w:r>
            <w:r w:rsidR="00B306F5">
              <w:rPr>
                <w:rFonts w:ascii="Garamond" w:hAnsi="Garamond"/>
                <w:color w:val="000000" w:themeColor="text1"/>
                <w:sz w:val="16"/>
                <w:szCs w:val="16"/>
              </w:rPr>
              <w:t>.</w:t>
            </w:r>
          </w:p>
        </w:tc>
        <w:tc>
          <w:tcPr>
            <w:tcW w:w="427" w:type="pct"/>
            <w:tcBorders>
              <w:top w:val="single" w:sz="4" w:space="0" w:color="auto"/>
              <w:left w:val="single" w:sz="4" w:space="0" w:color="auto"/>
              <w:right w:val="single" w:sz="4" w:space="0" w:color="auto"/>
            </w:tcBorders>
            <w:vAlign w:val="center"/>
          </w:tcPr>
          <w:p w14:paraId="321FC51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424" w:type="pct"/>
            <w:tcBorders>
              <w:top w:val="single" w:sz="4" w:space="0" w:color="auto"/>
              <w:left w:val="single" w:sz="4" w:space="0" w:color="auto"/>
              <w:right w:val="single" w:sz="4" w:space="0" w:color="auto"/>
            </w:tcBorders>
            <w:vAlign w:val="center"/>
          </w:tcPr>
          <w:p w14:paraId="07D92EF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55" w:type="pct"/>
            <w:vMerge/>
            <w:tcBorders>
              <w:left w:val="single" w:sz="4" w:space="0" w:color="auto"/>
              <w:right w:val="single" w:sz="4" w:space="0" w:color="auto"/>
            </w:tcBorders>
            <w:vAlign w:val="center"/>
          </w:tcPr>
          <w:p w14:paraId="31EAABBE" w14:textId="77777777" w:rsidR="004719D2" w:rsidRPr="004A47DC" w:rsidRDefault="004719D2" w:rsidP="00CF7CEC">
            <w:pPr>
              <w:rPr>
                <w:rFonts w:ascii="Garamond" w:hAnsi="Garamond"/>
                <w:color w:val="000000" w:themeColor="text1"/>
                <w:sz w:val="16"/>
                <w:szCs w:val="16"/>
              </w:rPr>
            </w:pPr>
          </w:p>
        </w:tc>
      </w:tr>
    </w:tbl>
    <w:p w14:paraId="20A86ACC" w14:textId="77777777" w:rsidR="004719D2" w:rsidRPr="004A47DC" w:rsidRDefault="004719D2" w:rsidP="004719D2">
      <w:pPr>
        <w:pStyle w:val="H5"/>
        <w:spacing w:after="0" w:line="240" w:lineRule="auto"/>
        <w:rPr>
          <w:rFonts w:ascii="Garamond" w:hAnsi="Garamond"/>
          <w:color w:val="000000" w:themeColor="text1"/>
        </w:rPr>
      </w:pPr>
    </w:p>
    <w:p w14:paraId="7815DA17" w14:textId="77777777" w:rsidR="004719D2" w:rsidRPr="004A47DC" w:rsidRDefault="004719D2" w:rsidP="004719D2">
      <w:pPr>
        <w:pStyle w:val="H5"/>
        <w:spacing w:after="0" w:line="240" w:lineRule="auto"/>
        <w:rPr>
          <w:rFonts w:ascii="Garamond" w:hAnsi="Garamond"/>
          <w:color w:val="000000" w:themeColor="text1"/>
        </w:rPr>
      </w:pPr>
      <w:r w:rsidRPr="004A47DC">
        <w:rPr>
          <w:rFonts w:ascii="Garamond" w:hAnsi="Garamond"/>
          <w:color w:val="000000" w:themeColor="text1"/>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0EA2B024" w14:textId="77777777" w:rsidTr="00E31153">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5C9738"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222AB7"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Vlera bazë (2022)</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CD938E"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35996C7C" w14:textId="77777777" w:rsidTr="00E31153">
        <w:tc>
          <w:tcPr>
            <w:tcW w:w="1727" w:type="pct"/>
            <w:vMerge/>
            <w:tcBorders>
              <w:top w:val="single" w:sz="4" w:space="0" w:color="auto"/>
              <w:left w:val="single" w:sz="4" w:space="0" w:color="auto"/>
              <w:bottom w:val="single" w:sz="4" w:space="0" w:color="auto"/>
              <w:right w:val="single" w:sz="4" w:space="0" w:color="auto"/>
            </w:tcBorders>
            <w:vAlign w:val="center"/>
            <w:hideMark/>
          </w:tcPr>
          <w:p w14:paraId="124C0ABB" w14:textId="77777777" w:rsidR="004719D2" w:rsidRPr="004A47DC" w:rsidRDefault="004719D2" w:rsidP="00E31153">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0A445D83" w14:textId="77777777" w:rsidR="004719D2" w:rsidRPr="004A47DC" w:rsidRDefault="004719D2" w:rsidP="00E31153">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C41931"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076C41"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D0D268"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49CA0" w14:textId="77777777" w:rsidR="004719D2" w:rsidRPr="004A47DC" w:rsidRDefault="004719D2" w:rsidP="00E31153">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6E5281D8" w14:textId="77777777" w:rsidTr="00E31153">
        <w:tc>
          <w:tcPr>
            <w:tcW w:w="1727" w:type="pct"/>
            <w:tcBorders>
              <w:top w:val="single" w:sz="4" w:space="0" w:color="auto"/>
              <w:left w:val="single" w:sz="4" w:space="0" w:color="auto"/>
              <w:bottom w:val="single" w:sz="4" w:space="0" w:color="auto"/>
              <w:right w:val="single" w:sz="4" w:space="0" w:color="auto"/>
            </w:tcBorders>
          </w:tcPr>
          <w:p w14:paraId="59E39A07" w14:textId="77777777" w:rsidR="004719D2" w:rsidRPr="004A47DC" w:rsidRDefault="004719D2" w:rsidP="00732B6D">
            <w:pPr>
              <w:pStyle w:val="ListParagraph"/>
              <w:numPr>
                <w:ilvl w:val="0"/>
                <w:numId w:val="26"/>
              </w:numPr>
              <w:ind w:left="221" w:hanging="221"/>
              <w:rPr>
                <w:rFonts w:ascii="Garamond" w:hAnsi="Garamond"/>
                <w:color w:val="000000" w:themeColor="text1"/>
                <w:sz w:val="16"/>
                <w:szCs w:val="16"/>
              </w:rPr>
            </w:pPr>
            <w:r w:rsidRPr="004A47DC">
              <w:rPr>
                <w:rFonts w:ascii="Garamond" w:hAnsi="Garamond"/>
                <w:color w:val="000000" w:themeColor="text1"/>
                <w:sz w:val="16"/>
                <w:szCs w:val="16"/>
              </w:rPr>
              <w:t>Përqindja e strategjive dhe planeve të veprimit të zhvilluara në përputhje me udhëzimet e SPI-së</w:t>
            </w:r>
          </w:p>
        </w:tc>
        <w:tc>
          <w:tcPr>
            <w:tcW w:w="654" w:type="pct"/>
            <w:tcBorders>
              <w:top w:val="single" w:sz="4" w:space="0" w:color="auto"/>
              <w:left w:val="single" w:sz="4" w:space="0" w:color="auto"/>
              <w:bottom w:val="single" w:sz="4" w:space="0" w:color="auto"/>
              <w:right w:val="single" w:sz="4" w:space="0" w:color="auto"/>
            </w:tcBorders>
            <w:vAlign w:val="center"/>
          </w:tcPr>
          <w:p w14:paraId="0B98D53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65%</w:t>
            </w:r>
          </w:p>
        </w:tc>
        <w:tc>
          <w:tcPr>
            <w:tcW w:w="655" w:type="pct"/>
            <w:tcBorders>
              <w:top w:val="single" w:sz="4" w:space="0" w:color="auto"/>
              <w:left w:val="single" w:sz="4" w:space="0" w:color="auto"/>
              <w:bottom w:val="single" w:sz="4" w:space="0" w:color="auto"/>
              <w:right w:val="single" w:sz="4" w:space="0" w:color="auto"/>
            </w:tcBorders>
            <w:vAlign w:val="center"/>
          </w:tcPr>
          <w:p w14:paraId="01393EB6"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70%</w:t>
            </w:r>
          </w:p>
        </w:tc>
        <w:tc>
          <w:tcPr>
            <w:tcW w:w="654" w:type="pct"/>
            <w:tcBorders>
              <w:top w:val="single" w:sz="4" w:space="0" w:color="auto"/>
              <w:left w:val="single" w:sz="4" w:space="0" w:color="auto"/>
              <w:bottom w:val="single" w:sz="4" w:space="0" w:color="auto"/>
              <w:right w:val="single" w:sz="4" w:space="0" w:color="auto"/>
            </w:tcBorders>
            <w:vAlign w:val="center"/>
          </w:tcPr>
          <w:p w14:paraId="0C276C6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75%</w:t>
            </w:r>
          </w:p>
        </w:tc>
        <w:tc>
          <w:tcPr>
            <w:tcW w:w="655" w:type="pct"/>
            <w:tcBorders>
              <w:top w:val="single" w:sz="4" w:space="0" w:color="auto"/>
              <w:left w:val="single" w:sz="4" w:space="0" w:color="auto"/>
              <w:bottom w:val="single" w:sz="4" w:space="0" w:color="auto"/>
              <w:right w:val="single" w:sz="4" w:space="0" w:color="auto"/>
            </w:tcBorders>
            <w:vAlign w:val="center"/>
          </w:tcPr>
          <w:p w14:paraId="5F76DCFF"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85%</w:t>
            </w:r>
          </w:p>
        </w:tc>
        <w:tc>
          <w:tcPr>
            <w:tcW w:w="655" w:type="pct"/>
            <w:tcBorders>
              <w:top w:val="single" w:sz="4" w:space="0" w:color="auto"/>
              <w:left w:val="single" w:sz="4" w:space="0" w:color="auto"/>
              <w:bottom w:val="single" w:sz="4" w:space="0" w:color="auto"/>
              <w:right w:val="single" w:sz="4" w:space="0" w:color="auto"/>
            </w:tcBorders>
            <w:vAlign w:val="center"/>
          </w:tcPr>
          <w:p w14:paraId="6E091AB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90%</w:t>
            </w:r>
          </w:p>
        </w:tc>
      </w:tr>
      <w:tr w:rsidR="004719D2" w:rsidRPr="004A47DC" w14:paraId="616FB141" w14:textId="77777777" w:rsidTr="00E31153">
        <w:tc>
          <w:tcPr>
            <w:tcW w:w="1727" w:type="pct"/>
            <w:tcBorders>
              <w:top w:val="single" w:sz="4" w:space="0" w:color="auto"/>
              <w:left w:val="single" w:sz="4" w:space="0" w:color="auto"/>
              <w:bottom w:val="single" w:sz="4" w:space="0" w:color="auto"/>
              <w:right w:val="single" w:sz="4" w:space="0" w:color="auto"/>
            </w:tcBorders>
          </w:tcPr>
          <w:p w14:paraId="6E4C317A" w14:textId="1D55182E" w:rsidR="004719D2" w:rsidRPr="004A47DC" w:rsidRDefault="004719D2" w:rsidP="00732B6D">
            <w:pPr>
              <w:pStyle w:val="ListParagraph"/>
              <w:numPr>
                <w:ilvl w:val="0"/>
                <w:numId w:val="26"/>
              </w:numPr>
              <w:ind w:left="221" w:hanging="221"/>
              <w:rPr>
                <w:rFonts w:ascii="Garamond" w:hAnsi="Garamond"/>
                <w:color w:val="000000" w:themeColor="text1"/>
                <w:sz w:val="16"/>
                <w:szCs w:val="16"/>
              </w:rPr>
            </w:pPr>
            <w:r w:rsidRPr="004A47DC">
              <w:rPr>
                <w:rFonts w:ascii="Garamond" w:hAnsi="Garamond"/>
                <w:color w:val="000000" w:themeColor="text1"/>
                <w:sz w:val="16"/>
                <w:szCs w:val="16"/>
              </w:rPr>
              <w:t>Përqindja e strategjive dhe planeve të veprimit të monitoruara përmes SIPI</w:t>
            </w:r>
            <w:r w:rsidR="00B306F5">
              <w:rPr>
                <w:rFonts w:ascii="Garamond" w:hAnsi="Garamond"/>
                <w:color w:val="000000" w:themeColor="text1"/>
                <w:sz w:val="16"/>
                <w:szCs w:val="16"/>
              </w:rPr>
              <w:t>-t</w:t>
            </w:r>
          </w:p>
        </w:tc>
        <w:tc>
          <w:tcPr>
            <w:tcW w:w="654" w:type="pct"/>
            <w:tcBorders>
              <w:top w:val="single" w:sz="4" w:space="0" w:color="auto"/>
              <w:left w:val="single" w:sz="4" w:space="0" w:color="auto"/>
              <w:bottom w:val="single" w:sz="4" w:space="0" w:color="auto"/>
              <w:right w:val="single" w:sz="4" w:space="0" w:color="auto"/>
            </w:tcBorders>
            <w:vAlign w:val="center"/>
          </w:tcPr>
          <w:p w14:paraId="7C1318D1"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ND</w:t>
            </w:r>
          </w:p>
        </w:tc>
        <w:tc>
          <w:tcPr>
            <w:tcW w:w="655" w:type="pct"/>
            <w:tcBorders>
              <w:top w:val="single" w:sz="4" w:space="0" w:color="auto"/>
              <w:left w:val="single" w:sz="4" w:space="0" w:color="auto"/>
              <w:bottom w:val="single" w:sz="4" w:space="0" w:color="auto"/>
              <w:right w:val="single" w:sz="4" w:space="0" w:color="auto"/>
            </w:tcBorders>
            <w:vAlign w:val="center"/>
          </w:tcPr>
          <w:p w14:paraId="03AC01B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ND</w:t>
            </w:r>
          </w:p>
        </w:tc>
        <w:tc>
          <w:tcPr>
            <w:tcW w:w="654" w:type="pct"/>
            <w:tcBorders>
              <w:top w:val="single" w:sz="4" w:space="0" w:color="auto"/>
              <w:left w:val="single" w:sz="4" w:space="0" w:color="auto"/>
              <w:bottom w:val="single" w:sz="4" w:space="0" w:color="auto"/>
              <w:right w:val="single" w:sz="4" w:space="0" w:color="auto"/>
            </w:tcBorders>
            <w:vAlign w:val="center"/>
          </w:tcPr>
          <w:p w14:paraId="78CB7437"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30%</w:t>
            </w:r>
          </w:p>
        </w:tc>
        <w:tc>
          <w:tcPr>
            <w:tcW w:w="655" w:type="pct"/>
            <w:tcBorders>
              <w:top w:val="single" w:sz="4" w:space="0" w:color="auto"/>
              <w:left w:val="single" w:sz="4" w:space="0" w:color="auto"/>
              <w:bottom w:val="single" w:sz="4" w:space="0" w:color="auto"/>
              <w:right w:val="single" w:sz="4" w:space="0" w:color="auto"/>
            </w:tcBorders>
            <w:vAlign w:val="center"/>
          </w:tcPr>
          <w:p w14:paraId="303669E7"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40%</w:t>
            </w:r>
          </w:p>
        </w:tc>
        <w:tc>
          <w:tcPr>
            <w:tcW w:w="655" w:type="pct"/>
            <w:tcBorders>
              <w:top w:val="single" w:sz="4" w:space="0" w:color="auto"/>
              <w:left w:val="single" w:sz="4" w:space="0" w:color="auto"/>
              <w:bottom w:val="single" w:sz="4" w:space="0" w:color="auto"/>
              <w:right w:val="single" w:sz="4" w:space="0" w:color="auto"/>
            </w:tcBorders>
            <w:vAlign w:val="center"/>
          </w:tcPr>
          <w:p w14:paraId="32898994"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55%</w:t>
            </w:r>
          </w:p>
        </w:tc>
      </w:tr>
    </w:tbl>
    <w:p w14:paraId="14EFF730" w14:textId="77777777" w:rsidR="004719D2" w:rsidRPr="004A47DC" w:rsidRDefault="004719D2" w:rsidP="004719D2">
      <w:pPr>
        <w:rPr>
          <w:rStyle w:val="IntenseReference"/>
          <w:rFonts w:ascii="Garamond" w:eastAsiaTheme="majorEastAsia" w:hAnsi="Garamond" w:cstheme="majorBidi"/>
          <w:i w:val="0"/>
          <w:color w:val="000000" w:themeColor="text1"/>
          <w:sz w:val="22"/>
          <w:szCs w:val="22"/>
        </w:rPr>
      </w:pPr>
    </w:p>
    <w:p w14:paraId="4927F89E" w14:textId="44ECE7B6" w:rsidR="004719D2" w:rsidRPr="004A47DC" w:rsidRDefault="004719D2" w:rsidP="004719D2">
      <w:pPr>
        <w:pStyle w:val="TEKSTIII"/>
        <w:rPr>
          <w:rStyle w:val="IntenseReference"/>
          <w:rFonts w:ascii="Garamond" w:eastAsiaTheme="majorEastAsia" w:hAnsi="Garamond" w:cstheme="majorBidi"/>
          <w:b/>
          <w:i w:val="0"/>
          <w:iCs/>
          <w:color w:val="000000" w:themeColor="text1"/>
          <w:sz w:val="24"/>
          <w:szCs w:val="24"/>
        </w:rPr>
      </w:pPr>
      <w:bookmarkStart w:id="10" w:name="_Toc168918679"/>
      <w:r w:rsidRPr="004A47DC">
        <w:rPr>
          <w:rStyle w:val="IntenseReference"/>
          <w:rFonts w:ascii="Garamond" w:eastAsiaTheme="majorEastAsia" w:hAnsi="Garamond" w:cstheme="majorBidi"/>
          <w:b/>
          <w:i w:val="0"/>
          <w:color w:val="000000" w:themeColor="text1"/>
          <w:sz w:val="24"/>
          <w:szCs w:val="24"/>
        </w:rPr>
        <w:t>3.3 Komponenti 2.2</w:t>
      </w:r>
      <w:r w:rsidR="00E31153" w:rsidRPr="004A47DC">
        <w:rPr>
          <w:rStyle w:val="IntenseReference"/>
          <w:rFonts w:ascii="Garamond" w:eastAsiaTheme="majorEastAsia" w:hAnsi="Garamond" w:cstheme="majorBidi"/>
          <w:b/>
          <w:i w:val="0"/>
          <w:color w:val="000000" w:themeColor="text1"/>
          <w:sz w:val="24"/>
          <w:szCs w:val="24"/>
        </w:rPr>
        <w:t>:</w:t>
      </w:r>
      <w:r w:rsidRPr="004A47DC">
        <w:rPr>
          <w:rStyle w:val="IntenseReference"/>
          <w:rFonts w:ascii="Garamond" w:eastAsiaTheme="majorEastAsia" w:hAnsi="Garamond" w:cstheme="majorBidi"/>
          <w:b/>
          <w:i w:val="0"/>
          <w:color w:val="000000" w:themeColor="text1"/>
          <w:sz w:val="24"/>
          <w:szCs w:val="24"/>
        </w:rPr>
        <w:t xml:space="preserve"> Planifikimi </w:t>
      </w:r>
      <w:r w:rsidR="00E31153" w:rsidRPr="004A47DC">
        <w:rPr>
          <w:rStyle w:val="IntenseReference"/>
          <w:rFonts w:ascii="Garamond" w:eastAsiaTheme="majorEastAsia" w:hAnsi="Garamond" w:cstheme="majorBidi"/>
          <w:b/>
          <w:i w:val="0"/>
          <w:color w:val="000000" w:themeColor="text1"/>
          <w:sz w:val="24"/>
          <w:szCs w:val="24"/>
        </w:rPr>
        <w:t>buxhetor afatmesëm</w:t>
      </w:r>
      <w:bookmarkEnd w:id="10"/>
    </w:p>
    <w:p w14:paraId="5EAACFA6" w14:textId="77777777" w:rsidR="004719D2" w:rsidRPr="004A47DC" w:rsidRDefault="004719D2" w:rsidP="004719D2">
      <w:pPr>
        <w:pStyle w:val="TEKSTIII"/>
        <w:rPr>
          <w:b/>
        </w:rPr>
      </w:pPr>
      <w:r w:rsidRPr="004A47DC">
        <w:rPr>
          <w:b/>
        </w:rPr>
        <w:t>Objektivi</w:t>
      </w:r>
    </w:p>
    <w:p w14:paraId="59ECFB01" w14:textId="5CE6BE6B" w:rsidR="004719D2" w:rsidRPr="004A47DC" w:rsidRDefault="004719D2" w:rsidP="004719D2">
      <w:pPr>
        <w:pStyle w:val="TEKSTIII"/>
      </w:pPr>
      <w:r w:rsidRPr="004A47DC">
        <w:t>Synimi për vitin 2030 është që të ketë procese plotësisht të zhvilluara dhe të institucionalizuara për zhvillimin e një PBA-je (si deklarata e buxhetit ashtu edhe ligji i buxhetit vjetor) me cilësi të lartë dhe të besueshme</w:t>
      </w:r>
      <w:r w:rsidR="0052508C">
        <w:t>,</w:t>
      </w:r>
      <w:r w:rsidRPr="004A47DC">
        <w:t xml:space="preserve"> në shërbim të zbatimit të prioriteteve dhe politikave të qeverisë</w:t>
      </w:r>
      <w:r w:rsidR="0052508C">
        <w:t>,</w:t>
      </w:r>
      <w:r w:rsidRPr="004A47DC">
        <w:t xml:space="preserve"> dhe ofrimit të shërbimeve publike.</w:t>
      </w:r>
    </w:p>
    <w:p w14:paraId="346C95B3" w14:textId="77777777" w:rsidR="004719D2" w:rsidRPr="004A47DC" w:rsidRDefault="004719D2" w:rsidP="00D35578">
      <w:pPr>
        <w:pStyle w:val="TEKSTIII"/>
        <w:rPr>
          <w:b/>
        </w:rPr>
      </w:pPr>
      <w:r w:rsidRPr="004A47DC">
        <w:rPr>
          <w:b/>
        </w:rPr>
        <w:t>Konteksti</w:t>
      </w:r>
    </w:p>
    <w:p w14:paraId="44B7BAFC" w14:textId="019CE229" w:rsidR="004719D2" w:rsidRPr="004A47DC" w:rsidRDefault="004719D2" w:rsidP="00D35578">
      <w:pPr>
        <w:pStyle w:val="TEKSTIII"/>
      </w:pPr>
      <w:r w:rsidRPr="004A47DC">
        <w:t>Procesi i PBA-së është forcuar dhe që nga viti 2017 është përmirësuar besueshmëria e planeve afatmesme të shpenzimeve.</w:t>
      </w:r>
      <w:r w:rsidRPr="0052508C">
        <w:rPr>
          <w:rStyle w:val="FootnoteReference"/>
          <w:rFonts w:ascii="Garamond" w:hAnsi="Garamond"/>
          <w:color w:val="000000" w:themeColor="text1"/>
          <w:sz w:val="24"/>
          <w:szCs w:val="24"/>
        </w:rPr>
        <w:footnoteReference w:id="14"/>
      </w:r>
      <w:r w:rsidRPr="004A47DC">
        <w:t xml:space="preserve"> Progresi është rezultat i përpjekjeve për të forcuar rolin e PBA-së në procesin buxhetor, nëpërmjet ndryshimeve rregullatore dhe aktiviteteve për ngritjen e kapaciteteve. SIMFSH-ja është zhvilluar më tej, mbulon të gjitha proceset përkatëse për formulimin e PBA-së dhe është përmirësuar cilësia e dokumentacionit të PBA-së (deklarata e para</w:t>
      </w:r>
      <w:r w:rsidR="00510359">
        <w:t>-</w:t>
      </w:r>
      <w:r w:rsidRPr="004A47DC">
        <w:t>buxhetit dhe dokumentacioni buxhetor vjetor) dhe përfshin informacion mbi performancën. Për më tepër, koncepti i Buxhetimit të Përgjegjshëm Gjinor (BPGJ) ka përparuar për shkak të legjislacionit dhe rregulloreve të përmirësuara. Të gjitha institucionet e qeverisjes qendrore dhe vendore prezantojnë politikat dhe buxhetet e tyre</w:t>
      </w:r>
      <w:r w:rsidR="0052508C">
        <w:t>,</w:t>
      </w:r>
      <w:r w:rsidRPr="004A47DC">
        <w:t xml:space="preserve"> në përputhje me parimet e </w:t>
      </w:r>
      <w:r w:rsidR="0052508C" w:rsidRPr="004A47DC">
        <w:t>barazisë gjinore</w:t>
      </w:r>
      <w:r w:rsidRPr="004A47DC">
        <w:t>.</w:t>
      </w:r>
      <w:r w:rsidR="00B2411C" w:rsidRPr="004A47DC">
        <w:t xml:space="preserve"> </w:t>
      </w:r>
    </w:p>
    <w:p w14:paraId="578D2FE9" w14:textId="2AC087C9" w:rsidR="004719D2" w:rsidRPr="004A47DC" w:rsidRDefault="004719D2" w:rsidP="00D35578">
      <w:pPr>
        <w:pStyle w:val="TEKSTIII"/>
      </w:pPr>
      <w:r w:rsidRPr="004A47DC">
        <w:t xml:space="preserve">Një sërë sfidash mbeten për </w:t>
      </w:r>
      <w:r w:rsidR="00D70BDE" w:rsidRPr="004A47DC">
        <w:t>t</w:t>
      </w:r>
      <w:r w:rsidR="00CE6AE5" w:rsidRPr="004A47DC">
        <w:t>’</w:t>
      </w:r>
      <w:r w:rsidR="00D70BDE" w:rsidRPr="004A47DC">
        <w:t>u</w:t>
      </w:r>
      <w:r w:rsidR="00B2411C" w:rsidRPr="004A47DC">
        <w:t xml:space="preserve"> </w:t>
      </w:r>
      <w:r w:rsidRPr="004A47DC">
        <w:t>adresuar. Gjithashtu, cilësia e informacionit të performancës në dokumentacionin buxhetor</w:t>
      </w:r>
      <w:r w:rsidR="00FE77B0">
        <w:t>,</w:t>
      </w:r>
      <w:r w:rsidRPr="004A47DC">
        <w:t xml:space="preserve"> të ofruar nga </w:t>
      </w:r>
      <w:r w:rsidR="00FE77B0" w:rsidRPr="004A47DC">
        <w:t>njësitë e qeverisjes qendrore</w:t>
      </w:r>
      <w:r w:rsidRPr="004A47DC">
        <w:t xml:space="preserve">, nuk qëndron në mënyrë të vazhdueshme në nivel të kënaqshëm. Parimi i menaxhimit të programit duhet të përpunohet më tej në kontekstin e reformës së llogaridhënies menaxheriale. Rishikimet e shpenzimeve (si vlerësime të pavarura ose si pjesë e rishikimit të buxhetit të </w:t>
      </w:r>
      <w:r w:rsidR="00FE77B0" w:rsidRPr="004A47DC">
        <w:t>mes vitit</w:t>
      </w:r>
      <w:r w:rsidRPr="004A47DC">
        <w:t>) konsiderohen si shumë të dobishme për formulimin e buxheteve suplementare ose buxhetit për periudhën e ardhshme afatmesme. Rishikime të tilla nuk janë praktikë e zakonshme.</w:t>
      </w:r>
      <w:r w:rsidR="00B2411C" w:rsidRPr="004A47DC">
        <w:t xml:space="preserve"> </w:t>
      </w:r>
    </w:p>
    <w:p w14:paraId="1D74BDD7" w14:textId="77777777" w:rsidR="004719D2" w:rsidRPr="004A47DC" w:rsidRDefault="004719D2" w:rsidP="00D35578">
      <w:pPr>
        <w:pStyle w:val="TEKSTIII"/>
        <w:rPr>
          <w:b/>
        </w:rPr>
      </w:pPr>
      <w:r w:rsidRPr="004A47DC">
        <w:rPr>
          <w:b/>
        </w:rPr>
        <w:t>Prioritetet</w:t>
      </w:r>
    </w:p>
    <w:p w14:paraId="22A3B1F5" w14:textId="78E2C5F7" w:rsidR="004719D2" w:rsidRPr="004A47DC" w:rsidRDefault="004719D2" w:rsidP="00D35578">
      <w:pPr>
        <w:pStyle w:val="TEKSTIII"/>
      </w:pPr>
      <w:r w:rsidRPr="004A47DC">
        <w:t xml:space="preserve">Prioritetet për vitet </w:t>
      </w:r>
      <w:r w:rsidR="00DB1D7E" w:rsidRPr="004A47DC">
        <w:t>2023–2026</w:t>
      </w:r>
      <w:r w:rsidRPr="004A47DC">
        <w:t xml:space="preserve"> janë:</w:t>
      </w:r>
    </w:p>
    <w:p w14:paraId="7CEEB71A" w14:textId="0BF7F74D" w:rsidR="004719D2" w:rsidRPr="004A47DC" w:rsidRDefault="00D35578" w:rsidP="00D35578">
      <w:pPr>
        <w:pStyle w:val="TEKSTIII"/>
      </w:pPr>
      <w:r w:rsidRPr="004A47DC">
        <w:t xml:space="preserve">- </w:t>
      </w:r>
      <w:r w:rsidR="004719D2" w:rsidRPr="004A47DC">
        <w:t>Të forcohen më tej metodat, procedurat dhe kuadri i llogaridhënies menaxheriale për formulimin e PBA-së, veçanërisht për seancat e brendshme të dëgjimeve të buxhetit dhe pjesëmarrjen e publikut</w:t>
      </w:r>
      <w:r w:rsidR="00FE77B0">
        <w:t>;</w:t>
      </w:r>
    </w:p>
    <w:p w14:paraId="6CF35C00" w14:textId="4AF511BC" w:rsidR="004719D2" w:rsidRPr="004A47DC" w:rsidRDefault="00D35578" w:rsidP="00D35578">
      <w:pPr>
        <w:pStyle w:val="TEKSTIII"/>
      </w:pPr>
      <w:r w:rsidRPr="004A47DC">
        <w:t xml:space="preserve">- </w:t>
      </w:r>
      <w:r w:rsidR="004719D2" w:rsidRPr="004A47DC">
        <w:t>Të përmirësohen më tej dokumentacioni buxhetor dhe në veçanti elementi i informacionit të performancës</w:t>
      </w:r>
      <w:r w:rsidR="00FE77B0">
        <w:t>;</w:t>
      </w:r>
    </w:p>
    <w:p w14:paraId="4F1D5A12" w14:textId="1C96D876" w:rsidR="004719D2" w:rsidRPr="004A47DC" w:rsidRDefault="00D35578" w:rsidP="00D35578">
      <w:pPr>
        <w:pStyle w:val="TEKSTIII"/>
      </w:pPr>
      <w:r w:rsidRPr="004A47DC">
        <w:t xml:space="preserve">- </w:t>
      </w:r>
      <w:r w:rsidR="004719D2" w:rsidRPr="004A47DC">
        <w:t>Të prezantohen gradualisht shqyrtimet e shpenzimeve specifike për sektorë.</w:t>
      </w:r>
    </w:p>
    <w:p w14:paraId="2D0FAC09" w14:textId="449747C5" w:rsidR="004719D2" w:rsidRPr="004A47DC" w:rsidRDefault="004719D2" w:rsidP="00E31153">
      <w:pPr>
        <w:jc w:val="both"/>
        <w:rPr>
          <w:rFonts w:ascii="Garamond" w:hAnsi="Garamond"/>
        </w:rPr>
      </w:pPr>
    </w:p>
    <w:p w14:paraId="4D479170"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Masat dhe aktivitetet</w:t>
      </w: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2479"/>
        <w:gridCol w:w="4033"/>
        <w:gridCol w:w="577"/>
        <w:gridCol w:w="706"/>
        <w:gridCol w:w="1266"/>
      </w:tblGrid>
      <w:tr w:rsidR="004719D2" w:rsidRPr="004A47DC" w14:paraId="5B8CA4D0" w14:textId="77777777" w:rsidTr="00DE4932">
        <w:trPr>
          <w:trHeight w:val="182"/>
          <w:tblHead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A34A0E" w14:textId="77777777" w:rsidR="004719D2" w:rsidRPr="004A47DC" w:rsidRDefault="004719D2" w:rsidP="00DE493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CE929" w14:textId="77777777" w:rsidR="004719D2" w:rsidRPr="004A47DC" w:rsidRDefault="004719D2" w:rsidP="00DE493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6976DA" w14:textId="77777777" w:rsidR="004719D2" w:rsidRPr="004A47DC" w:rsidRDefault="004719D2" w:rsidP="00DE493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1626F" w14:textId="77777777" w:rsidR="004719D2" w:rsidRPr="004A47DC" w:rsidRDefault="004719D2" w:rsidP="00DE493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2A22FA" w14:textId="77777777" w:rsidR="004719D2" w:rsidRPr="004A47DC" w:rsidRDefault="004719D2" w:rsidP="00DE4932">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6BC205AE" w14:textId="77777777" w:rsidTr="00E31153">
        <w:trPr>
          <w:trHeight w:val="455"/>
        </w:trPr>
        <w:tc>
          <w:tcPr>
            <w:tcW w:w="0" w:type="auto"/>
            <w:vMerge w:val="restart"/>
            <w:tcBorders>
              <w:top w:val="single" w:sz="4" w:space="0" w:color="auto"/>
              <w:left w:val="single" w:sz="4" w:space="0" w:color="auto"/>
              <w:right w:val="single" w:sz="4" w:space="0" w:color="auto"/>
            </w:tcBorders>
          </w:tcPr>
          <w:p w14:paraId="3D9BB127"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2.2.1 </w:t>
            </w:r>
          </w:p>
          <w:p w14:paraId="18E80D19"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Përmirësimi i mëtejshëm i metodave, procedurave dhe llogaridhënies menaxheriale për formulimin e PBA-së </w:t>
            </w:r>
          </w:p>
        </w:tc>
        <w:tc>
          <w:tcPr>
            <w:tcW w:w="0" w:type="auto"/>
            <w:tcBorders>
              <w:top w:val="single" w:sz="4" w:space="0" w:color="auto"/>
              <w:left w:val="single" w:sz="4" w:space="0" w:color="auto"/>
              <w:bottom w:val="single" w:sz="4" w:space="0" w:color="auto"/>
              <w:right w:val="single" w:sz="4" w:space="0" w:color="auto"/>
            </w:tcBorders>
            <w:vAlign w:val="center"/>
          </w:tcPr>
          <w:p w14:paraId="194B2916" w14:textId="0E79DBF6" w:rsidR="004719D2" w:rsidRPr="004A47DC" w:rsidRDefault="004719D2" w:rsidP="008D04FF">
            <w:pPr>
              <w:pStyle w:val="EcorysBody"/>
              <w:numPr>
                <w:ilvl w:val="0"/>
                <w:numId w:val="21"/>
              </w:numPr>
              <w:tabs>
                <w:tab w:val="left" w:pos="303"/>
              </w:tabs>
              <w:spacing w:line="240" w:lineRule="auto"/>
              <w:ind w:left="0" w:firstLine="0"/>
              <w:jc w:val="both"/>
              <w:rPr>
                <w:rFonts w:ascii="Garamond" w:hAnsi="Garamond" w:cs="Arial"/>
                <w:color w:val="000000" w:themeColor="text1"/>
                <w:sz w:val="16"/>
                <w:szCs w:val="16"/>
              </w:rPr>
            </w:pPr>
            <w:r w:rsidRPr="004A47DC">
              <w:rPr>
                <w:rFonts w:ascii="Garamond" w:hAnsi="Garamond" w:cs="Arial"/>
                <w:color w:val="000000" w:themeColor="text1"/>
                <w:sz w:val="16"/>
                <w:szCs w:val="16"/>
              </w:rPr>
              <w:t>Forcimi i konceptit të llogaridhënies menaxheriale në formulimin e PBA-së;</w:t>
            </w:r>
            <w:r w:rsidRPr="004A47DC">
              <w:rPr>
                <w:rStyle w:val="FootnoteReference"/>
                <w:rFonts w:ascii="Garamond" w:hAnsi="Garamond" w:cs="Arial"/>
                <w:color w:val="000000" w:themeColor="text1"/>
                <w:sz w:val="16"/>
                <w:szCs w:val="16"/>
              </w:rPr>
              <w:footnoteReference w:id="15"/>
            </w:r>
            <w:r w:rsidRPr="004A47DC">
              <w:rPr>
                <w:rFonts w:ascii="Garamond" w:hAnsi="Garamond" w:cs="Arial"/>
                <w:color w:val="000000" w:themeColor="text1"/>
                <w:sz w:val="16"/>
                <w:szCs w:val="16"/>
              </w:rPr>
              <w:t xml:space="preserve"> Ndryshimi i legjislacionit dhe sistemit SIMFSH</w:t>
            </w:r>
            <w:r w:rsidR="008D04FF">
              <w:rPr>
                <w:rFonts w:ascii="Garamond" w:hAnsi="Garamond" w:cs="Arial"/>
                <w:color w:val="000000" w:themeColor="text1"/>
                <w:sz w:val="16"/>
                <w:szCs w:val="16"/>
              </w:rPr>
              <w:t>-së</w:t>
            </w:r>
            <w:r w:rsidRPr="004A47DC">
              <w:rPr>
                <w:rFonts w:ascii="Garamond" w:hAnsi="Garamond" w:cs="Arial"/>
                <w:color w:val="000000" w:themeColor="text1"/>
                <w:sz w:val="16"/>
                <w:szCs w:val="16"/>
              </w:rPr>
              <w:t>.</w:t>
            </w:r>
            <w:r w:rsidRPr="004A47DC">
              <w:rPr>
                <w:rStyle w:val="FootnoteReference"/>
                <w:rFonts w:ascii="Garamond" w:hAnsi="Garamond" w:cs="Arial"/>
                <w:color w:val="000000" w:themeColor="text1"/>
                <w:sz w:val="16"/>
                <w:szCs w:val="16"/>
              </w:rPr>
              <w:footnoteReference w:id="16"/>
            </w:r>
          </w:p>
        </w:tc>
        <w:tc>
          <w:tcPr>
            <w:tcW w:w="0" w:type="auto"/>
            <w:tcBorders>
              <w:top w:val="single" w:sz="4" w:space="0" w:color="auto"/>
              <w:left w:val="single" w:sz="4" w:space="0" w:color="auto"/>
              <w:bottom w:val="single" w:sz="4" w:space="0" w:color="auto"/>
              <w:right w:val="single" w:sz="4" w:space="0" w:color="auto"/>
            </w:tcBorders>
            <w:vAlign w:val="center"/>
          </w:tcPr>
          <w:p w14:paraId="737402E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0" w:type="auto"/>
            <w:tcBorders>
              <w:top w:val="single" w:sz="4" w:space="0" w:color="auto"/>
              <w:left w:val="single" w:sz="4" w:space="0" w:color="auto"/>
              <w:bottom w:val="single" w:sz="4" w:space="0" w:color="auto"/>
              <w:right w:val="single" w:sz="4" w:space="0" w:color="auto"/>
            </w:tcBorders>
            <w:vAlign w:val="center"/>
          </w:tcPr>
          <w:p w14:paraId="449FACC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val="restart"/>
            <w:tcBorders>
              <w:top w:val="single" w:sz="4" w:space="0" w:color="auto"/>
              <w:left w:val="single" w:sz="4" w:space="0" w:color="auto"/>
              <w:right w:val="single" w:sz="4" w:space="0" w:color="auto"/>
            </w:tcBorders>
          </w:tcPr>
          <w:p w14:paraId="3CB376B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BDDA444" w14:textId="71B6A3DE"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DAPB</w:t>
            </w:r>
            <w:r w:rsidR="008D04FF">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10F3AC7B"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6F2CB41C"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210696AD" w14:textId="7B469E9F"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SIGMA, BE</w:t>
            </w:r>
            <w:r w:rsidR="008D04FF">
              <w:rPr>
                <w:rFonts w:ascii="Garamond" w:hAnsi="Garamond" w:cs="Arial"/>
                <w:color w:val="000000" w:themeColor="text1"/>
                <w:sz w:val="16"/>
                <w:szCs w:val="16"/>
              </w:rPr>
              <w:t>-ja</w:t>
            </w:r>
            <w:r w:rsidRPr="004A47DC">
              <w:rPr>
                <w:rStyle w:val="FootnoteReference"/>
                <w:rFonts w:ascii="Garamond" w:hAnsi="Garamond" w:cs="Arial"/>
                <w:color w:val="000000" w:themeColor="text1"/>
                <w:sz w:val="16"/>
                <w:szCs w:val="16"/>
              </w:rPr>
              <w:footnoteReference w:id="17"/>
            </w:r>
            <w:r w:rsidRPr="004A47DC">
              <w:rPr>
                <w:rFonts w:ascii="Garamond" w:hAnsi="Garamond" w:cs="Arial"/>
                <w:color w:val="000000" w:themeColor="text1"/>
                <w:sz w:val="16"/>
                <w:szCs w:val="16"/>
              </w:rPr>
              <w:t xml:space="preserve"> </w:t>
            </w:r>
          </w:p>
          <w:p w14:paraId="14CF321C" w14:textId="77777777" w:rsidR="004719D2" w:rsidRPr="004A47DC" w:rsidRDefault="004719D2" w:rsidP="00CF7CEC">
            <w:pPr>
              <w:rPr>
                <w:rFonts w:ascii="Garamond" w:hAnsi="Garamond"/>
                <w:b/>
                <w:bCs/>
                <w:color w:val="000000" w:themeColor="text1"/>
                <w:sz w:val="16"/>
                <w:szCs w:val="16"/>
              </w:rPr>
            </w:pPr>
          </w:p>
        </w:tc>
      </w:tr>
      <w:tr w:rsidR="004719D2" w:rsidRPr="004A47DC" w14:paraId="5C947249" w14:textId="77777777" w:rsidTr="00E31153">
        <w:trPr>
          <w:trHeight w:val="455"/>
        </w:trPr>
        <w:tc>
          <w:tcPr>
            <w:tcW w:w="0" w:type="auto"/>
            <w:vMerge/>
            <w:tcBorders>
              <w:left w:val="single" w:sz="4" w:space="0" w:color="auto"/>
              <w:right w:val="single" w:sz="4" w:space="0" w:color="auto"/>
            </w:tcBorders>
          </w:tcPr>
          <w:p w14:paraId="0D60D62E"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570560D3" w14:textId="5F402954" w:rsidR="004719D2" w:rsidRPr="004A47DC" w:rsidRDefault="004719D2" w:rsidP="008D04FF">
            <w:pPr>
              <w:pStyle w:val="EcorysBody"/>
              <w:numPr>
                <w:ilvl w:val="0"/>
                <w:numId w:val="21"/>
              </w:numPr>
              <w:tabs>
                <w:tab w:val="left" w:pos="303"/>
              </w:tabs>
              <w:spacing w:line="240" w:lineRule="auto"/>
              <w:ind w:left="0" w:firstLine="0"/>
              <w:jc w:val="both"/>
              <w:rPr>
                <w:rFonts w:ascii="Garamond" w:hAnsi="Garamond" w:cs="Arial"/>
                <w:color w:val="000000" w:themeColor="text1"/>
                <w:sz w:val="16"/>
                <w:szCs w:val="16"/>
              </w:rPr>
            </w:pPr>
            <w:r w:rsidRPr="004A47DC">
              <w:rPr>
                <w:rFonts w:ascii="Garamond" w:hAnsi="Garamond" w:cs="Arial"/>
                <w:color w:val="000000" w:themeColor="text1"/>
                <w:sz w:val="16"/>
                <w:szCs w:val="16"/>
              </w:rPr>
              <w:t>Përhapja e kuadrit të përditësuar të llogaridhënies menaxheriale përmes pilotimeve, rritjes së aktiviteteve ndërgjegjësuese dhe trajnimeve</w:t>
            </w:r>
            <w:r w:rsidR="008D04FF">
              <w:rPr>
                <w:rFonts w:ascii="Garamond" w:hAnsi="Garamond" w:cs="Arial"/>
                <w:color w:val="000000" w:themeColor="text1"/>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14:paraId="04606EC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0" w:type="auto"/>
            <w:tcBorders>
              <w:top w:val="single" w:sz="4" w:space="0" w:color="auto"/>
              <w:left w:val="single" w:sz="4" w:space="0" w:color="auto"/>
              <w:bottom w:val="single" w:sz="4" w:space="0" w:color="auto"/>
              <w:right w:val="single" w:sz="4" w:space="0" w:color="auto"/>
            </w:tcBorders>
            <w:vAlign w:val="center"/>
          </w:tcPr>
          <w:p w14:paraId="0285650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Borders>
              <w:left w:val="single" w:sz="4" w:space="0" w:color="auto"/>
              <w:right w:val="single" w:sz="4" w:space="0" w:color="auto"/>
            </w:tcBorders>
          </w:tcPr>
          <w:p w14:paraId="5281E754" w14:textId="77777777" w:rsidR="004719D2" w:rsidRPr="004A47DC" w:rsidRDefault="004719D2" w:rsidP="00CF7CEC">
            <w:pPr>
              <w:rPr>
                <w:rFonts w:ascii="Garamond" w:hAnsi="Garamond"/>
                <w:b/>
                <w:bCs/>
                <w:color w:val="000000" w:themeColor="text1"/>
                <w:sz w:val="16"/>
                <w:szCs w:val="16"/>
              </w:rPr>
            </w:pPr>
          </w:p>
        </w:tc>
      </w:tr>
      <w:tr w:rsidR="004719D2" w:rsidRPr="004A47DC" w14:paraId="2C40CFAD" w14:textId="77777777" w:rsidTr="00E31153">
        <w:trPr>
          <w:trHeight w:val="455"/>
        </w:trPr>
        <w:tc>
          <w:tcPr>
            <w:tcW w:w="0" w:type="auto"/>
            <w:vMerge/>
            <w:tcBorders>
              <w:left w:val="single" w:sz="4" w:space="0" w:color="auto"/>
              <w:right w:val="single" w:sz="4" w:space="0" w:color="auto"/>
            </w:tcBorders>
            <w:hideMark/>
          </w:tcPr>
          <w:p w14:paraId="45F13329" w14:textId="77777777" w:rsidR="004719D2" w:rsidRPr="004A47DC" w:rsidRDefault="004719D2" w:rsidP="00CF7CEC">
            <w:pPr>
              <w:pStyle w:val="EcorysBody"/>
              <w:spacing w:line="240" w:lineRule="auto"/>
              <w:rPr>
                <w:rFonts w:ascii="Garamond" w:hAnsi="Garamond" w:cs="Arial"/>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44812A" w14:textId="113AB4B0" w:rsidR="004719D2" w:rsidRPr="004A47DC" w:rsidRDefault="004719D2" w:rsidP="008D04FF">
            <w:pPr>
              <w:pStyle w:val="EcorysBody"/>
              <w:numPr>
                <w:ilvl w:val="0"/>
                <w:numId w:val="21"/>
              </w:numPr>
              <w:tabs>
                <w:tab w:val="left" w:pos="303"/>
              </w:tabs>
              <w:spacing w:line="240" w:lineRule="auto"/>
              <w:ind w:left="0" w:firstLine="0"/>
              <w:jc w:val="both"/>
              <w:rPr>
                <w:rFonts w:ascii="Garamond" w:hAnsi="Garamond" w:cs="Arial"/>
                <w:color w:val="000000" w:themeColor="text1"/>
                <w:sz w:val="16"/>
                <w:szCs w:val="16"/>
              </w:rPr>
            </w:pPr>
            <w:r w:rsidRPr="004A47DC">
              <w:rPr>
                <w:rFonts w:ascii="Garamond" w:hAnsi="Garamond" w:cs="Arial"/>
                <w:color w:val="000000" w:themeColor="text1"/>
                <w:sz w:val="16"/>
                <w:szCs w:val="16"/>
              </w:rPr>
              <w:t>Përmirësimi i procedurave për seancat dëgjimore të buxhetit</w:t>
            </w:r>
            <w:r w:rsidR="008D04FF">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ndërmjet MF-së dhe institucioneve buxhetore; përditësimi i kuadrit rregullator</w:t>
            </w:r>
            <w:r w:rsidR="008D04FF">
              <w:rPr>
                <w:rFonts w:ascii="Garamond" w:hAnsi="Garamond" w:cs="Arial"/>
                <w:color w:val="000000" w:themeColor="text1"/>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14:paraId="4C1BF6D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tcBorders>
              <w:top w:val="single" w:sz="4" w:space="0" w:color="auto"/>
              <w:left w:val="single" w:sz="4" w:space="0" w:color="auto"/>
              <w:bottom w:val="single" w:sz="4" w:space="0" w:color="auto"/>
              <w:right w:val="single" w:sz="4" w:space="0" w:color="auto"/>
            </w:tcBorders>
            <w:vAlign w:val="center"/>
          </w:tcPr>
          <w:p w14:paraId="67DA1E2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0" w:type="auto"/>
            <w:vMerge/>
            <w:tcBorders>
              <w:left w:val="single" w:sz="4" w:space="0" w:color="auto"/>
              <w:right w:val="single" w:sz="4" w:space="0" w:color="auto"/>
            </w:tcBorders>
          </w:tcPr>
          <w:p w14:paraId="35C39BE7" w14:textId="77777777" w:rsidR="004719D2" w:rsidRPr="004A47DC" w:rsidRDefault="004719D2" w:rsidP="00CF7CEC">
            <w:pPr>
              <w:rPr>
                <w:rFonts w:ascii="Garamond" w:hAnsi="Garamond"/>
                <w:color w:val="000000" w:themeColor="text1"/>
                <w:sz w:val="16"/>
                <w:szCs w:val="16"/>
              </w:rPr>
            </w:pPr>
          </w:p>
        </w:tc>
      </w:tr>
      <w:tr w:rsidR="004719D2" w:rsidRPr="004A47DC" w14:paraId="31136393" w14:textId="77777777" w:rsidTr="00E31153">
        <w:trPr>
          <w:trHeight w:val="139"/>
        </w:trPr>
        <w:tc>
          <w:tcPr>
            <w:tcW w:w="0" w:type="auto"/>
            <w:vMerge/>
            <w:tcBorders>
              <w:left w:val="single" w:sz="4" w:space="0" w:color="auto"/>
              <w:right w:val="single" w:sz="4" w:space="0" w:color="auto"/>
            </w:tcBorders>
            <w:vAlign w:val="center"/>
            <w:hideMark/>
          </w:tcPr>
          <w:p w14:paraId="4D6BE2C2"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hideMark/>
          </w:tcPr>
          <w:p w14:paraId="3EE70E2F" w14:textId="10EA2186" w:rsidR="004719D2" w:rsidRPr="004A47DC" w:rsidRDefault="004719D2" w:rsidP="008D04FF">
            <w:pPr>
              <w:pStyle w:val="EcorysBody"/>
              <w:numPr>
                <w:ilvl w:val="0"/>
                <w:numId w:val="21"/>
              </w:numPr>
              <w:tabs>
                <w:tab w:val="left" w:pos="303"/>
              </w:tabs>
              <w:spacing w:line="240" w:lineRule="auto"/>
              <w:ind w:left="0" w:firstLine="0"/>
              <w:jc w:val="both"/>
              <w:rPr>
                <w:rFonts w:ascii="Garamond" w:hAnsi="Garamond" w:cs="Arial"/>
                <w:color w:val="000000" w:themeColor="text1"/>
                <w:sz w:val="16"/>
                <w:szCs w:val="16"/>
              </w:rPr>
            </w:pPr>
            <w:r w:rsidRPr="004A47DC">
              <w:rPr>
                <w:rFonts w:ascii="Garamond" w:hAnsi="Garamond" w:cs="Arial"/>
                <w:color w:val="000000" w:themeColor="text1"/>
                <w:sz w:val="16"/>
                <w:szCs w:val="16"/>
              </w:rPr>
              <w:t xml:space="preserve">Përmirësimi i procedurës për pjesëmarrjen e publikut në procesin e formulimit të PBA-së; </w:t>
            </w:r>
            <w:r w:rsidR="008D04FF">
              <w:rPr>
                <w:rFonts w:ascii="Garamond" w:hAnsi="Garamond" w:cs="Arial"/>
                <w:color w:val="000000" w:themeColor="text1"/>
                <w:sz w:val="16"/>
                <w:szCs w:val="16"/>
              </w:rPr>
              <w:t>p</w:t>
            </w:r>
            <w:r w:rsidRPr="004A47DC">
              <w:rPr>
                <w:rFonts w:ascii="Garamond" w:hAnsi="Garamond" w:cs="Arial"/>
                <w:color w:val="000000" w:themeColor="text1"/>
                <w:sz w:val="16"/>
                <w:szCs w:val="16"/>
              </w:rPr>
              <w:t>ërditësimi i kuadrit rregullator</w:t>
            </w:r>
            <w:r w:rsidR="008D04FF">
              <w:rPr>
                <w:rFonts w:ascii="Garamond" w:hAnsi="Garamond" w:cs="Arial"/>
                <w:color w:val="000000" w:themeColor="text1"/>
                <w:sz w:val="16"/>
                <w:szCs w:val="16"/>
              </w:rPr>
              <w:t>.</w:t>
            </w:r>
          </w:p>
        </w:tc>
        <w:tc>
          <w:tcPr>
            <w:tcW w:w="0" w:type="auto"/>
            <w:tcBorders>
              <w:top w:val="single" w:sz="4" w:space="0" w:color="auto"/>
              <w:left w:val="single" w:sz="4" w:space="0" w:color="auto"/>
              <w:right w:val="single" w:sz="4" w:space="0" w:color="auto"/>
            </w:tcBorders>
            <w:vAlign w:val="center"/>
          </w:tcPr>
          <w:p w14:paraId="4117F58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0" w:type="auto"/>
            <w:tcBorders>
              <w:top w:val="single" w:sz="4" w:space="0" w:color="auto"/>
              <w:left w:val="single" w:sz="4" w:space="0" w:color="auto"/>
              <w:right w:val="single" w:sz="4" w:space="0" w:color="auto"/>
            </w:tcBorders>
            <w:vAlign w:val="center"/>
          </w:tcPr>
          <w:p w14:paraId="4F32BDF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vMerge/>
            <w:tcBorders>
              <w:left w:val="single" w:sz="4" w:space="0" w:color="auto"/>
              <w:right w:val="single" w:sz="4" w:space="0" w:color="auto"/>
            </w:tcBorders>
            <w:vAlign w:val="center"/>
            <w:hideMark/>
          </w:tcPr>
          <w:p w14:paraId="68AF8878" w14:textId="77777777" w:rsidR="004719D2" w:rsidRPr="004A47DC" w:rsidRDefault="004719D2" w:rsidP="00CF7CEC">
            <w:pPr>
              <w:rPr>
                <w:rFonts w:ascii="Garamond" w:hAnsi="Garamond"/>
                <w:color w:val="000000" w:themeColor="text1"/>
                <w:sz w:val="16"/>
                <w:szCs w:val="16"/>
              </w:rPr>
            </w:pPr>
          </w:p>
        </w:tc>
      </w:tr>
      <w:tr w:rsidR="004719D2" w:rsidRPr="004A47DC" w14:paraId="2F8B46B5" w14:textId="77777777" w:rsidTr="00E31153">
        <w:trPr>
          <w:trHeight w:val="139"/>
        </w:trPr>
        <w:tc>
          <w:tcPr>
            <w:tcW w:w="0" w:type="auto"/>
            <w:vMerge/>
            <w:tcBorders>
              <w:left w:val="single" w:sz="4" w:space="0" w:color="auto"/>
              <w:right w:val="single" w:sz="4" w:space="0" w:color="auto"/>
            </w:tcBorders>
            <w:vAlign w:val="center"/>
          </w:tcPr>
          <w:p w14:paraId="4FDFBB2B"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tcPr>
          <w:p w14:paraId="551C465F" w14:textId="0114C349" w:rsidR="004719D2" w:rsidRPr="004A47DC" w:rsidRDefault="004719D2" w:rsidP="008D04FF">
            <w:pPr>
              <w:pStyle w:val="EcorysBody"/>
              <w:numPr>
                <w:ilvl w:val="0"/>
                <w:numId w:val="21"/>
              </w:numPr>
              <w:tabs>
                <w:tab w:val="left" w:pos="303"/>
              </w:tabs>
              <w:spacing w:line="240" w:lineRule="auto"/>
              <w:ind w:left="0" w:firstLine="0"/>
              <w:jc w:val="both"/>
              <w:rPr>
                <w:rFonts w:ascii="Garamond" w:hAnsi="Garamond" w:cs="Arial"/>
                <w:color w:val="000000" w:themeColor="text1"/>
                <w:sz w:val="16"/>
                <w:szCs w:val="16"/>
              </w:rPr>
            </w:pPr>
            <w:r w:rsidRPr="004A47DC">
              <w:rPr>
                <w:rFonts w:ascii="Garamond" w:hAnsi="Garamond" w:cs="Arial"/>
                <w:color w:val="000000" w:themeColor="text1"/>
                <w:sz w:val="16"/>
                <w:szCs w:val="16"/>
              </w:rPr>
              <w:t>Prezantimi dhe rregullimi si pjesë e procedurave të PBA-së dhe dokumentacionit buxhetor i një pasqyre të devijimeve ndërmjet tavaneve të PBA-së dhe tavaneve buxhetore të miratuara nga parlamenti</w:t>
            </w:r>
            <w:r w:rsidR="008D04FF">
              <w:rPr>
                <w:rFonts w:ascii="Garamond" w:hAnsi="Garamond" w:cs="Arial"/>
                <w:color w:val="000000" w:themeColor="text1"/>
                <w:sz w:val="16"/>
                <w:szCs w:val="16"/>
              </w:rPr>
              <w:t>.</w:t>
            </w:r>
          </w:p>
        </w:tc>
        <w:tc>
          <w:tcPr>
            <w:tcW w:w="0" w:type="auto"/>
            <w:tcBorders>
              <w:top w:val="single" w:sz="4" w:space="0" w:color="auto"/>
              <w:left w:val="single" w:sz="4" w:space="0" w:color="auto"/>
              <w:right w:val="single" w:sz="4" w:space="0" w:color="auto"/>
            </w:tcBorders>
            <w:vAlign w:val="center"/>
          </w:tcPr>
          <w:p w14:paraId="38C49DF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0" w:type="auto"/>
            <w:tcBorders>
              <w:top w:val="single" w:sz="4" w:space="0" w:color="auto"/>
              <w:left w:val="single" w:sz="4" w:space="0" w:color="auto"/>
              <w:right w:val="single" w:sz="4" w:space="0" w:color="auto"/>
            </w:tcBorders>
            <w:vAlign w:val="center"/>
          </w:tcPr>
          <w:p w14:paraId="69ED562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0" w:type="auto"/>
            <w:vMerge/>
            <w:tcBorders>
              <w:left w:val="single" w:sz="4" w:space="0" w:color="auto"/>
              <w:right w:val="single" w:sz="4" w:space="0" w:color="auto"/>
            </w:tcBorders>
            <w:vAlign w:val="center"/>
          </w:tcPr>
          <w:p w14:paraId="510E6025" w14:textId="77777777" w:rsidR="004719D2" w:rsidRPr="004A47DC" w:rsidRDefault="004719D2" w:rsidP="00CF7CEC">
            <w:pPr>
              <w:rPr>
                <w:rFonts w:ascii="Garamond" w:hAnsi="Garamond"/>
                <w:color w:val="000000" w:themeColor="text1"/>
                <w:sz w:val="16"/>
                <w:szCs w:val="16"/>
              </w:rPr>
            </w:pPr>
          </w:p>
        </w:tc>
      </w:tr>
      <w:tr w:rsidR="004719D2" w:rsidRPr="004A47DC" w14:paraId="4109E8C6" w14:textId="77777777" w:rsidTr="00E31153">
        <w:trPr>
          <w:trHeight w:val="1325"/>
        </w:trPr>
        <w:tc>
          <w:tcPr>
            <w:tcW w:w="0" w:type="auto"/>
            <w:tcBorders>
              <w:top w:val="single" w:sz="4" w:space="0" w:color="auto"/>
              <w:left w:val="single" w:sz="4" w:space="0" w:color="auto"/>
              <w:right w:val="single" w:sz="4" w:space="0" w:color="auto"/>
            </w:tcBorders>
            <w:hideMark/>
          </w:tcPr>
          <w:p w14:paraId="0D244A6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2.2.2 </w:t>
            </w:r>
          </w:p>
          <w:p w14:paraId="4445F654" w14:textId="77777777" w:rsidR="004719D2" w:rsidRPr="004A47DC" w:rsidRDefault="004719D2" w:rsidP="00CF7CEC">
            <w:pPr>
              <w:rPr>
                <w:rFonts w:ascii="Garamond" w:hAnsi="Garamond"/>
                <w:color w:val="000000" w:themeColor="text1"/>
                <w:sz w:val="16"/>
                <w:szCs w:val="16"/>
              </w:rPr>
            </w:pPr>
            <w:r w:rsidRPr="004A47DC">
              <w:rPr>
                <w:rFonts w:ascii="Garamond" w:hAnsi="Garamond"/>
                <w:b/>
                <w:bCs/>
                <w:color w:val="000000" w:themeColor="text1"/>
                <w:sz w:val="16"/>
                <w:szCs w:val="16"/>
              </w:rPr>
              <w:t>Përmirësimi i dokumentacionit buxhetor dhe në veçanti elementit të informacionit të performancës</w:t>
            </w:r>
          </w:p>
        </w:tc>
        <w:tc>
          <w:tcPr>
            <w:tcW w:w="0" w:type="auto"/>
            <w:tcBorders>
              <w:top w:val="single" w:sz="4" w:space="0" w:color="auto"/>
              <w:left w:val="single" w:sz="4" w:space="0" w:color="auto"/>
              <w:right w:val="single" w:sz="4" w:space="0" w:color="auto"/>
            </w:tcBorders>
            <w:vAlign w:val="center"/>
          </w:tcPr>
          <w:p w14:paraId="4B07C9DC" w14:textId="14948470" w:rsidR="004719D2" w:rsidRPr="004A47DC" w:rsidRDefault="004719D2" w:rsidP="008D04FF">
            <w:pPr>
              <w:pStyle w:val="ListParagraph"/>
              <w:numPr>
                <w:ilvl w:val="0"/>
                <w:numId w:val="24"/>
              </w:numPr>
              <w:ind w:left="161" w:hanging="161"/>
              <w:jc w:val="both"/>
              <w:rPr>
                <w:rFonts w:ascii="Garamond" w:hAnsi="Garamond"/>
                <w:color w:val="000000" w:themeColor="text1"/>
                <w:sz w:val="16"/>
                <w:szCs w:val="16"/>
              </w:rPr>
            </w:pPr>
            <w:r w:rsidRPr="004A47DC">
              <w:rPr>
                <w:rFonts w:ascii="Garamond" w:hAnsi="Garamond"/>
                <w:color w:val="000000" w:themeColor="text1"/>
                <w:sz w:val="16"/>
                <w:szCs w:val="16"/>
              </w:rPr>
              <w:t>Të asistohen institucionet buxhetore në përmirësimin e informacionit të performancës në buxhet përmes aktiviteteve të zhvillimit të kapaciteteve dhe sistemeve të sigurimit të cilësisë.</w:t>
            </w:r>
          </w:p>
        </w:tc>
        <w:tc>
          <w:tcPr>
            <w:tcW w:w="0" w:type="auto"/>
            <w:tcBorders>
              <w:top w:val="single" w:sz="4" w:space="0" w:color="auto"/>
              <w:left w:val="single" w:sz="4" w:space="0" w:color="auto"/>
              <w:right w:val="single" w:sz="4" w:space="0" w:color="auto"/>
            </w:tcBorders>
            <w:vAlign w:val="center"/>
          </w:tcPr>
          <w:p w14:paraId="04D7D27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p w14:paraId="66B2EFE2"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tcPr>
          <w:p w14:paraId="79A98F3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p w14:paraId="78E7E9D9"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tcPr>
          <w:p w14:paraId="740324F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37ACF5D0" w14:textId="384E247C"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DAPB</w:t>
            </w:r>
            <w:r w:rsidR="008D04FF">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 DMB</w:t>
            </w:r>
            <w:r w:rsidR="008D04FF">
              <w:rPr>
                <w:rFonts w:ascii="Garamond" w:hAnsi="Garamond" w:cs="Arial"/>
                <w:color w:val="000000" w:themeColor="text1"/>
                <w:sz w:val="16"/>
                <w:szCs w:val="16"/>
              </w:rPr>
              <w:t>-ja</w:t>
            </w:r>
          </w:p>
          <w:p w14:paraId="015EF253" w14:textId="77777777" w:rsidR="004719D2" w:rsidRPr="004A47DC" w:rsidRDefault="004719D2" w:rsidP="00CF7CEC">
            <w:pPr>
              <w:rPr>
                <w:rFonts w:ascii="Garamond" w:hAnsi="Garamond"/>
                <w:color w:val="000000" w:themeColor="text1"/>
                <w:sz w:val="16"/>
                <w:szCs w:val="16"/>
              </w:rPr>
            </w:pPr>
          </w:p>
          <w:p w14:paraId="328311C0"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694CC40C" w14:textId="594C568E"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8D04FF">
              <w:rPr>
                <w:rFonts w:ascii="Garamond" w:hAnsi="Garamond" w:cs="Arial"/>
                <w:color w:val="000000" w:themeColor="text1"/>
                <w:sz w:val="16"/>
                <w:szCs w:val="16"/>
              </w:rPr>
              <w:t>-ja</w:t>
            </w:r>
            <w:r w:rsidRPr="004A47DC">
              <w:rPr>
                <w:rStyle w:val="FootnoteReference"/>
                <w:rFonts w:ascii="Garamond" w:hAnsi="Garamond" w:cs="Arial"/>
                <w:color w:val="000000" w:themeColor="text1"/>
                <w:sz w:val="16"/>
                <w:szCs w:val="16"/>
              </w:rPr>
              <w:footnoteReference w:id="18"/>
            </w:r>
          </w:p>
        </w:tc>
      </w:tr>
      <w:tr w:rsidR="004719D2" w:rsidRPr="004A47DC" w14:paraId="47A9316D" w14:textId="77777777" w:rsidTr="00E31153">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3433BF02"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2.2.3 </w:t>
            </w:r>
          </w:p>
          <w:p w14:paraId="403389B7" w14:textId="77777777" w:rsidR="004719D2" w:rsidRPr="004A47DC" w:rsidRDefault="004719D2" w:rsidP="00CF7CEC">
            <w:pPr>
              <w:rPr>
                <w:rFonts w:ascii="Garamond" w:hAnsi="Garamond"/>
                <w:color w:val="000000" w:themeColor="text1"/>
                <w:sz w:val="16"/>
                <w:szCs w:val="16"/>
              </w:rPr>
            </w:pPr>
            <w:r w:rsidRPr="004A47DC">
              <w:rPr>
                <w:rFonts w:ascii="Garamond" w:hAnsi="Garamond"/>
                <w:b/>
                <w:bCs/>
                <w:color w:val="000000" w:themeColor="text1"/>
                <w:sz w:val="16"/>
                <w:szCs w:val="16"/>
              </w:rPr>
              <w:t>Prezantimi i rishikimeve të shpenzimeve</w:t>
            </w:r>
          </w:p>
        </w:tc>
        <w:tc>
          <w:tcPr>
            <w:tcW w:w="0" w:type="auto"/>
            <w:tcBorders>
              <w:top w:val="single" w:sz="4" w:space="0" w:color="auto"/>
              <w:left w:val="single" w:sz="4" w:space="0" w:color="auto"/>
              <w:bottom w:val="single" w:sz="4" w:space="0" w:color="auto"/>
              <w:right w:val="single" w:sz="4" w:space="0" w:color="auto"/>
            </w:tcBorders>
            <w:vAlign w:val="center"/>
            <w:hideMark/>
          </w:tcPr>
          <w:p w14:paraId="14371118" w14:textId="77777777" w:rsidR="004719D2" w:rsidRPr="004A47DC" w:rsidRDefault="004719D2" w:rsidP="00732B6D">
            <w:pPr>
              <w:pStyle w:val="ListParagraph"/>
              <w:numPr>
                <w:ilvl w:val="0"/>
                <w:numId w:val="13"/>
              </w:numPr>
              <w:ind w:left="161" w:hanging="161"/>
              <w:rPr>
                <w:rFonts w:ascii="Garamond" w:hAnsi="Garamond"/>
                <w:color w:val="000000" w:themeColor="text1"/>
                <w:sz w:val="16"/>
                <w:szCs w:val="16"/>
              </w:rPr>
            </w:pPr>
            <w:r w:rsidRPr="004A47DC">
              <w:rPr>
                <w:rFonts w:ascii="Garamond" w:hAnsi="Garamond"/>
                <w:color w:val="000000" w:themeColor="text1"/>
                <w:sz w:val="16"/>
                <w:szCs w:val="16"/>
              </w:rPr>
              <w:t>Zhvillimi i një metodologjie për ndërmarrjen e rishikimeve të shpenzimeve specifike për sektorët dhe përshtatja e rregullores përkatëse.</w:t>
            </w:r>
          </w:p>
        </w:tc>
        <w:tc>
          <w:tcPr>
            <w:tcW w:w="0" w:type="auto"/>
            <w:tcBorders>
              <w:top w:val="single" w:sz="4" w:space="0" w:color="auto"/>
              <w:left w:val="single" w:sz="4" w:space="0" w:color="auto"/>
              <w:bottom w:val="single" w:sz="4" w:space="0" w:color="auto"/>
              <w:right w:val="single" w:sz="4" w:space="0" w:color="auto"/>
            </w:tcBorders>
            <w:vAlign w:val="center"/>
          </w:tcPr>
          <w:p w14:paraId="1F97708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0" w:type="auto"/>
            <w:tcBorders>
              <w:top w:val="single" w:sz="4" w:space="0" w:color="auto"/>
              <w:left w:val="single" w:sz="4" w:space="0" w:color="auto"/>
              <w:bottom w:val="single" w:sz="4" w:space="0" w:color="auto"/>
              <w:right w:val="single" w:sz="4" w:space="0" w:color="auto"/>
            </w:tcBorders>
            <w:vAlign w:val="center"/>
          </w:tcPr>
          <w:p w14:paraId="0FC3D3D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0" w:type="auto"/>
            <w:vMerge w:val="restart"/>
            <w:tcBorders>
              <w:top w:val="single" w:sz="4" w:space="0" w:color="auto"/>
              <w:left w:val="single" w:sz="4" w:space="0" w:color="auto"/>
              <w:bottom w:val="single" w:sz="4" w:space="0" w:color="auto"/>
              <w:right w:val="single" w:sz="4" w:space="0" w:color="auto"/>
            </w:tcBorders>
          </w:tcPr>
          <w:p w14:paraId="66A2A3D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0873520F" w14:textId="1136A75B"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DAPB</w:t>
            </w:r>
            <w:r w:rsidR="008D04FF">
              <w:rPr>
                <w:rFonts w:ascii="Garamond" w:hAnsi="Garamond"/>
                <w:color w:val="000000" w:themeColor="text1"/>
              </w:rPr>
              <w:t>-ja</w:t>
            </w:r>
            <w:r w:rsidRPr="004A47DC">
              <w:rPr>
                <w:rFonts w:ascii="Garamond" w:hAnsi="Garamond"/>
                <w:color w:val="000000" w:themeColor="text1"/>
                <w:lang w:val="sq-AL"/>
              </w:rPr>
              <w:t xml:space="preserve"> (lider), DMB</w:t>
            </w:r>
            <w:r w:rsidR="008D04FF">
              <w:rPr>
                <w:rFonts w:ascii="Garamond" w:hAnsi="Garamond"/>
                <w:color w:val="000000" w:themeColor="text1"/>
              </w:rPr>
              <w:t>-ja</w:t>
            </w:r>
            <w:r w:rsidRPr="004A47DC">
              <w:rPr>
                <w:rFonts w:ascii="Garamond" w:hAnsi="Garamond"/>
                <w:color w:val="000000" w:themeColor="text1"/>
                <w:lang w:val="sq-AL"/>
              </w:rPr>
              <w:t>, DMIP</w:t>
            </w:r>
            <w:r w:rsidR="008D04FF">
              <w:rPr>
                <w:rFonts w:ascii="Garamond" w:hAnsi="Garamond"/>
                <w:color w:val="000000" w:themeColor="text1"/>
              </w:rPr>
              <w:t>-ja</w:t>
            </w:r>
            <w:r w:rsidRPr="004A47DC">
              <w:rPr>
                <w:rFonts w:ascii="Garamond" w:hAnsi="Garamond"/>
                <w:color w:val="000000" w:themeColor="text1"/>
                <w:lang w:val="sq-AL"/>
              </w:rPr>
              <w:t>, DFV</w:t>
            </w:r>
            <w:r w:rsidR="008D04FF">
              <w:rPr>
                <w:rFonts w:ascii="Garamond" w:hAnsi="Garamond"/>
                <w:color w:val="000000" w:themeColor="text1"/>
              </w:rPr>
              <w:t>-ja</w:t>
            </w:r>
          </w:p>
          <w:p w14:paraId="4B1FC7B7" w14:textId="77777777" w:rsidR="004719D2" w:rsidRPr="004A47DC" w:rsidRDefault="004719D2" w:rsidP="00CF7CEC">
            <w:pPr>
              <w:pStyle w:val="T-normal"/>
              <w:spacing w:line="240" w:lineRule="auto"/>
              <w:rPr>
                <w:rFonts w:ascii="Garamond" w:hAnsi="Garamond"/>
                <w:b/>
                <w:bCs/>
                <w:color w:val="000000" w:themeColor="text1"/>
                <w:lang w:val="sq-AL"/>
              </w:rPr>
            </w:pPr>
          </w:p>
          <w:p w14:paraId="1D3D8F26"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DA96C36" w14:textId="78BF152A"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8D04FF">
              <w:rPr>
                <w:rFonts w:ascii="Garamond" w:hAnsi="Garamond" w:cs="Arial"/>
                <w:color w:val="000000" w:themeColor="text1"/>
                <w:sz w:val="16"/>
                <w:szCs w:val="16"/>
              </w:rPr>
              <w:t>-ja</w:t>
            </w:r>
            <w:r w:rsidR="008D04FF" w:rsidRPr="004A47DC">
              <w:rPr>
                <w:rFonts w:ascii="Garamond" w:hAnsi="Garamond" w:cs="Arial"/>
                <w:color w:val="000000" w:themeColor="text1"/>
                <w:sz w:val="16"/>
                <w:szCs w:val="16"/>
              </w:rPr>
              <w:t xml:space="preserve"> </w:t>
            </w:r>
            <w:r w:rsidRPr="004A47DC">
              <w:rPr>
                <w:rStyle w:val="FootnoteReference"/>
                <w:rFonts w:ascii="Garamond" w:hAnsi="Garamond" w:cs="Arial"/>
                <w:color w:val="000000" w:themeColor="text1"/>
                <w:sz w:val="16"/>
                <w:szCs w:val="16"/>
              </w:rPr>
              <w:footnoteReference w:id="19"/>
            </w:r>
          </w:p>
        </w:tc>
      </w:tr>
      <w:tr w:rsidR="004719D2" w:rsidRPr="004A47DC" w14:paraId="755C50EE" w14:textId="77777777" w:rsidTr="00E311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A0C52"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hideMark/>
          </w:tcPr>
          <w:p w14:paraId="08178AF2" w14:textId="563645CB" w:rsidR="004719D2" w:rsidRPr="004A47DC" w:rsidRDefault="004719D2" w:rsidP="00732B6D">
            <w:pPr>
              <w:pStyle w:val="ListParagraph"/>
              <w:numPr>
                <w:ilvl w:val="0"/>
                <w:numId w:val="13"/>
              </w:numPr>
              <w:ind w:left="161" w:hanging="161"/>
              <w:rPr>
                <w:rFonts w:ascii="Garamond" w:hAnsi="Garamond"/>
                <w:color w:val="000000" w:themeColor="text1"/>
                <w:sz w:val="16"/>
                <w:szCs w:val="16"/>
              </w:rPr>
            </w:pPr>
            <w:r w:rsidRPr="004A47DC">
              <w:rPr>
                <w:rFonts w:ascii="Garamond" w:hAnsi="Garamond"/>
                <w:color w:val="000000" w:themeColor="text1"/>
                <w:sz w:val="16"/>
                <w:szCs w:val="16"/>
              </w:rPr>
              <w:t>Pilotimi i rishikimit të shpenzimeve në sektorë/institucione buxhetore të përzgjedhura; përshtatja e metodologjisë dhe shtrirja në sektorë të tjerë nëpërmjet aktiviteteve të zhvillimit të kapaciteteve</w:t>
            </w:r>
            <w:r w:rsidR="008D04FF">
              <w:rPr>
                <w:rFonts w:ascii="Garamond" w:hAnsi="Garamond"/>
                <w:color w:val="000000" w:themeColor="text1"/>
                <w:sz w:val="16"/>
                <w:szCs w:val="16"/>
              </w:rPr>
              <w:t>.</w:t>
            </w:r>
          </w:p>
        </w:tc>
        <w:tc>
          <w:tcPr>
            <w:tcW w:w="0" w:type="auto"/>
            <w:tcBorders>
              <w:top w:val="single" w:sz="4" w:space="0" w:color="auto"/>
              <w:left w:val="single" w:sz="4" w:space="0" w:color="auto"/>
              <w:right w:val="single" w:sz="4" w:space="0" w:color="auto"/>
            </w:tcBorders>
            <w:vAlign w:val="center"/>
          </w:tcPr>
          <w:p w14:paraId="0A3A21A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0" w:type="auto"/>
            <w:tcBorders>
              <w:top w:val="single" w:sz="4" w:space="0" w:color="auto"/>
              <w:left w:val="single" w:sz="4" w:space="0" w:color="auto"/>
              <w:right w:val="single" w:sz="4" w:space="0" w:color="auto"/>
            </w:tcBorders>
            <w:vAlign w:val="center"/>
          </w:tcPr>
          <w:p w14:paraId="732914C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ED05E" w14:textId="77777777" w:rsidR="004719D2" w:rsidRPr="004A47DC" w:rsidRDefault="004719D2" w:rsidP="00CF7CEC">
            <w:pPr>
              <w:rPr>
                <w:rFonts w:ascii="Garamond" w:hAnsi="Garamond"/>
                <w:color w:val="000000" w:themeColor="text1"/>
                <w:sz w:val="16"/>
                <w:szCs w:val="16"/>
              </w:rPr>
            </w:pPr>
          </w:p>
        </w:tc>
      </w:tr>
      <w:tr w:rsidR="004719D2" w:rsidRPr="004A47DC" w14:paraId="153B0BD7" w14:textId="77777777" w:rsidTr="00E31153">
        <w:trPr>
          <w:trHeight w:val="20"/>
        </w:trPr>
        <w:tc>
          <w:tcPr>
            <w:tcW w:w="0" w:type="auto"/>
            <w:vMerge w:val="restart"/>
            <w:tcBorders>
              <w:top w:val="single" w:sz="4" w:space="0" w:color="auto"/>
              <w:left w:val="single" w:sz="4" w:space="0" w:color="auto"/>
              <w:right w:val="single" w:sz="4" w:space="0" w:color="auto"/>
            </w:tcBorders>
            <w:hideMark/>
          </w:tcPr>
          <w:p w14:paraId="7199AFCC"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Masa 2.2.4 </w:t>
            </w:r>
          </w:p>
          <w:p w14:paraId="2FFA1055" w14:textId="77777777" w:rsidR="004719D2" w:rsidRPr="004A47DC" w:rsidRDefault="004719D2" w:rsidP="00CF7CEC">
            <w:pPr>
              <w:rPr>
                <w:rFonts w:ascii="Garamond" w:hAnsi="Garamond"/>
                <w:color w:val="000000" w:themeColor="text1"/>
                <w:sz w:val="16"/>
                <w:szCs w:val="16"/>
              </w:rPr>
            </w:pPr>
            <w:r w:rsidRPr="004A47DC">
              <w:rPr>
                <w:rFonts w:ascii="Garamond" w:hAnsi="Garamond"/>
                <w:b/>
                <w:bCs/>
                <w:color w:val="000000" w:themeColor="text1"/>
                <w:sz w:val="16"/>
                <w:szCs w:val="16"/>
              </w:rPr>
              <w:t>Zhvillimi dhe prezantimi i mëtejshëm i buxhetimit të përgjigjshëm gjinor dhe buxhetimit të përgjigjshëm ndaj klimës</w:t>
            </w:r>
          </w:p>
        </w:tc>
        <w:tc>
          <w:tcPr>
            <w:tcW w:w="0" w:type="auto"/>
            <w:tcBorders>
              <w:top w:val="single" w:sz="4" w:space="0" w:color="auto"/>
              <w:left w:val="single" w:sz="4" w:space="0" w:color="auto"/>
              <w:bottom w:val="single" w:sz="4" w:space="0" w:color="auto"/>
              <w:right w:val="single" w:sz="4" w:space="0" w:color="auto"/>
            </w:tcBorders>
            <w:vAlign w:val="center"/>
            <w:hideMark/>
          </w:tcPr>
          <w:p w14:paraId="27516406" w14:textId="70BB518A" w:rsidR="004719D2" w:rsidRPr="004A47DC" w:rsidRDefault="004719D2" w:rsidP="00732B6D">
            <w:pPr>
              <w:pStyle w:val="ListParagraph"/>
              <w:numPr>
                <w:ilvl w:val="0"/>
                <w:numId w:val="14"/>
              </w:numPr>
              <w:ind w:left="161" w:hanging="161"/>
              <w:rPr>
                <w:rFonts w:ascii="Garamond" w:hAnsi="Garamond"/>
                <w:color w:val="000000" w:themeColor="text1"/>
                <w:sz w:val="16"/>
                <w:szCs w:val="16"/>
              </w:rPr>
            </w:pPr>
            <w:r w:rsidRPr="004A47DC">
              <w:rPr>
                <w:rFonts w:ascii="Garamond" w:hAnsi="Garamond"/>
                <w:color w:val="000000" w:themeColor="text1"/>
                <w:sz w:val="16"/>
                <w:szCs w:val="16"/>
              </w:rPr>
              <w:t xml:space="preserve">Rishikimi i metodologjisë së buxhetit për të përfshirë analizën gjinore </w:t>
            </w:r>
            <w:r w:rsidRPr="008D04FF">
              <w:rPr>
                <w:rFonts w:ascii="Garamond" w:hAnsi="Garamond"/>
                <w:i/>
                <w:color w:val="000000" w:themeColor="text1"/>
                <w:sz w:val="16"/>
                <w:szCs w:val="16"/>
              </w:rPr>
              <w:t>ex</w:t>
            </w:r>
            <w:r w:rsidR="008D04FF">
              <w:rPr>
                <w:rFonts w:ascii="Garamond" w:hAnsi="Garamond"/>
                <w:i/>
                <w:color w:val="000000" w:themeColor="text1"/>
                <w:sz w:val="16"/>
                <w:szCs w:val="16"/>
              </w:rPr>
              <w:t>-</w:t>
            </w:r>
            <w:r w:rsidRPr="008D04FF">
              <w:rPr>
                <w:rFonts w:ascii="Garamond" w:hAnsi="Garamond"/>
                <w:i/>
                <w:color w:val="000000" w:themeColor="text1"/>
                <w:sz w:val="16"/>
                <w:szCs w:val="16"/>
              </w:rPr>
              <w:t>ante</w:t>
            </w:r>
            <w:r w:rsidRPr="004A47DC">
              <w:rPr>
                <w:rFonts w:ascii="Garamond" w:hAnsi="Garamond"/>
                <w:color w:val="000000" w:themeColor="text1"/>
                <w:sz w:val="16"/>
                <w:szCs w:val="16"/>
              </w:rPr>
              <w:t xml:space="preserve"> dhe </w:t>
            </w:r>
            <w:r w:rsidRPr="008D04FF">
              <w:rPr>
                <w:rFonts w:ascii="Garamond" w:hAnsi="Garamond"/>
                <w:i/>
                <w:color w:val="000000" w:themeColor="text1"/>
                <w:sz w:val="16"/>
                <w:szCs w:val="16"/>
              </w:rPr>
              <w:t>ex</w:t>
            </w:r>
            <w:r w:rsidR="008D04FF">
              <w:rPr>
                <w:rFonts w:ascii="Garamond" w:hAnsi="Garamond"/>
                <w:i/>
                <w:color w:val="000000" w:themeColor="text1"/>
                <w:sz w:val="16"/>
                <w:szCs w:val="16"/>
              </w:rPr>
              <w:t>-</w:t>
            </w:r>
            <w:r w:rsidRPr="008D04FF">
              <w:rPr>
                <w:rFonts w:ascii="Garamond" w:hAnsi="Garamond"/>
                <w:i/>
                <w:color w:val="000000" w:themeColor="text1"/>
                <w:sz w:val="16"/>
                <w:szCs w:val="16"/>
              </w:rPr>
              <w:t>post</w:t>
            </w:r>
            <w:r w:rsidR="008D04FF">
              <w:rPr>
                <w:rFonts w:ascii="Garamond" w:hAnsi="Garamond"/>
                <w:color w:val="000000" w:themeColor="text1"/>
                <w:sz w:val="16"/>
                <w:szCs w:val="16"/>
              </w:rPr>
              <w:t>,</w:t>
            </w:r>
            <w:r w:rsidRPr="004A47DC">
              <w:rPr>
                <w:rFonts w:ascii="Garamond" w:hAnsi="Garamond"/>
                <w:color w:val="000000" w:themeColor="text1"/>
                <w:sz w:val="16"/>
                <w:szCs w:val="16"/>
              </w:rPr>
              <w:t xml:space="preserve"> si një procedurë që do të ndërmerret nga </w:t>
            </w:r>
            <w:r w:rsidR="008D04FF" w:rsidRPr="004A47DC">
              <w:rPr>
                <w:rFonts w:ascii="Garamond" w:hAnsi="Garamond"/>
                <w:color w:val="000000" w:themeColor="text1"/>
                <w:sz w:val="16"/>
                <w:szCs w:val="16"/>
              </w:rPr>
              <w:t>ministritë e linjës dhe institucionet buxhetore në pro</w:t>
            </w:r>
            <w:r w:rsidRPr="004A47DC">
              <w:rPr>
                <w:rFonts w:ascii="Garamond" w:hAnsi="Garamond"/>
                <w:color w:val="000000" w:themeColor="text1"/>
                <w:sz w:val="16"/>
                <w:szCs w:val="16"/>
              </w:rPr>
              <w:t>cesin e propozimit të iniciativave të politikave të reja</w:t>
            </w:r>
            <w:r w:rsidR="008D04FF">
              <w:rPr>
                <w:rFonts w:ascii="Garamond" w:hAnsi="Garamond"/>
                <w:color w:val="000000" w:themeColor="text1"/>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14:paraId="7876F72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0" w:type="auto"/>
            <w:tcBorders>
              <w:top w:val="single" w:sz="4" w:space="0" w:color="auto"/>
              <w:left w:val="single" w:sz="4" w:space="0" w:color="auto"/>
              <w:bottom w:val="single" w:sz="4" w:space="0" w:color="auto"/>
              <w:right w:val="single" w:sz="4" w:space="0" w:color="auto"/>
            </w:tcBorders>
            <w:vAlign w:val="center"/>
          </w:tcPr>
          <w:p w14:paraId="06F5274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2025</w:t>
            </w:r>
          </w:p>
        </w:tc>
        <w:tc>
          <w:tcPr>
            <w:tcW w:w="0" w:type="auto"/>
            <w:vMerge w:val="restart"/>
            <w:tcBorders>
              <w:top w:val="single" w:sz="4" w:space="0" w:color="auto"/>
              <w:left w:val="single" w:sz="4" w:space="0" w:color="auto"/>
              <w:right w:val="single" w:sz="4" w:space="0" w:color="auto"/>
            </w:tcBorders>
          </w:tcPr>
          <w:p w14:paraId="05F0B5F9" w14:textId="77777777" w:rsidR="004719D2" w:rsidRPr="004A47DC" w:rsidRDefault="004719D2" w:rsidP="00CF7CEC">
            <w:pPr>
              <w:pStyle w:val="T-normal"/>
              <w:spacing w:line="240" w:lineRule="auto"/>
              <w:rPr>
                <w:rFonts w:ascii="Garamond" w:hAnsi="Garamond"/>
                <w:b/>
                <w:bCs/>
                <w:color w:val="000000" w:themeColor="text1"/>
                <w:lang w:val="sq-AL"/>
              </w:rPr>
            </w:pPr>
            <w:r w:rsidRPr="004A47DC">
              <w:rPr>
                <w:rFonts w:ascii="Garamond" w:hAnsi="Garamond"/>
                <w:b/>
                <w:bCs/>
                <w:color w:val="000000" w:themeColor="text1"/>
                <w:lang w:val="sq-AL"/>
              </w:rPr>
              <w:t>Njësitë përgjegjëse:</w:t>
            </w:r>
          </w:p>
          <w:p w14:paraId="7E81C980"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DAPB (lider)</w:t>
            </w:r>
          </w:p>
          <w:p w14:paraId="541C2E9B" w14:textId="77777777" w:rsidR="004719D2" w:rsidRPr="004A47DC" w:rsidRDefault="004719D2" w:rsidP="00CF7CEC">
            <w:pPr>
              <w:pStyle w:val="T-normal"/>
              <w:spacing w:line="240" w:lineRule="auto"/>
              <w:rPr>
                <w:rFonts w:ascii="Garamond" w:hAnsi="Garamond"/>
                <w:color w:val="000000" w:themeColor="text1"/>
                <w:lang w:val="sq-AL"/>
              </w:rPr>
            </w:pPr>
          </w:p>
          <w:p w14:paraId="5834DAEE" w14:textId="77777777" w:rsidR="004719D2" w:rsidRPr="004A47DC" w:rsidRDefault="004719D2" w:rsidP="00CF7CEC">
            <w:pPr>
              <w:pStyle w:val="EcorysBody"/>
              <w:spacing w:line="240" w:lineRule="auto"/>
              <w:rPr>
                <w:rFonts w:ascii="Garamond" w:hAnsi="Garamond"/>
                <w:b/>
                <w:bCs/>
                <w:color w:val="000000" w:themeColor="text1"/>
                <w:sz w:val="16"/>
                <w:szCs w:val="16"/>
              </w:rPr>
            </w:pPr>
            <w:r w:rsidRPr="004A47DC">
              <w:rPr>
                <w:rFonts w:ascii="Garamond" w:hAnsi="Garamond" w:cs="Arial"/>
                <w:b/>
                <w:bCs/>
                <w:color w:val="000000" w:themeColor="text1"/>
                <w:kern w:val="2"/>
                <w:sz w:val="16"/>
                <w:szCs w:val="16"/>
                <w14:ligatures w14:val="standardContextual"/>
              </w:rPr>
              <w:t>Partnerët:</w:t>
            </w:r>
          </w:p>
          <w:p w14:paraId="7EBFC881"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UN Women, BB dhe GIZ</w:t>
            </w:r>
          </w:p>
          <w:p w14:paraId="1E7BFA38"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357543E1" w14:textId="77777777" w:rsidTr="00E31153">
        <w:trPr>
          <w:trHeight w:val="42"/>
        </w:trPr>
        <w:tc>
          <w:tcPr>
            <w:tcW w:w="0" w:type="auto"/>
            <w:vMerge/>
            <w:tcBorders>
              <w:left w:val="single" w:sz="4" w:space="0" w:color="auto"/>
              <w:right w:val="single" w:sz="4" w:space="0" w:color="auto"/>
            </w:tcBorders>
            <w:vAlign w:val="center"/>
            <w:hideMark/>
          </w:tcPr>
          <w:p w14:paraId="1541F440"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E43F71F" w14:textId="3BFAABF6" w:rsidR="004719D2" w:rsidRPr="004A47DC" w:rsidRDefault="004719D2" w:rsidP="00732B6D">
            <w:pPr>
              <w:pStyle w:val="ListParagraph"/>
              <w:numPr>
                <w:ilvl w:val="0"/>
                <w:numId w:val="14"/>
              </w:numPr>
              <w:ind w:left="161" w:hanging="161"/>
              <w:rPr>
                <w:rFonts w:ascii="Garamond" w:hAnsi="Garamond"/>
                <w:color w:val="000000" w:themeColor="text1"/>
                <w:sz w:val="16"/>
                <w:szCs w:val="16"/>
              </w:rPr>
            </w:pPr>
            <w:r w:rsidRPr="004A47DC">
              <w:rPr>
                <w:rFonts w:ascii="Garamond" w:hAnsi="Garamond"/>
                <w:color w:val="000000" w:themeColor="text1"/>
                <w:sz w:val="16"/>
                <w:szCs w:val="16"/>
              </w:rPr>
              <w:t xml:space="preserve">Ngritja e kapaciteteve për ML-të dhe IB-të për kryerjen e analizës gjinore </w:t>
            </w:r>
            <w:r w:rsidRPr="008D04FF">
              <w:rPr>
                <w:rFonts w:ascii="Garamond" w:hAnsi="Garamond"/>
                <w:i/>
                <w:color w:val="000000" w:themeColor="text1"/>
                <w:sz w:val="16"/>
                <w:szCs w:val="16"/>
              </w:rPr>
              <w:t>ex</w:t>
            </w:r>
            <w:r w:rsidR="008D04FF" w:rsidRPr="008D04FF">
              <w:rPr>
                <w:rFonts w:ascii="Garamond" w:hAnsi="Garamond"/>
                <w:i/>
                <w:color w:val="000000" w:themeColor="text1"/>
                <w:sz w:val="16"/>
                <w:szCs w:val="16"/>
              </w:rPr>
              <w:t>-</w:t>
            </w:r>
            <w:r w:rsidRPr="008D04FF">
              <w:rPr>
                <w:rFonts w:ascii="Garamond" w:hAnsi="Garamond"/>
                <w:i/>
                <w:color w:val="000000" w:themeColor="text1"/>
                <w:sz w:val="16"/>
                <w:szCs w:val="16"/>
              </w:rPr>
              <w:t>ante</w:t>
            </w:r>
            <w:r w:rsidRPr="004A47DC">
              <w:rPr>
                <w:rFonts w:ascii="Garamond" w:hAnsi="Garamond"/>
                <w:color w:val="000000" w:themeColor="text1"/>
                <w:sz w:val="16"/>
                <w:szCs w:val="16"/>
              </w:rPr>
              <w:t xml:space="preserve"> dhe </w:t>
            </w:r>
            <w:r w:rsidRPr="008D04FF">
              <w:rPr>
                <w:rFonts w:ascii="Garamond" w:hAnsi="Garamond"/>
                <w:i/>
                <w:color w:val="000000" w:themeColor="text1"/>
                <w:sz w:val="16"/>
                <w:szCs w:val="16"/>
              </w:rPr>
              <w:t>ex</w:t>
            </w:r>
            <w:r w:rsidR="008D04FF" w:rsidRPr="008D04FF">
              <w:rPr>
                <w:rFonts w:ascii="Garamond" w:hAnsi="Garamond"/>
                <w:i/>
                <w:color w:val="000000" w:themeColor="text1"/>
                <w:sz w:val="16"/>
                <w:szCs w:val="16"/>
              </w:rPr>
              <w:t>-</w:t>
            </w:r>
            <w:r w:rsidRPr="008D04FF">
              <w:rPr>
                <w:rFonts w:ascii="Garamond" w:hAnsi="Garamond"/>
                <w:i/>
                <w:color w:val="000000" w:themeColor="text1"/>
                <w:sz w:val="16"/>
                <w:szCs w:val="16"/>
              </w:rPr>
              <w:t>post</w:t>
            </w:r>
            <w:r w:rsidRPr="004A47DC">
              <w:rPr>
                <w:rFonts w:ascii="Garamond" w:hAnsi="Garamond"/>
                <w:color w:val="000000" w:themeColor="text1"/>
                <w:sz w:val="16"/>
                <w:szCs w:val="16"/>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306C18C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0" w:type="auto"/>
            <w:tcBorders>
              <w:top w:val="single" w:sz="4" w:space="0" w:color="auto"/>
              <w:left w:val="single" w:sz="4" w:space="0" w:color="auto"/>
              <w:bottom w:val="single" w:sz="4" w:space="0" w:color="auto"/>
              <w:right w:val="single" w:sz="4" w:space="0" w:color="auto"/>
            </w:tcBorders>
            <w:vAlign w:val="center"/>
          </w:tcPr>
          <w:p w14:paraId="3DFEA2A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0" w:type="auto"/>
            <w:vMerge/>
            <w:tcBorders>
              <w:left w:val="single" w:sz="4" w:space="0" w:color="auto"/>
              <w:right w:val="single" w:sz="4" w:space="0" w:color="auto"/>
            </w:tcBorders>
            <w:vAlign w:val="center"/>
            <w:hideMark/>
          </w:tcPr>
          <w:p w14:paraId="6CB34BF1" w14:textId="77777777" w:rsidR="004719D2" w:rsidRPr="004A47DC" w:rsidRDefault="004719D2" w:rsidP="00CF7CEC">
            <w:pPr>
              <w:rPr>
                <w:rFonts w:ascii="Garamond" w:hAnsi="Garamond"/>
                <w:color w:val="000000" w:themeColor="text1"/>
                <w:sz w:val="16"/>
                <w:szCs w:val="16"/>
              </w:rPr>
            </w:pPr>
          </w:p>
        </w:tc>
      </w:tr>
      <w:tr w:rsidR="004719D2" w:rsidRPr="004A47DC" w14:paraId="6C009733" w14:textId="77777777" w:rsidTr="00E31153">
        <w:trPr>
          <w:trHeight w:val="1104"/>
        </w:trPr>
        <w:tc>
          <w:tcPr>
            <w:tcW w:w="0" w:type="auto"/>
            <w:vMerge/>
            <w:tcBorders>
              <w:left w:val="single" w:sz="4" w:space="0" w:color="auto"/>
              <w:right w:val="single" w:sz="4" w:space="0" w:color="auto"/>
            </w:tcBorders>
            <w:vAlign w:val="center"/>
          </w:tcPr>
          <w:p w14:paraId="6EB9D4CB"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A256994" w14:textId="16EB08A2" w:rsidR="004719D2" w:rsidRPr="004A47DC" w:rsidRDefault="004719D2" w:rsidP="00732B6D">
            <w:pPr>
              <w:pStyle w:val="ListParagraph"/>
              <w:numPr>
                <w:ilvl w:val="0"/>
                <w:numId w:val="14"/>
              </w:numPr>
              <w:ind w:left="161" w:hanging="161"/>
              <w:rPr>
                <w:rFonts w:ascii="Garamond" w:hAnsi="Garamond"/>
                <w:color w:val="000000" w:themeColor="text1"/>
                <w:sz w:val="16"/>
                <w:szCs w:val="16"/>
              </w:rPr>
            </w:pPr>
            <w:r w:rsidRPr="004A47DC">
              <w:rPr>
                <w:rFonts w:ascii="Garamond" w:hAnsi="Garamond"/>
                <w:color w:val="000000" w:themeColor="text1"/>
                <w:sz w:val="16"/>
                <w:szCs w:val="16"/>
              </w:rPr>
              <w:t>Zhvillimi i një metodologjie për buxhetimin e gjelbërt/të përgjigjshëm ndaj ndryshimeve klimatike dhe pilotimi i metodologjisë për buxhetimin e gjelbërt/të përgjigjshëm ndaj ndryshimeve klimatike në sektorë</w:t>
            </w:r>
            <w:r w:rsidR="00E31153" w:rsidRPr="004A47DC">
              <w:rPr>
                <w:rFonts w:ascii="Garamond" w:hAnsi="Garamond"/>
                <w:color w:val="000000" w:themeColor="text1"/>
                <w:sz w:val="16"/>
                <w:szCs w:val="16"/>
              </w:rPr>
              <w:t>/</w:t>
            </w:r>
            <w:r w:rsidRPr="004A47DC">
              <w:rPr>
                <w:rFonts w:ascii="Garamond" w:hAnsi="Garamond"/>
                <w:color w:val="000000" w:themeColor="text1"/>
                <w:sz w:val="16"/>
                <w:szCs w:val="16"/>
              </w:rPr>
              <w:t>institucione buxhetore të përzgjedhura</w:t>
            </w:r>
            <w:r w:rsidR="008D04FF">
              <w:rPr>
                <w:rFonts w:ascii="Garamond" w:hAnsi="Garamond"/>
                <w:color w:val="000000" w:themeColor="text1"/>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14:paraId="38503A1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0" w:type="auto"/>
            <w:tcBorders>
              <w:top w:val="single" w:sz="4" w:space="0" w:color="auto"/>
              <w:left w:val="single" w:sz="4" w:space="0" w:color="auto"/>
              <w:bottom w:val="single" w:sz="4" w:space="0" w:color="auto"/>
              <w:right w:val="single" w:sz="4" w:space="0" w:color="auto"/>
            </w:tcBorders>
            <w:vAlign w:val="center"/>
          </w:tcPr>
          <w:p w14:paraId="78D170B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vMerge/>
            <w:tcBorders>
              <w:left w:val="single" w:sz="4" w:space="0" w:color="auto"/>
              <w:right w:val="single" w:sz="4" w:space="0" w:color="auto"/>
            </w:tcBorders>
            <w:vAlign w:val="center"/>
          </w:tcPr>
          <w:p w14:paraId="15DD75E5" w14:textId="77777777" w:rsidR="004719D2" w:rsidRPr="004A47DC" w:rsidRDefault="004719D2" w:rsidP="00CF7CEC">
            <w:pPr>
              <w:rPr>
                <w:rFonts w:ascii="Garamond" w:hAnsi="Garamond"/>
                <w:color w:val="000000" w:themeColor="text1"/>
                <w:sz w:val="16"/>
                <w:szCs w:val="16"/>
              </w:rPr>
            </w:pPr>
          </w:p>
        </w:tc>
      </w:tr>
      <w:tr w:rsidR="004719D2" w:rsidRPr="004A47DC" w14:paraId="62427755" w14:textId="77777777" w:rsidTr="00E31153">
        <w:trPr>
          <w:trHeight w:val="736"/>
        </w:trPr>
        <w:tc>
          <w:tcPr>
            <w:tcW w:w="0" w:type="auto"/>
            <w:tcBorders>
              <w:left w:val="single" w:sz="4" w:space="0" w:color="auto"/>
              <w:bottom w:val="single" w:sz="4" w:space="0" w:color="auto"/>
              <w:right w:val="single" w:sz="4" w:space="0" w:color="auto"/>
            </w:tcBorders>
            <w:vAlign w:val="center"/>
          </w:tcPr>
          <w:p w14:paraId="6DB56487" w14:textId="746EE9D2" w:rsidR="004719D2" w:rsidRPr="004A47DC" w:rsidRDefault="004719D2" w:rsidP="00CF7CEC">
            <w:pPr>
              <w:rPr>
                <w:rFonts w:ascii="Garamond" w:hAnsi="Garamond"/>
                <w:b/>
                <w:color w:val="000000" w:themeColor="text1"/>
                <w:sz w:val="16"/>
                <w:szCs w:val="16"/>
              </w:rPr>
            </w:pPr>
            <w:r w:rsidRPr="004A47DC">
              <w:rPr>
                <w:rFonts w:ascii="Garamond" w:hAnsi="Garamond"/>
                <w:b/>
                <w:color w:val="000000" w:themeColor="text1"/>
                <w:sz w:val="16"/>
                <w:szCs w:val="16"/>
              </w:rPr>
              <w:t xml:space="preserve">Masa 2.2.5 Miratim i DPP-së së </w:t>
            </w:r>
            <w:r w:rsidR="00DE4932">
              <w:rPr>
                <w:rFonts w:ascii="Garamond" w:hAnsi="Garamond"/>
                <w:b/>
                <w:color w:val="000000" w:themeColor="text1"/>
                <w:sz w:val="16"/>
                <w:szCs w:val="16"/>
              </w:rPr>
              <w:t>b</w:t>
            </w:r>
            <w:r w:rsidRPr="004A47DC">
              <w:rPr>
                <w:rFonts w:ascii="Garamond" w:hAnsi="Garamond"/>
                <w:b/>
                <w:color w:val="000000" w:themeColor="text1"/>
                <w:sz w:val="16"/>
                <w:szCs w:val="16"/>
              </w:rPr>
              <w:t>ashku me Listën Unike të Projekteve me Rëndësi Kombëtare</w:t>
            </w:r>
          </w:p>
        </w:tc>
        <w:tc>
          <w:tcPr>
            <w:tcW w:w="0" w:type="auto"/>
            <w:tcBorders>
              <w:top w:val="single" w:sz="4" w:space="0" w:color="auto"/>
              <w:left w:val="single" w:sz="4" w:space="0" w:color="auto"/>
              <w:right w:val="single" w:sz="4" w:space="0" w:color="auto"/>
            </w:tcBorders>
            <w:vAlign w:val="center"/>
          </w:tcPr>
          <w:p w14:paraId="62DE898D" w14:textId="31833CB0" w:rsidR="004719D2" w:rsidRPr="004A47DC" w:rsidRDefault="004719D2" w:rsidP="00732B6D">
            <w:pPr>
              <w:pStyle w:val="ListParagraph"/>
              <w:numPr>
                <w:ilvl w:val="0"/>
                <w:numId w:val="27"/>
              </w:numPr>
              <w:ind w:left="161" w:hanging="161"/>
              <w:rPr>
                <w:rFonts w:ascii="Garamond" w:hAnsi="Garamond"/>
                <w:color w:val="000000" w:themeColor="text1"/>
                <w:sz w:val="16"/>
                <w:szCs w:val="16"/>
              </w:rPr>
            </w:pPr>
            <w:r w:rsidRPr="004A47DC">
              <w:rPr>
                <w:rFonts w:ascii="Garamond" w:hAnsi="Garamond"/>
                <w:color w:val="000000" w:themeColor="text1"/>
                <w:sz w:val="16"/>
                <w:szCs w:val="16"/>
              </w:rPr>
              <w:t>Miratim i DPP-së së bashku me Listën Unike të Projekteve me Rëndësi Kombëtare si pjesë integrale e saj/kontributi nga ministritë e linjës</w:t>
            </w:r>
            <w:r w:rsidR="008D04FF">
              <w:rPr>
                <w:rFonts w:ascii="Garamond" w:hAnsi="Garamond"/>
                <w:color w:val="000000" w:themeColor="text1"/>
                <w:sz w:val="16"/>
                <w:szCs w:val="16"/>
              </w:rPr>
              <w:t>.</w:t>
            </w:r>
          </w:p>
        </w:tc>
        <w:tc>
          <w:tcPr>
            <w:tcW w:w="0" w:type="auto"/>
            <w:tcBorders>
              <w:top w:val="single" w:sz="4" w:space="0" w:color="auto"/>
              <w:left w:val="single" w:sz="4" w:space="0" w:color="auto"/>
              <w:right w:val="single" w:sz="4" w:space="0" w:color="auto"/>
            </w:tcBorders>
            <w:vAlign w:val="center"/>
          </w:tcPr>
          <w:p w14:paraId="0E4FBF7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0" w:type="auto"/>
            <w:tcBorders>
              <w:top w:val="single" w:sz="4" w:space="0" w:color="auto"/>
              <w:left w:val="single" w:sz="4" w:space="0" w:color="auto"/>
              <w:right w:val="single" w:sz="4" w:space="0" w:color="auto"/>
            </w:tcBorders>
            <w:vAlign w:val="center"/>
          </w:tcPr>
          <w:p w14:paraId="2470F88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0" w:type="auto"/>
            <w:tcBorders>
              <w:left w:val="single" w:sz="4" w:space="0" w:color="auto"/>
              <w:bottom w:val="single" w:sz="4" w:space="0" w:color="auto"/>
              <w:right w:val="single" w:sz="4" w:space="0" w:color="auto"/>
            </w:tcBorders>
            <w:vAlign w:val="center"/>
          </w:tcPr>
          <w:p w14:paraId="1CFADA50" w14:textId="77777777" w:rsidR="004719D2" w:rsidRPr="004A47DC" w:rsidRDefault="004719D2" w:rsidP="00CF7CEC">
            <w:pPr>
              <w:pStyle w:val="T-normal"/>
              <w:spacing w:line="240" w:lineRule="auto"/>
              <w:rPr>
                <w:rFonts w:ascii="Garamond" w:hAnsi="Garamond"/>
                <w:b/>
                <w:bCs/>
                <w:color w:val="000000" w:themeColor="text1"/>
                <w:lang w:val="sq-AL"/>
              </w:rPr>
            </w:pPr>
            <w:r w:rsidRPr="004A47DC">
              <w:rPr>
                <w:rFonts w:ascii="Garamond" w:hAnsi="Garamond"/>
                <w:b/>
                <w:bCs/>
                <w:color w:val="000000" w:themeColor="text1"/>
                <w:lang w:val="sq-AL"/>
              </w:rPr>
              <w:t>Njësitë përgjegjëse:</w:t>
            </w:r>
          </w:p>
          <w:p w14:paraId="5E95FA4A"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SASPAC (lider)</w:t>
            </w:r>
          </w:p>
          <w:p w14:paraId="3AAFD0CF" w14:textId="77777777" w:rsidR="004719D2" w:rsidRPr="004A47DC" w:rsidRDefault="004719D2" w:rsidP="00CF7CEC">
            <w:pPr>
              <w:pStyle w:val="EcorysBody"/>
              <w:spacing w:line="240" w:lineRule="auto"/>
              <w:rPr>
                <w:rFonts w:ascii="Garamond" w:hAnsi="Garamond"/>
                <w:b/>
                <w:bCs/>
                <w:color w:val="000000" w:themeColor="text1"/>
                <w:sz w:val="16"/>
                <w:szCs w:val="16"/>
              </w:rPr>
            </w:pPr>
            <w:r w:rsidRPr="004A47DC">
              <w:rPr>
                <w:rFonts w:ascii="Garamond" w:hAnsi="Garamond" w:cs="Arial"/>
                <w:b/>
                <w:bCs/>
                <w:color w:val="000000" w:themeColor="text1"/>
                <w:kern w:val="2"/>
                <w:sz w:val="16"/>
                <w:szCs w:val="16"/>
                <w14:ligatures w14:val="standardContextual"/>
              </w:rPr>
              <w:t>Partnerët:</w:t>
            </w:r>
          </w:p>
          <w:p w14:paraId="05EA6C92" w14:textId="6FE4A462"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 xml:space="preserve">Ministritë e </w:t>
            </w:r>
            <w:r w:rsidR="008D04FF">
              <w:rPr>
                <w:rFonts w:ascii="Garamond" w:hAnsi="Garamond" w:cs="Arial"/>
                <w:color w:val="000000" w:themeColor="text1"/>
                <w:sz w:val="16"/>
                <w:szCs w:val="16"/>
              </w:rPr>
              <w:t>l</w:t>
            </w:r>
            <w:r w:rsidRPr="004A47DC">
              <w:rPr>
                <w:rFonts w:ascii="Garamond" w:hAnsi="Garamond" w:cs="Arial"/>
                <w:color w:val="000000" w:themeColor="text1"/>
                <w:sz w:val="16"/>
                <w:szCs w:val="16"/>
              </w:rPr>
              <w:t>injës</w:t>
            </w:r>
          </w:p>
          <w:p w14:paraId="0D53C893" w14:textId="77777777" w:rsidR="004719D2" w:rsidRPr="004A47DC" w:rsidRDefault="004719D2" w:rsidP="00CF7CEC">
            <w:pPr>
              <w:rPr>
                <w:rFonts w:ascii="Garamond" w:hAnsi="Garamond"/>
                <w:color w:val="000000" w:themeColor="text1"/>
                <w:sz w:val="16"/>
                <w:szCs w:val="16"/>
              </w:rPr>
            </w:pPr>
          </w:p>
        </w:tc>
      </w:tr>
    </w:tbl>
    <w:p w14:paraId="2AE8E01B" w14:textId="77777777" w:rsidR="004719D2" w:rsidRPr="004A47DC" w:rsidRDefault="004719D2" w:rsidP="004719D2">
      <w:pPr>
        <w:rPr>
          <w:rFonts w:ascii="Garamond" w:hAnsi="Garamond"/>
          <w:b/>
          <w:bCs/>
          <w:color w:val="000000" w:themeColor="text1"/>
          <w:sz w:val="36"/>
        </w:rPr>
      </w:pPr>
    </w:p>
    <w:p w14:paraId="7555A993" w14:textId="77777777" w:rsidR="00FA4D0A" w:rsidRDefault="00FA4D0A" w:rsidP="004719D2">
      <w:pPr>
        <w:pStyle w:val="H5"/>
        <w:spacing w:after="0" w:line="240" w:lineRule="auto"/>
        <w:rPr>
          <w:rFonts w:ascii="Garamond" w:hAnsi="Garamond"/>
          <w:color w:val="000000" w:themeColor="text1"/>
          <w:sz w:val="24"/>
        </w:rPr>
      </w:pPr>
    </w:p>
    <w:p w14:paraId="1D505AAE" w14:textId="77777777" w:rsidR="00FA4D0A" w:rsidRDefault="00FA4D0A" w:rsidP="004719D2">
      <w:pPr>
        <w:pStyle w:val="H5"/>
        <w:spacing w:after="0" w:line="240" w:lineRule="auto"/>
        <w:rPr>
          <w:rFonts w:ascii="Garamond" w:hAnsi="Garamond"/>
          <w:color w:val="000000" w:themeColor="text1"/>
          <w:sz w:val="24"/>
        </w:rPr>
      </w:pPr>
    </w:p>
    <w:p w14:paraId="39D89F31" w14:textId="77777777" w:rsidR="00FA4D0A" w:rsidRDefault="00FA4D0A" w:rsidP="004719D2">
      <w:pPr>
        <w:pStyle w:val="H5"/>
        <w:spacing w:after="0" w:line="240" w:lineRule="auto"/>
        <w:rPr>
          <w:rFonts w:ascii="Garamond" w:hAnsi="Garamond"/>
          <w:color w:val="000000" w:themeColor="text1"/>
          <w:sz w:val="24"/>
        </w:rPr>
      </w:pPr>
    </w:p>
    <w:p w14:paraId="68CED98B" w14:textId="77777777" w:rsidR="00FA4D0A" w:rsidRDefault="00FA4D0A" w:rsidP="004719D2">
      <w:pPr>
        <w:pStyle w:val="H5"/>
        <w:spacing w:after="0" w:line="240" w:lineRule="auto"/>
        <w:rPr>
          <w:rFonts w:ascii="Garamond" w:hAnsi="Garamond"/>
          <w:color w:val="000000" w:themeColor="text1"/>
          <w:sz w:val="24"/>
        </w:rPr>
      </w:pPr>
    </w:p>
    <w:p w14:paraId="60C9A941" w14:textId="77777777" w:rsidR="00FA4D0A" w:rsidRDefault="00FA4D0A" w:rsidP="004719D2">
      <w:pPr>
        <w:pStyle w:val="H5"/>
        <w:spacing w:after="0" w:line="240" w:lineRule="auto"/>
        <w:rPr>
          <w:rFonts w:ascii="Garamond" w:hAnsi="Garamond"/>
          <w:color w:val="000000" w:themeColor="text1"/>
          <w:sz w:val="24"/>
        </w:rPr>
      </w:pPr>
    </w:p>
    <w:p w14:paraId="42EA38AF" w14:textId="627C976A"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2205"/>
        <w:gridCol w:w="643"/>
        <w:gridCol w:w="1660"/>
        <w:gridCol w:w="1435"/>
        <w:gridCol w:w="1529"/>
        <w:gridCol w:w="1589"/>
      </w:tblGrid>
      <w:tr w:rsidR="004719D2" w:rsidRPr="008D04FF" w14:paraId="20AB6A63" w14:textId="77777777" w:rsidTr="008D04FF">
        <w:trPr>
          <w:cantSplit/>
          <w:tblHeader/>
        </w:trPr>
        <w:tc>
          <w:tcPr>
            <w:tcW w:w="121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8D795A"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Treguesi</w:t>
            </w:r>
          </w:p>
        </w:tc>
        <w:tc>
          <w:tcPr>
            <w:tcW w:w="35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753B21"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Vlera bazë (viti)</w:t>
            </w:r>
          </w:p>
        </w:tc>
        <w:tc>
          <w:tcPr>
            <w:tcW w:w="342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6A14C4"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Vlera e synuar</w:t>
            </w:r>
          </w:p>
        </w:tc>
      </w:tr>
      <w:tr w:rsidR="004719D2" w:rsidRPr="008D04FF" w14:paraId="39D8A275" w14:textId="77777777" w:rsidTr="008D04FF">
        <w:trPr>
          <w:cantSplit/>
          <w:tblHeader/>
        </w:trPr>
        <w:tc>
          <w:tcPr>
            <w:tcW w:w="1216" w:type="pct"/>
            <w:vMerge/>
            <w:tcBorders>
              <w:top w:val="single" w:sz="4" w:space="0" w:color="auto"/>
              <w:left w:val="single" w:sz="4" w:space="0" w:color="auto"/>
              <w:bottom w:val="single" w:sz="4" w:space="0" w:color="auto"/>
              <w:right w:val="single" w:sz="4" w:space="0" w:color="auto"/>
            </w:tcBorders>
            <w:vAlign w:val="center"/>
            <w:hideMark/>
          </w:tcPr>
          <w:p w14:paraId="6B1D20DE" w14:textId="77777777" w:rsidR="004719D2" w:rsidRPr="008D04FF" w:rsidRDefault="004719D2" w:rsidP="00E31153">
            <w:pPr>
              <w:pStyle w:val="T-bold"/>
              <w:spacing w:line="240" w:lineRule="auto"/>
              <w:jc w:val="center"/>
              <w:rPr>
                <w:rFonts w:ascii="Garamond" w:hAnsi="Garamond"/>
                <w:color w:val="000000" w:themeColor="text1"/>
              </w:rPr>
            </w:pPr>
          </w:p>
        </w:tc>
        <w:tc>
          <w:tcPr>
            <w:tcW w:w="355" w:type="pct"/>
            <w:vMerge/>
            <w:tcBorders>
              <w:top w:val="single" w:sz="4" w:space="0" w:color="auto"/>
              <w:left w:val="single" w:sz="4" w:space="0" w:color="auto"/>
              <w:bottom w:val="single" w:sz="4" w:space="0" w:color="auto"/>
              <w:right w:val="single" w:sz="4" w:space="0" w:color="auto"/>
            </w:tcBorders>
            <w:vAlign w:val="center"/>
            <w:hideMark/>
          </w:tcPr>
          <w:p w14:paraId="5782DABC" w14:textId="77777777" w:rsidR="004719D2" w:rsidRPr="008D04FF" w:rsidRDefault="004719D2" w:rsidP="00E31153">
            <w:pPr>
              <w:pStyle w:val="T-bold"/>
              <w:spacing w:line="240" w:lineRule="auto"/>
              <w:jc w:val="center"/>
              <w:rPr>
                <w:rFonts w:ascii="Garamond" w:hAnsi="Garamond"/>
                <w:color w:val="000000" w:themeColor="text1"/>
              </w:rPr>
            </w:pPr>
          </w:p>
        </w:tc>
        <w:tc>
          <w:tcPr>
            <w:tcW w:w="9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0E4253"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2023</w:t>
            </w:r>
          </w:p>
        </w:tc>
        <w:tc>
          <w:tcPr>
            <w:tcW w:w="7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1356CD"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2024</w:t>
            </w:r>
          </w:p>
        </w:tc>
        <w:tc>
          <w:tcPr>
            <w:tcW w:w="8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F5B87B"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2025</w:t>
            </w:r>
          </w:p>
        </w:tc>
        <w:tc>
          <w:tcPr>
            <w:tcW w:w="8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B347DC" w14:textId="77777777" w:rsidR="004719D2" w:rsidRPr="008D04FF" w:rsidRDefault="004719D2" w:rsidP="00E31153">
            <w:pPr>
              <w:pStyle w:val="T-bold"/>
              <w:spacing w:line="240" w:lineRule="auto"/>
              <w:jc w:val="center"/>
              <w:rPr>
                <w:rFonts w:ascii="Garamond" w:hAnsi="Garamond"/>
                <w:color w:val="000000" w:themeColor="text1"/>
              </w:rPr>
            </w:pPr>
            <w:r w:rsidRPr="008D04FF">
              <w:rPr>
                <w:rFonts w:ascii="Garamond" w:hAnsi="Garamond"/>
                <w:color w:val="000000" w:themeColor="text1"/>
              </w:rPr>
              <w:t>2026</w:t>
            </w:r>
          </w:p>
        </w:tc>
      </w:tr>
      <w:tr w:rsidR="004719D2" w:rsidRPr="008D04FF" w14:paraId="6BE91BB2" w14:textId="77777777" w:rsidTr="008D04FF">
        <w:trPr>
          <w:cantSplit/>
        </w:trPr>
        <w:tc>
          <w:tcPr>
            <w:tcW w:w="1216" w:type="pct"/>
            <w:tcBorders>
              <w:top w:val="single" w:sz="4" w:space="0" w:color="auto"/>
              <w:left w:val="single" w:sz="4" w:space="0" w:color="auto"/>
              <w:bottom w:val="single" w:sz="4" w:space="0" w:color="auto"/>
              <w:right w:val="single" w:sz="4" w:space="0" w:color="auto"/>
            </w:tcBorders>
          </w:tcPr>
          <w:p w14:paraId="46DD2CAF" w14:textId="17D69FD3" w:rsidR="004719D2" w:rsidRPr="008D04FF" w:rsidRDefault="00284C79" w:rsidP="00284C79">
            <w:pPr>
              <w:rPr>
                <w:rFonts w:ascii="Garamond" w:hAnsi="Garamond"/>
                <w:sz w:val="16"/>
                <w:szCs w:val="16"/>
              </w:rPr>
            </w:pPr>
            <w:r w:rsidRPr="008D04FF">
              <w:rPr>
                <w:rFonts w:ascii="Garamond" w:hAnsi="Garamond"/>
                <w:sz w:val="16"/>
                <w:szCs w:val="16"/>
              </w:rPr>
              <w:t xml:space="preserve">1. </w:t>
            </w:r>
            <w:r w:rsidR="004719D2" w:rsidRPr="008D04FF">
              <w:rPr>
                <w:rFonts w:ascii="Garamond" w:hAnsi="Garamond"/>
                <w:sz w:val="16"/>
                <w:szCs w:val="16"/>
              </w:rPr>
              <w:t>Treguesi PEFA 16</w:t>
            </w:r>
            <w:r w:rsidR="008D04FF" w:rsidRPr="008D04FF">
              <w:rPr>
                <w:rFonts w:ascii="Garamond" w:hAnsi="Garamond"/>
                <w:sz w:val="16"/>
                <w:szCs w:val="16"/>
              </w:rPr>
              <w:t>,</w:t>
            </w:r>
            <w:r w:rsidR="004719D2" w:rsidRPr="008D04FF">
              <w:rPr>
                <w:rFonts w:ascii="Garamond" w:hAnsi="Garamond"/>
                <w:sz w:val="16"/>
                <w:szCs w:val="16"/>
              </w:rPr>
              <w:t xml:space="preserve"> </w:t>
            </w:r>
            <w:r w:rsidR="008D04FF" w:rsidRPr="008D04FF">
              <w:rPr>
                <w:rFonts w:ascii="Garamond" w:hAnsi="Garamond"/>
                <w:sz w:val="16"/>
                <w:szCs w:val="16"/>
              </w:rPr>
              <w:t xml:space="preserve">perspektiva afatmesme </w:t>
            </w:r>
            <w:r w:rsidR="004719D2" w:rsidRPr="008D04FF">
              <w:rPr>
                <w:rFonts w:ascii="Garamond" w:hAnsi="Garamond"/>
                <w:sz w:val="16"/>
                <w:szCs w:val="16"/>
              </w:rPr>
              <w:t>në buxhetimin e shpenzimeve</w:t>
            </w:r>
          </w:p>
        </w:tc>
        <w:tc>
          <w:tcPr>
            <w:tcW w:w="355" w:type="pct"/>
            <w:tcBorders>
              <w:top w:val="single" w:sz="4" w:space="0" w:color="auto"/>
              <w:left w:val="single" w:sz="4" w:space="0" w:color="auto"/>
              <w:bottom w:val="single" w:sz="4" w:space="0" w:color="auto"/>
              <w:right w:val="single" w:sz="4" w:space="0" w:color="auto"/>
            </w:tcBorders>
            <w:vAlign w:val="center"/>
          </w:tcPr>
          <w:p w14:paraId="2E0808AC"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C+ </w:t>
            </w:r>
          </w:p>
          <w:p w14:paraId="054172D3"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(2017)</w:t>
            </w:r>
          </w:p>
        </w:tc>
        <w:tc>
          <w:tcPr>
            <w:tcW w:w="916" w:type="pct"/>
            <w:tcBorders>
              <w:top w:val="single" w:sz="4" w:space="0" w:color="auto"/>
              <w:left w:val="single" w:sz="4" w:space="0" w:color="auto"/>
              <w:bottom w:val="single" w:sz="4" w:space="0" w:color="auto"/>
              <w:right w:val="single" w:sz="4" w:space="0" w:color="auto"/>
            </w:tcBorders>
            <w:vAlign w:val="center"/>
          </w:tcPr>
          <w:p w14:paraId="3ADEAEF1"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792" w:type="pct"/>
            <w:tcBorders>
              <w:top w:val="single" w:sz="4" w:space="0" w:color="auto"/>
              <w:left w:val="single" w:sz="4" w:space="0" w:color="auto"/>
              <w:bottom w:val="single" w:sz="4" w:space="0" w:color="auto"/>
              <w:right w:val="single" w:sz="4" w:space="0" w:color="auto"/>
            </w:tcBorders>
            <w:vAlign w:val="center"/>
          </w:tcPr>
          <w:p w14:paraId="0BEA266D"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B</w:t>
            </w:r>
          </w:p>
        </w:tc>
        <w:tc>
          <w:tcPr>
            <w:tcW w:w="844" w:type="pct"/>
            <w:tcBorders>
              <w:top w:val="single" w:sz="4" w:space="0" w:color="auto"/>
              <w:left w:val="single" w:sz="4" w:space="0" w:color="auto"/>
              <w:bottom w:val="single" w:sz="4" w:space="0" w:color="auto"/>
              <w:right w:val="single" w:sz="4" w:space="0" w:color="auto"/>
            </w:tcBorders>
            <w:vAlign w:val="center"/>
          </w:tcPr>
          <w:p w14:paraId="30D0D30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B</w:t>
            </w:r>
          </w:p>
        </w:tc>
        <w:tc>
          <w:tcPr>
            <w:tcW w:w="877" w:type="pct"/>
            <w:tcBorders>
              <w:top w:val="single" w:sz="4" w:space="0" w:color="auto"/>
              <w:left w:val="single" w:sz="4" w:space="0" w:color="auto"/>
              <w:bottom w:val="single" w:sz="4" w:space="0" w:color="auto"/>
              <w:right w:val="single" w:sz="4" w:space="0" w:color="auto"/>
            </w:tcBorders>
            <w:vAlign w:val="center"/>
          </w:tcPr>
          <w:p w14:paraId="563C8C8F"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B+</w:t>
            </w:r>
          </w:p>
        </w:tc>
      </w:tr>
      <w:tr w:rsidR="004719D2" w:rsidRPr="008D04FF" w14:paraId="180F449C" w14:textId="77777777" w:rsidTr="008D04FF">
        <w:trPr>
          <w:cantSplit/>
        </w:trPr>
        <w:tc>
          <w:tcPr>
            <w:tcW w:w="1216" w:type="pct"/>
            <w:tcBorders>
              <w:top w:val="single" w:sz="4" w:space="0" w:color="auto"/>
              <w:left w:val="single" w:sz="4" w:space="0" w:color="auto"/>
              <w:bottom w:val="single" w:sz="4" w:space="0" w:color="auto"/>
              <w:right w:val="single" w:sz="4" w:space="0" w:color="auto"/>
            </w:tcBorders>
            <w:hideMark/>
          </w:tcPr>
          <w:p w14:paraId="68D85C05" w14:textId="1F41DF1A" w:rsidR="004719D2" w:rsidRPr="008D04FF" w:rsidRDefault="00284C79" w:rsidP="00284C79">
            <w:pPr>
              <w:rPr>
                <w:rFonts w:ascii="Garamond" w:hAnsi="Garamond"/>
                <w:sz w:val="16"/>
                <w:szCs w:val="16"/>
              </w:rPr>
            </w:pPr>
            <w:r w:rsidRPr="008D04FF">
              <w:rPr>
                <w:rFonts w:ascii="Garamond" w:hAnsi="Garamond"/>
                <w:sz w:val="16"/>
                <w:szCs w:val="16"/>
              </w:rPr>
              <w:t xml:space="preserve">2. </w:t>
            </w:r>
            <w:r w:rsidR="004719D2" w:rsidRPr="008D04FF">
              <w:rPr>
                <w:rFonts w:ascii="Garamond" w:hAnsi="Garamond"/>
                <w:sz w:val="16"/>
                <w:szCs w:val="16"/>
              </w:rPr>
              <w:t>Treguesi SIGMA 6.7.1</w:t>
            </w:r>
            <w:r w:rsidR="008D04FF" w:rsidRPr="008D04FF">
              <w:rPr>
                <w:rFonts w:ascii="Garamond" w:hAnsi="Garamond"/>
                <w:sz w:val="16"/>
                <w:szCs w:val="16"/>
              </w:rPr>
              <w:t>,</w:t>
            </w:r>
            <w:r w:rsidR="004719D2" w:rsidRPr="008D04FF">
              <w:rPr>
                <w:rFonts w:ascii="Garamond" w:hAnsi="Garamond"/>
                <w:sz w:val="16"/>
                <w:szCs w:val="16"/>
              </w:rPr>
              <w:t xml:space="preserve"> </w:t>
            </w:r>
            <w:r w:rsidR="008D04FF" w:rsidRPr="008D04FF">
              <w:rPr>
                <w:rFonts w:ascii="Garamond" w:hAnsi="Garamond"/>
                <w:sz w:val="16"/>
                <w:szCs w:val="16"/>
              </w:rPr>
              <w:t>f</w:t>
            </w:r>
            <w:r w:rsidR="004719D2" w:rsidRPr="008D04FF">
              <w:rPr>
                <w:rFonts w:ascii="Garamond" w:hAnsi="Garamond"/>
                <w:sz w:val="16"/>
                <w:szCs w:val="16"/>
              </w:rPr>
              <w:t>unksionimi i kontrollit të brendshëm (</w:t>
            </w:r>
            <w:r w:rsidR="008D04FF" w:rsidRPr="008D04FF">
              <w:rPr>
                <w:rFonts w:ascii="Garamond" w:hAnsi="Garamond"/>
                <w:sz w:val="16"/>
                <w:szCs w:val="16"/>
              </w:rPr>
              <w:t>l</w:t>
            </w:r>
            <w:r w:rsidR="004719D2" w:rsidRPr="008D04FF">
              <w:rPr>
                <w:rFonts w:ascii="Garamond" w:hAnsi="Garamond"/>
                <w:sz w:val="16"/>
                <w:szCs w:val="16"/>
              </w:rPr>
              <w:t>idhja ndërmjet strukturave menaxheriale dhe buxhetore) (%)</w:t>
            </w:r>
          </w:p>
        </w:tc>
        <w:tc>
          <w:tcPr>
            <w:tcW w:w="355" w:type="pct"/>
            <w:tcBorders>
              <w:top w:val="single" w:sz="4" w:space="0" w:color="auto"/>
              <w:left w:val="single" w:sz="4" w:space="0" w:color="auto"/>
              <w:bottom w:val="single" w:sz="4" w:space="0" w:color="auto"/>
              <w:right w:val="single" w:sz="4" w:space="0" w:color="auto"/>
            </w:tcBorders>
            <w:vAlign w:val="center"/>
            <w:hideMark/>
          </w:tcPr>
          <w:p w14:paraId="4F4F1C6F"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0/3 </w:t>
            </w:r>
          </w:p>
          <w:p w14:paraId="2902A864"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(2021)</w:t>
            </w:r>
          </w:p>
        </w:tc>
        <w:tc>
          <w:tcPr>
            <w:tcW w:w="916" w:type="pct"/>
            <w:tcBorders>
              <w:top w:val="single" w:sz="4" w:space="0" w:color="auto"/>
              <w:left w:val="single" w:sz="4" w:space="0" w:color="auto"/>
              <w:bottom w:val="single" w:sz="4" w:space="0" w:color="auto"/>
              <w:right w:val="single" w:sz="4" w:space="0" w:color="auto"/>
            </w:tcBorders>
            <w:vAlign w:val="center"/>
          </w:tcPr>
          <w:p w14:paraId="6602C48A"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792" w:type="pct"/>
            <w:tcBorders>
              <w:top w:val="single" w:sz="4" w:space="0" w:color="auto"/>
              <w:left w:val="single" w:sz="4" w:space="0" w:color="auto"/>
              <w:bottom w:val="single" w:sz="4" w:space="0" w:color="auto"/>
              <w:right w:val="single" w:sz="4" w:space="0" w:color="auto"/>
            </w:tcBorders>
            <w:vAlign w:val="center"/>
            <w:hideMark/>
          </w:tcPr>
          <w:p w14:paraId="133AD58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c>
          <w:tcPr>
            <w:tcW w:w="844" w:type="pct"/>
            <w:tcBorders>
              <w:top w:val="single" w:sz="4" w:space="0" w:color="auto"/>
              <w:left w:val="single" w:sz="4" w:space="0" w:color="auto"/>
              <w:bottom w:val="single" w:sz="4" w:space="0" w:color="auto"/>
              <w:right w:val="single" w:sz="4" w:space="0" w:color="auto"/>
            </w:tcBorders>
            <w:vAlign w:val="center"/>
            <w:hideMark/>
          </w:tcPr>
          <w:p w14:paraId="531E450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c>
          <w:tcPr>
            <w:tcW w:w="877" w:type="pct"/>
            <w:tcBorders>
              <w:top w:val="single" w:sz="4" w:space="0" w:color="auto"/>
              <w:left w:val="single" w:sz="4" w:space="0" w:color="auto"/>
              <w:bottom w:val="single" w:sz="4" w:space="0" w:color="auto"/>
              <w:right w:val="single" w:sz="4" w:space="0" w:color="auto"/>
            </w:tcBorders>
            <w:vAlign w:val="center"/>
          </w:tcPr>
          <w:p w14:paraId="4B4B0518"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r>
      <w:tr w:rsidR="004719D2" w:rsidRPr="008D04FF" w14:paraId="13707A88" w14:textId="77777777" w:rsidTr="008D04FF">
        <w:trPr>
          <w:cantSplit/>
          <w:trHeight w:val="736"/>
        </w:trPr>
        <w:tc>
          <w:tcPr>
            <w:tcW w:w="1216" w:type="pct"/>
            <w:tcBorders>
              <w:top w:val="single" w:sz="4" w:space="0" w:color="auto"/>
              <w:left w:val="single" w:sz="4" w:space="0" w:color="auto"/>
              <w:bottom w:val="single" w:sz="4" w:space="0" w:color="auto"/>
              <w:right w:val="single" w:sz="4" w:space="0" w:color="auto"/>
            </w:tcBorders>
            <w:vAlign w:val="center"/>
            <w:hideMark/>
          </w:tcPr>
          <w:p w14:paraId="1CC7D4D0" w14:textId="4D4C0DB4" w:rsidR="004719D2" w:rsidRPr="008D04FF" w:rsidRDefault="00284C79" w:rsidP="00284C79">
            <w:pPr>
              <w:rPr>
                <w:rFonts w:ascii="Garamond" w:hAnsi="Garamond"/>
                <w:sz w:val="16"/>
                <w:szCs w:val="16"/>
              </w:rPr>
            </w:pPr>
            <w:r w:rsidRPr="008D04FF">
              <w:rPr>
                <w:rFonts w:ascii="Garamond" w:hAnsi="Garamond"/>
                <w:sz w:val="16"/>
                <w:szCs w:val="16"/>
              </w:rPr>
              <w:t xml:space="preserve">3. </w:t>
            </w:r>
            <w:r w:rsidR="004719D2" w:rsidRPr="008D04FF">
              <w:rPr>
                <w:rFonts w:ascii="Garamond" w:hAnsi="Garamond"/>
                <w:sz w:val="16"/>
                <w:szCs w:val="16"/>
              </w:rPr>
              <w:t xml:space="preserve">Treguesi SIGMA 6.2.1 – </w:t>
            </w:r>
            <w:r w:rsidR="008D04FF" w:rsidRPr="008D04FF">
              <w:rPr>
                <w:rFonts w:ascii="Garamond" w:hAnsi="Garamond"/>
                <w:sz w:val="16"/>
                <w:szCs w:val="16"/>
              </w:rPr>
              <w:t>c</w:t>
            </w:r>
            <w:r w:rsidR="004719D2" w:rsidRPr="008D04FF">
              <w:rPr>
                <w:rFonts w:ascii="Garamond" w:hAnsi="Garamond"/>
                <w:sz w:val="16"/>
                <w:szCs w:val="16"/>
              </w:rPr>
              <w:t>ilësia e procesit të buxhetit vjetor dhe besueshmëria e buxhetit (</w:t>
            </w:r>
            <w:r w:rsidR="008D04FF" w:rsidRPr="008D04FF">
              <w:rPr>
                <w:rFonts w:ascii="Garamond" w:hAnsi="Garamond"/>
                <w:sz w:val="16"/>
                <w:szCs w:val="16"/>
              </w:rPr>
              <w:t>p</w:t>
            </w:r>
            <w:r w:rsidR="004719D2" w:rsidRPr="008D04FF">
              <w:rPr>
                <w:rFonts w:ascii="Garamond" w:hAnsi="Garamond"/>
                <w:sz w:val="16"/>
                <w:szCs w:val="16"/>
              </w:rPr>
              <w:t xml:space="preserve">ërafrimi operacional ndërmjet </w:t>
            </w:r>
            <w:r w:rsidR="008D04FF" w:rsidRPr="008D04FF">
              <w:rPr>
                <w:rFonts w:ascii="Garamond" w:hAnsi="Garamond"/>
                <w:sz w:val="16"/>
                <w:szCs w:val="16"/>
              </w:rPr>
              <w:t xml:space="preserve">kuadrit buxhetor afatmesëm dhe procesit buxhetor </w:t>
            </w:r>
            <w:r w:rsidR="004719D2" w:rsidRPr="008D04FF">
              <w:rPr>
                <w:rFonts w:ascii="Garamond" w:hAnsi="Garamond"/>
                <w:sz w:val="16"/>
                <w:szCs w:val="16"/>
              </w:rPr>
              <w:t>vjetor)</w:t>
            </w:r>
          </w:p>
        </w:tc>
        <w:tc>
          <w:tcPr>
            <w:tcW w:w="355" w:type="pct"/>
            <w:tcBorders>
              <w:top w:val="single" w:sz="4" w:space="0" w:color="auto"/>
              <w:left w:val="single" w:sz="4" w:space="0" w:color="auto"/>
              <w:bottom w:val="single" w:sz="4" w:space="0" w:color="auto"/>
              <w:right w:val="single" w:sz="4" w:space="0" w:color="auto"/>
            </w:tcBorders>
            <w:vAlign w:val="center"/>
            <w:hideMark/>
          </w:tcPr>
          <w:p w14:paraId="393BF59F"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2/4 </w:t>
            </w:r>
          </w:p>
          <w:p w14:paraId="4C4AA83B"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(2021)</w:t>
            </w:r>
          </w:p>
        </w:tc>
        <w:tc>
          <w:tcPr>
            <w:tcW w:w="916" w:type="pct"/>
            <w:tcBorders>
              <w:top w:val="single" w:sz="4" w:space="0" w:color="auto"/>
              <w:left w:val="single" w:sz="4" w:space="0" w:color="auto"/>
              <w:bottom w:val="single" w:sz="4" w:space="0" w:color="auto"/>
              <w:right w:val="single" w:sz="4" w:space="0" w:color="auto"/>
            </w:tcBorders>
            <w:vAlign w:val="center"/>
          </w:tcPr>
          <w:p w14:paraId="6724C69C"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792" w:type="pct"/>
            <w:tcBorders>
              <w:top w:val="single" w:sz="4" w:space="0" w:color="auto"/>
              <w:left w:val="single" w:sz="4" w:space="0" w:color="auto"/>
              <w:bottom w:val="single" w:sz="4" w:space="0" w:color="auto"/>
              <w:right w:val="single" w:sz="4" w:space="0" w:color="auto"/>
            </w:tcBorders>
            <w:vAlign w:val="center"/>
          </w:tcPr>
          <w:p w14:paraId="08E42D16"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844" w:type="pct"/>
            <w:tcBorders>
              <w:top w:val="single" w:sz="4" w:space="0" w:color="auto"/>
              <w:left w:val="single" w:sz="4" w:space="0" w:color="auto"/>
              <w:bottom w:val="single" w:sz="4" w:space="0" w:color="auto"/>
              <w:right w:val="single" w:sz="4" w:space="0" w:color="auto"/>
            </w:tcBorders>
            <w:vAlign w:val="center"/>
            <w:hideMark/>
          </w:tcPr>
          <w:p w14:paraId="34A25360"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c>
          <w:tcPr>
            <w:tcW w:w="877" w:type="pct"/>
            <w:tcBorders>
              <w:top w:val="single" w:sz="4" w:space="0" w:color="auto"/>
              <w:left w:val="single" w:sz="4" w:space="0" w:color="auto"/>
              <w:bottom w:val="single" w:sz="4" w:space="0" w:color="auto"/>
              <w:right w:val="single" w:sz="4" w:space="0" w:color="auto"/>
            </w:tcBorders>
            <w:vAlign w:val="center"/>
            <w:hideMark/>
          </w:tcPr>
          <w:p w14:paraId="52654E0F"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r>
      <w:tr w:rsidR="004719D2" w:rsidRPr="008D04FF" w14:paraId="72CFD7A3"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hideMark/>
          </w:tcPr>
          <w:p w14:paraId="5D196828" w14:textId="6B00872C" w:rsidR="004719D2" w:rsidRPr="008D04FF" w:rsidRDefault="00284C79" w:rsidP="00284C79">
            <w:pPr>
              <w:rPr>
                <w:rFonts w:ascii="Garamond" w:hAnsi="Garamond"/>
                <w:sz w:val="16"/>
                <w:szCs w:val="16"/>
              </w:rPr>
            </w:pPr>
            <w:r w:rsidRPr="008D04FF">
              <w:rPr>
                <w:rFonts w:ascii="Garamond" w:hAnsi="Garamond"/>
                <w:sz w:val="16"/>
                <w:szCs w:val="16"/>
              </w:rPr>
              <w:t xml:space="preserve">4. </w:t>
            </w:r>
            <w:r w:rsidR="004719D2" w:rsidRPr="008D04FF">
              <w:rPr>
                <w:rFonts w:ascii="Garamond" w:hAnsi="Garamond"/>
                <w:sz w:val="16"/>
                <w:szCs w:val="16"/>
              </w:rPr>
              <w:t xml:space="preserve">Vlerësimi i </w:t>
            </w:r>
            <w:r w:rsidR="008D04FF" w:rsidRPr="008D04FF">
              <w:rPr>
                <w:rFonts w:ascii="Garamond" w:hAnsi="Garamond"/>
                <w:sz w:val="16"/>
                <w:szCs w:val="16"/>
              </w:rPr>
              <w:t>indeksit të buxhetit të hapur – pikët e pjesëmarrjes publike</w:t>
            </w:r>
          </w:p>
        </w:tc>
        <w:tc>
          <w:tcPr>
            <w:tcW w:w="355" w:type="pct"/>
            <w:tcBorders>
              <w:top w:val="single" w:sz="4" w:space="0" w:color="auto"/>
              <w:left w:val="single" w:sz="4" w:space="0" w:color="auto"/>
              <w:bottom w:val="single" w:sz="4" w:space="0" w:color="auto"/>
              <w:right w:val="single" w:sz="4" w:space="0" w:color="auto"/>
            </w:tcBorders>
            <w:vAlign w:val="center"/>
            <w:hideMark/>
          </w:tcPr>
          <w:p w14:paraId="32BD9B93"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6/100 </w:t>
            </w:r>
          </w:p>
          <w:p w14:paraId="2F063676"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(2021)</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C64217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4864887A"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49DA4"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1EB076F2"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r>
      <w:tr w:rsidR="004719D2" w:rsidRPr="008D04FF" w14:paraId="20371C72"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tcPr>
          <w:p w14:paraId="2A906B1F" w14:textId="782DCD52" w:rsidR="004719D2" w:rsidRPr="008D04FF" w:rsidRDefault="00284C79" w:rsidP="00284C79">
            <w:pPr>
              <w:rPr>
                <w:rFonts w:ascii="Garamond" w:hAnsi="Garamond"/>
                <w:sz w:val="16"/>
                <w:szCs w:val="16"/>
              </w:rPr>
            </w:pPr>
            <w:r w:rsidRPr="008D04FF">
              <w:rPr>
                <w:rFonts w:ascii="Garamond" w:hAnsi="Garamond"/>
                <w:sz w:val="16"/>
                <w:szCs w:val="16"/>
              </w:rPr>
              <w:t xml:space="preserve">5. </w:t>
            </w:r>
            <w:r w:rsidR="004719D2" w:rsidRPr="008D04FF">
              <w:rPr>
                <w:rFonts w:ascii="Garamond" w:hAnsi="Garamond"/>
                <w:sz w:val="16"/>
                <w:szCs w:val="16"/>
              </w:rPr>
              <w:t xml:space="preserve">Vlerësimi </w:t>
            </w:r>
            <w:r w:rsidR="008D04FF" w:rsidRPr="008D04FF">
              <w:rPr>
                <w:rFonts w:ascii="Garamond" w:hAnsi="Garamond"/>
                <w:sz w:val="16"/>
                <w:szCs w:val="16"/>
              </w:rPr>
              <w:t>i indeksit të buxhetit të hapur – transparenca</w:t>
            </w:r>
          </w:p>
        </w:tc>
        <w:tc>
          <w:tcPr>
            <w:tcW w:w="355" w:type="pct"/>
            <w:tcBorders>
              <w:top w:val="single" w:sz="4" w:space="0" w:color="auto"/>
              <w:left w:val="single" w:sz="4" w:space="0" w:color="auto"/>
              <w:bottom w:val="single" w:sz="4" w:space="0" w:color="auto"/>
              <w:right w:val="single" w:sz="4" w:space="0" w:color="auto"/>
            </w:tcBorders>
            <w:vAlign w:val="center"/>
          </w:tcPr>
          <w:p w14:paraId="016A551D"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52/100 </w:t>
            </w:r>
          </w:p>
          <w:p w14:paraId="674FECA2"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(2021)</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035FE6A"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26DD53E"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tcPr>
          <w:p w14:paraId="3A9A6FDC"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Trend rritës</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51C225F6"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r>
      <w:tr w:rsidR="004719D2" w:rsidRPr="008D04FF" w14:paraId="12C1C7D4"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hideMark/>
          </w:tcPr>
          <w:p w14:paraId="7D4AFF3A" w14:textId="102AC59E" w:rsidR="004719D2" w:rsidRPr="008D04FF" w:rsidRDefault="00284C79" w:rsidP="00284C79">
            <w:pPr>
              <w:rPr>
                <w:rFonts w:ascii="Garamond" w:hAnsi="Garamond"/>
                <w:sz w:val="16"/>
                <w:szCs w:val="16"/>
              </w:rPr>
            </w:pPr>
            <w:r w:rsidRPr="008D04FF">
              <w:rPr>
                <w:rFonts w:ascii="Garamond" w:hAnsi="Garamond"/>
                <w:sz w:val="16"/>
                <w:szCs w:val="16"/>
              </w:rPr>
              <w:t xml:space="preserve">6. </w:t>
            </w:r>
            <w:r w:rsidR="004719D2" w:rsidRPr="008D04FF">
              <w:rPr>
                <w:rFonts w:ascii="Garamond" w:hAnsi="Garamond"/>
                <w:sz w:val="16"/>
                <w:szCs w:val="16"/>
              </w:rPr>
              <w:t>Prezantimi i rishikimeve të shpenzimeve</w:t>
            </w:r>
          </w:p>
        </w:tc>
        <w:tc>
          <w:tcPr>
            <w:tcW w:w="355" w:type="pct"/>
            <w:tcBorders>
              <w:top w:val="single" w:sz="4" w:space="0" w:color="auto"/>
              <w:left w:val="single" w:sz="4" w:space="0" w:color="auto"/>
              <w:bottom w:val="single" w:sz="4" w:space="0" w:color="auto"/>
              <w:right w:val="single" w:sz="4" w:space="0" w:color="auto"/>
            </w:tcBorders>
            <w:vAlign w:val="center"/>
          </w:tcPr>
          <w:p w14:paraId="412E4EA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88C3CCD"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Metodologjia e përgatitur dhe rregulluar</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27056009"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Rishikimet e shpenzimeve të pilotuara</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tcPr>
          <w:p w14:paraId="144211C3" w14:textId="74237265"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Rishikimet e shpenzimeve të realizuara në 1 program/sektor</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45B02D2C" w14:textId="09D3E5FB"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Rishikimet e shpenzimeve të realizuara në 2 programe/sektor</w:t>
            </w:r>
          </w:p>
        </w:tc>
      </w:tr>
      <w:tr w:rsidR="004719D2" w:rsidRPr="008D04FF" w14:paraId="2B7FA889"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hideMark/>
          </w:tcPr>
          <w:p w14:paraId="2F1BD780" w14:textId="1374D0F5" w:rsidR="004719D2" w:rsidRPr="008D04FF" w:rsidRDefault="00284C79" w:rsidP="00284C79">
            <w:pPr>
              <w:rPr>
                <w:rFonts w:ascii="Garamond" w:hAnsi="Garamond"/>
                <w:sz w:val="16"/>
                <w:szCs w:val="16"/>
              </w:rPr>
            </w:pPr>
            <w:r w:rsidRPr="008D04FF">
              <w:rPr>
                <w:rFonts w:ascii="Garamond" w:hAnsi="Garamond"/>
                <w:sz w:val="16"/>
                <w:szCs w:val="16"/>
              </w:rPr>
              <w:t xml:space="preserve">7. </w:t>
            </w:r>
            <w:r w:rsidR="004719D2" w:rsidRPr="008D04FF">
              <w:rPr>
                <w:rFonts w:ascii="Garamond" w:hAnsi="Garamond"/>
                <w:sz w:val="16"/>
                <w:szCs w:val="16"/>
              </w:rPr>
              <w:t>Prezantimi i analizës së hendekut gjinor si pjesë e BPGJ-së</w:t>
            </w:r>
          </w:p>
        </w:tc>
        <w:tc>
          <w:tcPr>
            <w:tcW w:w="355" w:type="pct"/>
            <w:tcBorders>
              <w:top w:val="single" w:sz="4" w:space="0" w:color="auto"/>
              <w:left w:val="single" w:sz="4" w:space="0" w:color="auto"/>
              <w:bottom w:val="single" w:sz="4" w:space="0" w:color="auto"/>
              <w:right w:val="single" w:sz="4" w:space="0" w:color="auto"/>
            </w:tcBorders>
            <w:vAlign w:val="center"/>
          </w:tcPr>
          <w:p w14:paraId="5A2707EA"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667819D"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Metodologjia e analizës së hendekut gjinor e përgatitur dhe e rregulluar</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6BE42333"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Pilotimi i analizës së hendekut gjinor</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tcPr>
          <w:p w14:paraId="2A273A17"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Përhapja e analizës së hendekut gjinor </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3DEC40D3"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Mirëmbajtja e analizës së hendekut gjinor </w:t>
            </w:r>
          </w:p>
        </w:tc>
      </w:tr>
      <w:tr w:rsidR="004719D2" w:rsidRPr="008D04FF" w14:paraId="4E4E511F"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hideMark/>
          </w:tcPr>
          <w:p w14:paraId="5B7146FE" w14:textId="172F74EB" w:rsidR="004719D2" w:rsidRPr="008D04FF" w:rsidRDefault="00284C79" w:rsidP="00284C79">
            <w:pPr>
              <w:rPr>
                <w:rFonts w:ascii="Garamond" w:hAnsi="Garamond"/>
                <w:sz w:val="16"/>
                <w:szCs w:val="16"/>
              </w:rPr>
            </w:pPr>
            <w:r w:rsidRPr="008D04FF">
              <w:rPr>
                <w:rFonts w:ascii="Garamond" w:hAnsi="Garamond"/>
                <w:sz w:val="16"/>
                <w:szCs w:val="16"/>
              </w:rPr>
              <w:t xml:space="preserve">8. </w:t>
            </w:r>
            <w:r w:rsidR="004719D2" w:rsidRPr="008D04FF">
              <w:rPr>
                <w:rFonts w:ascii="Garamond" w:hAnsi="Garamond"/>
                <w:sz w:val="16"/>
                <w:szCs w:val="16"/>
              </w:rPr>
              <w:t>Prezantimi i buxhetimit të gjelbërt të përgjigjshëm ndaj ndryshimeve klimatike</w:t>
            </w:r>
          </w:p>
        </w:tc>
        <w:tc>
          <w:tcPr>
            <w:tcW w:w="355" w:type="pct"/>
            <w:tcBorders>
              <w:top w:val="single" w:sz="4" w:space="0" w:color="auto"/>
              <w:left w:val="single" w:sz="4" w:space="0" w:color="auto"/>
              <w:bottom w:val="single" w:sz="4" w:space="0" w:color="auto"/>
              <w:right w:val="single" w:sz="4" w:space="0" w:color="auto"/>
            </w:tcBorders>
            <w:vAlign w:val="center"/>
          </w:tcPr>
          <w:p w14:paraId="23BD5318"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1298AE0"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Metodologjia për Buxhetimin e Përgjigjshëm ndaj ndryshimeve klimatike është përgatitur dhe rregulluar</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21C16DF9"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Pilotimi i Buxhetimit të Përgjigjshëm ndaj Ndryshimeve Klimatike</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tcPr>
          <w:p w14:paraId="14A49E96"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Pilotimi i Buxhetimit të Përgjigjshëm ndaj Ndryshimeve Klimatike</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0A648BA8" w14:textId="77777777" w:rsidR="004719D2" w:rsidRPr="008D04FF" w:rsidRDefault="004719D2" w:rsidP="00284C79">
            <w:pPr>
              <w:pStyle w:val="EcorysBody"/>
              <w:spacing w:line="240" w:lineRule="auto"/>
              <w:jc w:val="center"/>
              <w:rPr>
                <w:rFonts w:ascii="Garamond" w:hAnsi="Garamond" w:cs="Arial"/>
                <w:color w:val="000000" w:themeColor="text1"/>
                <w:sz w:val="16"/>
                <w:szCs w:val="16"/>
              </w:rPr>
            </w:pPr>
            <w:r w:rsidRPr="008D04FF">
              <w:rPr>
                <w:rFonts w:ascii="Garamond" w:hAnsi="Garamond" w:cs="Arial"/>
                <w:color w:val="000000" w:themeColor="text1"/>
                <w:sz w:val="16"/>
                <w:szCs w:val="16"/>
              </w:rPr>
              <w:t xml:space="preserve">Përhapja e Buxhetimit të Përgjigjshëm ndaj Ndryshimeve Klimatike </w:t>
            </w:r>
          </w:p>
        </w:tc>
      </w:tr>
      <w:tr w:rsidR="004719D2" w:rsidRPr="008D04FF" w14:paraId="2B5EB999" w14:textId="77777777" w:rsidTr="008D04FF">
        <w:trPr>
          <w:cantSplit/>
        </w:trPr>
        <w:tc>
          <w:tcPr>
            <w:tcW w:w="1216" w:type="pct"/>
            <w:tcBorders>
              <w:top w:val="single" w:sz="4" w:space="0" w:color="auto"/>
              <w:left w:val="single" w:sz="4" w:space="0" w:color="auto"/>
              <w:bottom w:val="single" w:sz="4" w:space="0" w:color="auto"/>
              <w:right w:val="single" w:sz="4" w:space="0" w:color="auto"/>
            </w:tcBorders>
            <w:vAlign w:val="center"/>
          </w:tcPr>
          <w:p w14:paraId="2D8AE8BB" w14:textId="36F498CD" w:rsidR="004719D2" w:rsidRPr="008D04FF" w:rsidRDefault="00FA4D0A" w:rsidP="00284C79">
            <w:pPr>
              <w:pStyle w:val="TEKSTIII"/>
              <w:ind w:firstLine="0"/>
              <w:rPr>
                <w:sz w:val="16"/>
                <w:szCs w:val="16"/>
              </w:rPr>
            </w:pPr>
            <w:r>
              <w:rPr>
                <w:sz w:val="16"/>
                <w:szCs w:val="16"/>
              </w:rPr>
              <w:t xml:space="preserve">9. </w:t>
            </w:r>
            <w:r w:rsidR="004719D2" w:rsidRPr="008D04FF">
              <w:rPr>
                <w:sz w:val="16"/>
                <w:szCs w:val="16"/>
              </w:rPr>
              <w:t>Miratimi i DPP-së së bashku me Listën Unike të Projekteve me Rëndësi Kombëtare</w:t>
            </w:r>
          </w:p>
        </w:tc>
        <w:tc>
          <w:tcPr>
            <w:tcW w:w="355" w:type="pct"/>
            <w:tcBorders>
              <w:top w:val="single" w:sz="4" w:space="0" w:color="auto"/>
              <w:left w:val="single" w:sz="4" w:space="0" w:color="auto"/>
              <w:bottom w:val="single" w:sz="4" w:space="0" w:color="auto"/>
              <w:right w:val="single" w:sz="4" w:space="0" w:color="auto"/>
            </w:tcBorders>
            <w:vAlign w:val="center"/>
          </w:tcPr>
          <w:p w14:paraId="450F18F0" w14:textId="77777777" w:rsidR="004719D2" w:rsidRPr="008D04FF" w:rsidRDefault="004719D2" w:rsidP="00284C79">
            <w:pPr>
              <w:pStyle w:val="TEKSTIII"/>
              <w:ind w:firstLine="0"/>
              <w:rPr>
                <w:rFonts w:cs="Arial"/>
                <w:sz w:val="16"/>
                <w:szCs w:val="16"/>
              </w:rPr>
            </w:pPr>
            <w:r w:rsidRPr="008D04FF">
              <w:rPr>
                <w:rFonts w:cs="Arial"/>
                <w:sz w:val="16"/>
                <w:szCs w:val="16"/>
              </w:rPr>
              <w:t>(2022)</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F3C8235" w14:textId="63F18CD6" w:rsidR="004719D2" w:rsidRPr="008D04FF" w:rsidRDefault="004719D2" w:rsidP="00284C79">
            <w:pPr>
              <w:pStyle w:val="TEKSTIII"/>
              <w:ind w:firstLine="0"/>
              <w:rPr>
                <w:rFonts w:cs="Arial"/>
                <w:sz w:val="16"/>
                <w:szCs w:val="16"/>
              </w:rPr>
            </w:pPr>
            <w:r w:rsidRPr="008D04FF">
              <w:rPr>
                <w:rFonts w:cs="Arial"/>
                <w:sz w:val="16"/>
                <w:szCs w:val="16"/>
              </w:rPr>
              <w:t xml:space="preserve">Bashkëpunimi me </w:t>
            </w:r>
            <w:r w:rsidR="008D04FF" w:rsidRPr="008D04FF">
              <w:rPr>
                <w:rFonts w:cs="Arial"/>
                <w:sz w:val="16"/>
                <w:szCs w:val="16"/>
              </w:rPr>
              <w:t xml:space="preserve">ministritë e linjës </w:t>
            </w:r>
            <w:r w:rsidRPr="008D04FF">
              <w:rPr>
                <w:rFonts w:cs="Arial"/>
                <w:sz w:val="16"/>
                <w:szCs w:val="16"/>
              </w:rPr>
              <w:t>dhe miratimi me VKM çdo fillim viti</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7F5C0EFB" w14:textId="24967AF0" w:rsidR="004719D2" w:rsidRPr="008D04FF" w:rsidRDefault="004719D2" w:rsidP="00284C79">
            <w:pPr>
              <w:pStyle w:val="TEKSTIII"/>
              <w:ind w:firstLine="0"/>
              <w:rPr>
                <w:rFonts w:cs="Arial"/>
                <w:sz w:val="16"/>
                <w:szCs w:val="16"/>
              </w:rPr>
            </w:pPr>
            <w:r w:rsidRPr="008D04FF">
              <w:rPr>
                <w:rFonts w:cs="Arial"/>
                <w:sz w:val="16"/>
                <w:szCs w:val="16"/>
              </w:rPr>
              <w:t xml:space="preserve">Bashkëpunimi me </w:t>
            </w:r>
            <w:r w:rsidR="008D04FF" w:rsidRPr="008D04FF">
              <w:rPr>
                <w:rFonts w:cs="Arial"/>
                <w:sz w:val="16"/>
                <w:szCs w:val="16"/>
              </w:rPr>
              <w:t xml:space="preserve">ministritë e linjës </w:t>
            </w:r>
            <w:r w:rsidRPr="008D04FF">
              <w:rPr>
                <w:rFonts w:cs="Arial"/>
                <w:sz w:val="16"/>
                <w:szCs w:val="16"/>
              </w:rPr>
              <w:t>dhe miratimi me VKM çdo fillim viti</w:t>
            </w:r>
          </w:p>
        </w:tc>
        <w:tc>
          <w:tcPr>
            <w:tcW w:w="844" w:type="pct"/>
            <w:tcBorders>
              <w:top w:val="single" w:sz="4" w:space="0" w:color="auto"/>
              <w:left w:val="single" w:sz="4" w:space="0" w:color="auto"/>
              <w:bottom w:val="single" w:sz="4" w:space="0" w:color="auto"/>
              <w:right w:val="single" w:sz="4" w:space="0" w:color="auto"/>
            </w:tcBorders>
            <w:shd w:val="clear" w:color="auto" w:fill="auto"/>
            <w:vAlign w:val="center"/>
          </w:tcPr>
          <w:p w14:paraId="09B7AA66" w14:textId="19073E46" w:rsidR="004719D2" w:rsidRPr="008D04FF" w:rsidRDefault="004719D2" w:rsidP="00284C79">
            <w:pPr>
              <w:pStyle w:val="TEKSTIII"/>
              <w:ind w:firstLine="0"/>
              <w:rPr>
                <w:rFonts w:cs="Arial"/>
                <w:sz w:val="16"/>
                <w:szCs w:val="16"/>
              </w:rPr>
            </w:pPr>
            <w:r w:rsidRPr="008D04FF">
              <w:rPr>
                <w:rFonts w:cs="Arial"/>
                <w:sz w:val="16"/>
                <w:szCs w:val="16"/>
              </w:rPr>
              <w:t xml:space="preserve">Bashkëpunimi me </w:t>
            </w:r>
            <w:r w:rsidR="008D04FF" w:rsidRPr="008D04FF">
              <w:rPr>
                <w:rFonts w:cs="Arial"/>
                <w:sz w:val="16"/>
                <w:szCs w:val="16"/>
              </w:rPr>
              <w:t>ministritë e l</w:t>
            </w:r>
            <w:r w:rsidRPr="008D04FF">
              <w:rPr>
                <w:rFonts w:cs="Arial"/>
                <w:sz w:val="16"/>
                <w:szCs w:val="16"/>
              </w:rPr>
              <w:t>injës dhe miratimi me VKM çdo fillim viti</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6610BE3B" w14:textId="1E856638" w:rsidR="004719D2" w:rsidRPr="008D04FF" w:rsidRDefault="004719D2" w:rsidP="00284C79">
            <w:pPr>
              <w:pStyle w:val="TEKSTIII"/>
              <w:ind w:firstLine="0"/>
              <w:rPr>
                <w:rFonts w:cs="Arial"/>
                <w:sz w:val="16"/>
                <w:szCs w:val="16"/>
              </w:rPr>
            </w:pPr>
            <w:r w:rsidRPr="008D04FF">
              <w:rPr>
                <w:rFonts w:cs="Arial"/>
                <w:sz w:val="16"/>
                <w:szCs w:val="16"/>
              </w:rPr>
              <w:t xml:space="preserve">Bashkëpunimi me </w:t>
            </w:r>
            <w:r w:rsidR="008D04FF" w:rsidRPr="008D04FF">
              <w:rPr>
                <w:rFonts w:cs="Arial"/>
                <w:sz w:val="16"/>
                <w:szCs w:val="16"/>
              </w:rPr>
              <w:t xml:space="preserve">ministritë e linjës </w:t>
            </w:r>
            <w:r w:rsidRPr="008D04FF">
              <w:rPr>
                <w:rFonts w:cs="Arial"/>
                <w:sz w:val="16"/>
                <w:szCs w:val="16"/>
              </w:rPr>
              <w:t>dhe miratimi me VKM çdo fillim viti</w:t>
            </w:r>
          </w:p>
        </w:tc>
      </w:tr>
    </w:tbl>
    <w:p w14:paraId="6C02E617" w14:textId="77777777" w:rsidR="004719D2" w:rsidRPr="004A47DC" w:rsidRDefault="004719D2" w:rsidP="003A2ACF">
      <w:pPr>
        <w:pStyle w:val="TEKSTIII"/>
        <w:rPr>
          <w:rStyle w:val="IntenseReference"/>
          <w:rFonts w:ascii="Garamond" w:eastAsiaTheme="majorEastAsia" w:hAnsi="Garamond" w:cstheme="majorBidi"/>
          <w:i w:val="0"/>
          <w:iCs/>
          <w:color w:val="000000" w:themeColor="text1"/>
          <w:sz w:val="24"/>
          <w:szCs w:val="24"/>
        </w:rPr>
      </w:pPr>
    </w:p>
    <w:p w14:paraId="6B253640" w14:textId="0B652A88" w:rsidR="004719D2" w:rsidRPr="004A47DC" w:rsidRDefault="003A2ACF" w:rsidP="003A2ACF">
      <w:pPr>
        <w:pStyle w:val="TEKSTIII"/>
        <w:rPr>
          <w:rStyle w:val="IntenseReference"/>
          <w:rFonts w:ascii="Garamond" w:hAnsi="Garamond"/>
          <w:b/>
          <w:i w:val="0"/>
          <w:iCs/>
          <w:color w:val="000000" w:themeColor="text1"/>
          <w:sz w:val="24"/>
          <w:szCs w:val="24"/>
        </w:rPr>
      </w:pPr>
      <w:bookmarkStart w:id="11" w:name="_Toc168918680"/>
      <w:r w:rsidRPr="004A47DC">
        <w:rPr>
          <w:rStyle w:val="IntenseReference"/>
          <w:rFonts w:ascii="Garamond" w:hAnsi="Garamond"/>
          <w:b/>
          <w:i w:val="0"/>
          <w:color w:val="000000" w:themeColor="text1"/>
          <w:sz w:val="24"/>
          <w:szCs w:val="24"/>
        </w:rPr>
        <w:t xml:space="preserve">3.4 </w:t>
      </w:r>
      <w:r w:rsidR="004719D2" w:rsidRPr="004A47DC">
        <w:rPr>
          <w:rStyle w:val="IntenseReference"/>
          <w:rFonts w:ascii="Garamond" w:hAnsi="Garamond"/>
          <w:b/>
          <w:i w:val="0"/>
          <w:color w:val="000000" w:themeColor="text1"/>
          <w:sz w:val="24"/>
          <w:szCs w:val="24"/>
        </w:rPr>
        <w:t>Komponenti 2.3</w:t>
      </w:r>
      <w:r w:rsidR="00190EFD" w:rsidRPr="004A47DC">
        <w:rPr>
          <w:rStyle w:val="IntenseReference"/>
          <w:rFonts w:ascii="Garamond" w:hAnsi="Garamond"/>
          <w:b/>
          <w:i w:val="0"/>
          <w:color w:val="000000" w:themeColor="text1"/>
          <w:sz w:val="24"/>
          <w:szCs w:val="24"/>
        </w:rPr>
        <w:t>:</w:t>
      </w:r>
      <w:r w:rsidR="004719D2" w:rsidRPr="004A47DC">
        <w:rPr>
          <w:rStyle w:val="IntenseReference"/>
          <w:rFonts w:ascii="Garamond" w:hAnsi="Garamond"/>
          <w:b/>
          <w:i w:val="0"/>
          <w:color w:val="000000" w:themeColor="text1"/>
          <w:sz w:val="24"/>
          <w:szCs w:val="24"/>
        </w:rPr>
        <w:t xml:space="preserve"> Menaxhimi i </w:t>
      </w:r>
      <w:r w:rsidR="00F81BE4" w:rsidRPr="004A47DC">
        <w:rPr>
          <w:rStyle w:val="IntenseReference"/>
          <w:rFonts w:ascii="Garamond" w:hAnsi="Garamond"/>
          <w:b/>
          <w:i w:val="0"/>
          <w:color w:val="000000" w:themeColor="text1"/>
          <w:sz w:val="24"/>
          <w:szCs w:val="24"/>
        </w:rPr>
        <w:t>investimeve publike</w:t>
      </w:r>
      <w:bookmarkEnd w:id="11"/>
    </w:p>
    <w:p w14:paraId="2E99230F" w14:textId="77777777" w:rsidR="004719D2" w:rsidRPr="004A47DC" w:rsidRDefault="004719D2" w:rsidP="003A2ACF">
      <w:pPr>
        <w:pStyle w:val="TEKSTIII"/>
        <w:rPr>
          <w:b/>
        </w:rPr>
      </w:pPr>
      <w:r w:rsidRPr="004A47DC">
        <w:rPr>
          <w:b/>
        </w:rPr>
        <w:t>Objektivi</w:t>
      </w:r>
    </w:p>
    <w:p w14:paraId="43E2D29C" w14:textId="75315848" w:rsidR="004719D2" w:rsidRPr="004A47DC" w:rsidRDefault="004719D2" w:rsidP="003A2ACF">
      <w:pPr>
        <w:pStyle w:val="TEKSTIII"/>
      </w:pPr>
      <w:r w:rsidRPr="004A47DC">
        <w:t>Synimi për vitin 2030 është krijimi i një sistemi të shëndoshë për menaxhimin e investimeve publike bazuar në praktikat e mira ndërkombëtare, i cili përfshin Listën Unike të Projekteve, praktika për vlerësimin dhe përzgjedhjen e projekteve të bazuara në merita, raportim transparent për përzgjedhjen, ekzekutimin dhe vlerësimin e projekteve të investimeve publike.</w:t>
      </w:r>
      <w:r w:rsidR="00B2411C" w:rsidRPr="004A47DC">
        <w:t xml:space="preserve"> </w:t>
      </w:r>
    </w:p>
    <w:p w14:paraId="4A6D8B96" w14:textId="77777777" w:rsidR="004719D2" w:rsidRPr="004A47DC" w:rsidRDefault="004719D2" w:rsidP="003A2ACF">
      <w:pPr>
        <w:pStyle w:val="TEKSTIII"/>
        <w:rPr>
          <w:b/>
        </w:rPr>
      </w:pPr>
      <w:r w:rsidRPr="004A47DC">
        <w:rPr>
          <w:b/>
        </w:rPr>
        <w:t>Konteksti</w:t>
      </w:r>
    </w:p>
    <w:p w14:paraId="6790D354" w14:textId="4462D8C7" w:rsidR="004719D2" w:rsidRPr="004A47DC" w:rsidRDefault="004719D2" w:rsidP="003A2ACF">
      <w:pPr>
        <w:pStyle w:val="TEKSTIII"/>
      </w:pPr>
      <w:r w:rsidRPr="004A47DC">
        <w:t>Planifikimi dhe monitorimi i projekteve të Investimeve Publike zbatohet nga MF-ja, SASPAC</w:t>
      </w:r>
      <w:r w:rsidR="006A1991">
        <w:t>-u</w:t>
      </w:r>
      <w:r w:rsidRPr="004A47DC">
        <w:t xml:space="preserve"> dhe </w:t>
      </w:r>
      <w:r w:rsidR="006A1991" w:rsidRPr="004A47DC">
        <w:t>institucionet buxhetore</w:t>
      </w:r>
      <w:r w:rsidRPr="004A47DC">
        <w:t>.</w:t>
      </w:r>
      <w:r w:rsidRPr="004A47DC">
        <w:rPr>
          <w:rStyle w:val="FootnoteReference"/>
          <w:rFonts w:ascii="Garamond" w:hAnsi="Garamond"/>
          <w:color w:val="000000" w:themeColor="text1"/>
          <w:sz w:val="24"/>
          <w:szCs w:val="24"/>
        </w:rPr>
        <w:footnoteReference w:id="20"/>
      </w:r>
      <w:r w:rsidRPr="004A47DC">
        <w:t xml:space="preserve"> Pas vlerësimit të Menaxhimit të Investimeve Publike (PIMA) të vitit 2016, një sërë reformash kanë filluar dhe janë finalizuar së fundmi. Këtu përfshihet prezantimi dhe miratimi me VKM i Listës Unike të Projekteve me Rëndësi Kombëtare, përgatitur nga SASPAC</w:t>
      </w:r>
      <w:r w:rsidR="006A1991">
        <w:t>-u</w:t>
      </w:r>
      <w:r w:rsidRPr="004A47DC">
        <w:rPr>
          <w:rStyle w:val="FootnoteReference"/>
          <w:rFonts w:ascii="Garamond" w:hAnsi="Garamond"/>
          <w:color w:val="000000" w:themeColor="text1"/>
          <w:sz w:val="24"/>
          <w:szCs w:val="24"/>
        </w:rPr>
        <w:footnoteReference w:id="21"/>
      </w:r>
      <w:r w:rsidRPr="004A47DC">
        <w:t xml:space="preserve">, një kërkesë për një </w:t>
      </w:r>
      <w:r w:rsidR="006A1991" w:rsidRPr="004A47DC">
        <w:t xml:space="preserve">studim fizibiliteti </w:t>
      </w:r>
      <w:r w:rsidRPr="004A47DC">
        <w:t>për projektet që tejkalojnë pragun financiar që është përcaktuar për secilin sektor dhe një kërkesë për një plan ekzekutimi të projektit me një normë minimale të zbatimit financiar</w:t>
      </w:r>
      <w:r w:rsidR="006A1991">
        <w:t>,</w:t>
      </w:r>
      <w:r w:rsidRPr="004A47DC">
        <w:rPr>
          <w:rStyle w:val="FootnoteReference"/>
          <w:rFonts w:ascii="Garamond" w:hAnsi="Garamond"/>
          <w:color w:val="000000" w:themeColor="text1"/>
          <w:sz w:val="24"/>
          <w:szCs w:val="24"/>
        </w:rPr>
        <w:footnoteReference w:id="22"/>
      </w:r>
      <w:r w:rsidRPr="004A47DC">
        <w:t xml:space="preserve"> me synimin për të reduktuar borxhet e mundshme dhe për të përshpejtuar zbatimin e projektit. Këto ndryshime po pasqyrohen në akte nënligjore.</w:t>
      </w:r>
      <w:r w:rsidRPr="004A47DC">
        <w:rPr>
          <w:rStyle w:val="FootnoteReference"/>
          <w:rFonts w:ascii="Garamond" w:hAnsi="Garamond"/>
          <w:color w:val="000000" w:themeColor="text1"/>
          <w:sz w:val="24"/>
          <w:szCs w:val="24"/>
        </w:rPr>
        <w:footnoteReference w:id="23"/>
      </w:r>
      <w:r w:rsidRPr="004A47DC">
        <w:t xml:space="preserve"> Në lidhje me këto reforma janë zbatuar disa aktivitete trajnimi. SIMFSH-ja ka një modul të dedikuar për MIP-në, i cili përdoret për planifikimin e pjesës së buxhetit kapital të PBA-së dhe gjithashtu për raportimin e ekzekutimit të buxhetit kapital. Për një periudhë afatshkurtër, fokusi kryesor i MF-së është vënia plotësisht në funksion e reformave të fundit, të cilat kërkojnë trajnim shtesë të stafit të angazhuar në MIP</w:t>
      </w:r>
      <w:r w:rsidR="006A1991">
        <w:t>,</w:t>
      </w:r>
      <w:r w:rsidRPr="004A47DC">
        <w:t xml:space="preserve"> në të gjithë shërbimin civil dhe disa përshtatje të SIMFSH-së.</w:t>
      </w:r>
    </w:p>
    <w:p w14:paraId="3A08358D" w14:textId="0893CBE1" w:rsidR="004719D2" w:rsidRPr="004A47DC" w:rsidRDefault="004719D2" w:rsidP="003A2ACF">
      <w:pPr>
        <w:pStyle w:val="TEKSTIII"/>
      </w:pPr>
      <w:r w:rsidRPr="004A47DC">
        <w:t xml:space="preserve">Për periudhën afatmesme dhe afatgjatë, konsiderohen reformat e mëtejshme për të adresuar mangësitë në sistemin e MIP-së dhe për të parandaluar shpenzimet e panevojshme. Këto përfshijnë përpunimin e mëtejshëm të Listës Unike të Projekteve me Rëndësi Kombëtare, duke përmirësuar metodologjinë e vlerësimit dhe përzgjedhjes së projekteve, forcimin e rolit </w:t>
      </w:r>
      <w:r w:rsidRPr="006A1991">
        <w:rPr>
          <w:i/>
        </w:rPr>
        <w:t>gatekeeper</w:t>
      </w:r>
      <w:r w:rsidR="006A1991">
        <w:t>-it</w:t>
      </w:r>
      <w:r w:rsidRPr="004A47DC">
        <w:t xml:space="preserve"> të MF-së (shqyrtimi i pavarur i propozimeve të projektit).</w:t>
      </w:r>
    </w:p>
    <w:p w14:paraId="2C2AC443" w14:textId="77777777" w:rsidR="004719D2" w:rsidRPr="004A47DC" w:rsidRDefault="004719D2" w:rsidP="003A2ACF">
      <w:pPr>
        <w:pStyle w:val="TEKSTIII"/>
        <w:rPr>
          <w:b/>
        </w:rPr>
      </w:pPr>
      <w:r w:rsidRPr="004A47DC">
        <w:rPr>
          <w:b/>
        </w:rPr>
        <w:t>Prioritetet</w:t>
      </w:r>
    </w:p>
    <w:p w14:paraId="7FB80A17" w14:textId="3809750E" w:rsidR="004719D2" w:rsidRPr="004A47DC" w:rsidRDefault="004719D2" w:rsidP="003A2ACF">
      <w:pPr>
        <w:pStyle w:val="TEKSTIII"/>
      </w:pPr>
      <w:r w:rsidRPr="004A47DC">
        <w:t xml:space="preserve">Prioritetet për periudhën </w:t>
      </w:r>
      <w:r w:rsidR="00DB1D7E" w:rsidRPr="004A47DC">
        <w:t>2023–2026</w:t>
      </w:r>
      <w:r w:rsidRPr="004A47DC">
        <w:t xml:space="preserve"> janë:</w:t>
      </w:r>
    </w:p>
    <w:p w14:paraId="526806B2" w14:textId="2C58B62E" w:rsidR="004719D2" w:rsidRPr="004A47DC" w:rsidRDefault="00980BB0" w:rsidP="003A2ACF">
      <w:pPr>
        <w:pStyle w:val="TEKSTIII"/>
      </w:pPr>
      <w:r w:rsidRPr="004A47DC">
        <w:t xml:space="preserve">- </w:t>
      </w:r>
      <w:r w:rsidR="004719D2" w:rsidRPr="004A47DC">
        <w:t>Operacionalizimi i procedurave të përmirësuara për menaxhimin e investimeve publike</w:t>
      </w:r>
      <w:r w:rsidR="006A1991">
        <w:t>;</w:t>
      </w:r>
    </w:p>
    <w:p w14:paraId="7BD5BBB1" w14:textId="6251D2E2" w:rsidR="004719D2" w:rsidRPr="004A47DC" w:rsidRDefault="00980BB0" w:rsidP="003A2ACF">
      <w:pPr>
        <w:pStyle w:val="TEKSTIII"/>
      </w:pPr>
      <w:r w:rsidRPr="004A47DC">
        <w:t xml:space="preserve">- </w:t>
      </w:r>
      <w:r w:rsidR="004719D2" w:rsidRPr="004A47DC">
        <w:t xml:space="preserve">Përpunimi dhe vënia në funksion e Listës Unike të Projekteve me Rëndësi Kombëtare, si dhe forcimi i rolit të MF-së si </w:t>
      </w:r>
      <w:r w:rsidR="004719D2" w:rsidRPr="006A1991">
        <w:rPr>
          <w:i/>
        </w:rPr>
        <w:t>gatekeeper</w:t>
      </w:r>
      <w:r w:rsidR="004719D2" w:rsidRPr="004A47DC">
        <w:t>, duke përfshirë krijimin e praktikave të shëndosha për identifikimin, përgatitjen, vlerësimin objektiv të projekteve në raport me objektivat strategjikë, rishikimin e pavarur të tyre dhe përzgjedhjen e projekteve të investimeve publike.</w:t>
      </w:r>
    </w:p>
    <w:p w14:paraId="518E7E1E" w14:textId="77777777" w:rsidR="004719D2" w:rsidRPr="004A47DC" w:rsidRDefault="004719D2" w:rsidP="004719D2">
      <w:pPr>
        <w:rPr>
          <w:rFonts w:ascii="Garamond" w:hAnsi="Garamond"/>
          <w:color w:val="000000" w:themeColor="text1"/>
        </w:rPr>
      </w:pPr>
    </w:p>
    <w:p w14:paraId="628938D0" w14:textId="77777777" w:rsidR="004719D2" w:rsidRPr="006A1991" w:rsidRDefault="004719D2" w:rsidP="004719D2">
      <w:pPr>
        <w:pStyle w:val="H5"/>
        <w:spacing w:after="0" w:line="240" w:lineRule="auto"/>
        <w:rPr>
          <w:rFonts w:ascii="Garamond" w:hAnsi="Garamond"/>
          <w:color w:val="000000" w:themeColor="text1"/>
          <w:sz w:val="24"/>
          <w:szCs w:val="24"/>
        </w:rPr>
      </w:pPr>
      <w:r w:rsidRPr="006A1991">
        <w:rPr>
          <w:rFonts w:ascii="Garamond" w:hAnsi="Garamond"/>
          <w:color w:val="000000" w:themeColor="text1"/>
          <w:sz w:val="24"/>
          <w:szCs w:val="24"/>
        </w:rPr>
        <w:t>Masat dhe aktivitetet</w:t>
      </w: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2087"/>
        <w:gridCol w:w="4110"/>
        <w:gridCol w:w="575"/>
        <w:gridCol w:w="706"/>
        <w:gridCol w:w="1583"/>
      </w:tblGrid>
      <w:tr w:rsidR="004719D2" w:rsidRPr="004A47DC" w14:paraId="1896CE75" w14:textId="77777777" w:rsidTr="00D65061">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555D54"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EA2A37"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6283DC" w14:textId="58D867A0"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693669"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59296C" w14:textId="4DB01D36"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 xml:space="preserve">Grupet e </w:t>
            </w:r>
            <w:r w:rsidR="00D65061" w:rsidRPr="004A47DC">
              <w:rPr>
                <w:rFonts w:ascii="Garamond" w:hAnsi="Garamond"/>
                <w:color w:val="000000" w:themeColor="text1"/>
              </w:rPr>
              <w:t>i</w:t>
            </w:r>
            <w:r w:rsidRPr="004A47DC">
              <w:rPr>
                <w:rFonts w:ascii="Garamond" w:hAnsi="Garamond"/>
                <w:color w:val="000000" w:themeColor="text1"/>
              </w:rPr>
              <w:t>nteresit</w:t>
            </w:r>
          </w:p>
        </w:tc>
      </w:tr>
      <w:tr w:rsidR="004719D2" w:rsidRPr="004A47DC" w14:paraId="706DAEE0" w14:textId="77777777" w:rsidTr="00D65061">
        <w:trPr>
          <w:trHeight w:val="20"/>
        </w:trPr>
        <w:tc>
          <w:tcPr>
            <w:tcW w:w="0" w:type="auto"/>
            <w:vMerge w:val="restart"/>
            <w:tcBorders>
              <w:top w:val="single" w:sz="4" w:space="0" w:color="auto"/>
              <w:left w:val="single" w:sz="4" w:space="0" w:color="auto"/>
              <w:right w:val="single" w:sz="4" w:space="0" w:color="auto"/>
            </w:tcBorders>
          </w:tcPr>
          <w:p w14:paraId="6C7B1726"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2.3.1 Operacionalizimi i procedurave për përmirësimin e menaxhimit të investimeve publike</w:t>
            </w:r>
          </w:p>
        </w:tc>
        <w:tc>
          <w:tcPr>
            <w:tcW w:w="0" w:type="auto"/>
            <w:tcBorders>
              <w:top w:val="single" w:sz="4" w:space="0" w:color="auto"/>
              <w:left w:val="single" w:sz="4" w:space="0" w:color="auto"/>
              <w:right w:val="single" w:sz="4" w:space="0" w:color="auto"/>
            </w:tcBorders>
            <w:vAlign w:val="center"/>
          </w:tcPr>
          <w:p w14:paraId="68FB847A" w14:textId="0FCD3D95" w:rsidR="004719D2" w:rsidRPr="004A47DC" w:rsidRDefault="00521846" w:rsidP="00521846">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Përmirësimi i modulit MIP të SIMFSH-së për të pasqyruar ndryshimet në procedurat e reja MIP</w:t>
            </w:r>
            <w:r w:rsidR="006A1991">
              <w:rPr>
                <w:rFonts w:ascii="Garamond" w:hAnsi="Garamond"/>
                <w:sz w:val="16"/>
                <w:szCs w:val="16"/>
              </w:rPr>
              <w:t xml:space="preserve"> </w:t>
            </w:r>
            <w:r w:rsidR="004719D2" w:rsidRPr="004A47DC">
              <w:rPr>
                <w:rFonts w:ascii="Garamond" w:hAnsi="Garamond"/>
                <w:sz w:val="16"/>
                <w:szCs w:val="16"/>
              </w:rPr>
              <w:t xml:space="preserve">(VKM </w:t>
            </w:r>
            <w:r w:rsidR="006A1991">
              <w:rPr>
                <w:rFonts w:ascii="Garamond" w:hAnsi="Garamond"/>
                <w:sz w:val="16"/>
                <w:szCs w:val="16"/>
              </w:rPr>
              <w:t xml:space="preserve">nr. </w:t>
            </w:r>
            <w:r w:rsidR="004719D2" w:rsidRPr="004A47DC">
              <w:rPr>
                <w:rFonts w:ascii="Garamond" w:hAnsi="Garamond"/>
                <w:sz w:val="16"/>
                <w:szCs w:val="16"/>
              </w:rPr>
              <w:t>887).</w:t>
            </w:r>
          </w:p>
        </w:tc>
        <w:tc>
          <w:tcPr>
            <w:tcW w:w="0" w:type="auto"/>
            <w:tcBorders>
              <w:top w:val="single" w:sz="4" w:space="0" w:color="auto"/>
              <w:left w:val="single" w:sz="4" w:space="0" w:color="auto"/>
              <w:right w:val="single" w:sz="4" w:space="0" w:color="auto"/>
            </w:tcBorders>
            <w:shd w:val="clear" w:color="auto" w:fill="auto"/>
            <w:vAlign w:val="center"/>
          </w:tcPr>
          <w:p w14:paraId="14162B5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0" w:type="auto"/>
            <w:tcBorders>
              <w:top w:val="single" w:sz="4" w:space="0" w:color="auto"/>
              <w:left w:val="single" w:sz="4" w:space="0" w:color="auto"/>
              <w:right w:val="single" w:sz="4" w:space="0" w:color="auto"/>
            </w:tcBorders>
            <w:shd w:val="clear" w:color="auto" w:fill="auto"/>
            <w:vAlign w:val="center"/>
          </w:tcPr>
          <w:p w14:paraId="318A6FF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 xml:space="preserve">T4 2024 </w:t>
            </w:r>
          </w:p>
        </w:tc>
        <w:tc>
          <w:tcPr>
            <w:tcW w:w="0" w:type="auto"/>
            <w:vMerge w:val="restart"/>
            <w:tcBorders>
              <w:top w:val="single" w:sz="4" w:space="0" w:color="auto"/>
              <w:left w:val="single" w:sz="4" w:space="0" w:color="auto"/>
              <w:right w:val="single" w:sz="4" w:space="0" w:color="auto"/>
            </w:tcBorders>
          </w:tcPr>
          <w:p w14:paraId="26F6472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51135BC8" w14:textId="29665FD1"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DMIP</w:t>
            </w:r>
            <w:r w:rsidR="006A1991">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 SASPAC</w:t>
            </w:r>
            <w:r w:rsidR="006A1991">
              <w:rPr>
                <w:rFonts w:ascii="Garamond" w:hAnsi="Garamond" w:cs="Arial"/>
                <w:color w:val="000000" w:themeColor="text1"/>
                <w:sz w:val="16"/>
                <w:szCs w:val="16"/>
              </w:rPr>
              <w:t>-u</w:t>
            </w:r>
            <w:r w:rsidRPr="004A47DC">
              <w:rPr>
                <w:rFonts w:ascii="Garamond" w:hAnsi="Garamond" w:cs="Arial"/>
                <w:color w:val="000000" w:themeColor="text1"/>
                <w:sz w:val="16"/>
                <w:szCs w:val="16"/>
              </w:rPr>
              <w:t xml:space="preserve">, </w:t>
            </w:r>
            <w:r w:rsidR="006A1991" w:rsidRPr="004A47DC">
              <w:rPr>
                <w:rFonts w:ascii="Garamond" w:hAnsi="Garamond" w:cs="Arial"/>
                <w:color w:val="000000" w:themeColor="text1"/>
                <w:sz w:val="16"/>
                <w:szCs w:val="16"/>
              </w:rPr>
              <w:t>institucionet buxhetore</w:t>
            </w:r>
          </w:p>
          <w:p w14:paraId="6EB4FA98"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2FFE8B7C"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339EE09" w14:textId="34364B41" w:rsidR="004719D2" w:rsidRPr="004A47DC" w:rsidRDefault="004719D2" w:rsidP="00CF7CEC">
            <w:pPr>
              <w:pStyle w:val="EcorysBody"/>
              <w:spacing w:line="240" w:lineRule="auto"/>
              <w:rPr>
                <w:rFonts w:ascii="Garamond" w:hAnsi="Garamond"/>
                <w:b/>
                <w:bCs/>
                <w:color w:val="000000" w:themeColor="text1"/>
                <w:sz w:val="16"/>
                <w:szCs w:val="16"/>
              </w:rPr>
            </w:pPr>
            <w:r w:rsidRPr="004A47DC">
              <w:rPr>
                <w:rFonts w:ascii="Garamond" w:hAnsi="Garamond" w:cs="Arial"/>
                <w:color w:val="000000" w:themeColor="text1"/>
                <w:sz w:val="16"/>
                <w:szCs w:val="16"/>
              </w:rPr>
              <w:t>Banka Botërore, FMN</w:t>
            </w:r>
            <w:r w:rsidR="006A1991">
              <w:rPr>
                <w:rFonts w:ascii="Garamond" w:hAnsi="Garamond" w:cs="Arial"/>
                <w:color w:val="000000" w:themeColor="text1"/>
                <w:sz w:val="16"/>
                <w:szCs w:val="16"/>
              </w:rPr>
              <w:t>-ja</w:t>
            </w:r>
            <w:r w:rsidRPr="004A47DC">
              <w:rPr>
                <w:rFonts w:ascii="Garamond" w:hAnsi="Garamond" w:cs="Arial"/>
                <w:color w:val="000000" w:themeColor="text1"/>
                <w:sz w:val="16"/>
                <w:szCs w:val="16"/>
              </w:rPr>
              <w:t>, BE</w:t>
            </w:r>
            <w:r w:rsidR="006A1991">
              <w:rPr>
                <w:rFonts w:ascii="Garamond" w:hAnsi="Garamond" w:cs="Arial"/>
                <w:color w:val="000000" w:themeColor="text1"/>
                <w:sz w:val="16"/>
                <w:szCs w:val="16"/>
              </w:rPr>
              <w:t>-ja</w:t>
            </w:r>
            <w:r w:rsidRPr="004A47DC">
              <w:rPr>
                <w:rStyle w:val="FootnoteReference"/>
                <w:rFonts w:ascii="Garamond" w:hAnsi="Garamond" w:cs="Arial"/>
                <w:color w:val="000000" w:themeColor="text1"/>
                <w:sz w:val="16"/>
                <w:szCs w:val="16"/>
              </w:rPr>
              <w:footnoteReference w:id="24"/>
            </w:r>
          </w:p>
        </w:tc>
      </w:tr>
      <w:tr w:rsidR="004719D2" w:rsidRPr="004A47DC" w14:paraId="53E6C306" w14:textId="77777777" w:rsidTr="00D65061">
        <w:trPr>
          <w:trHeight w:val="20"/>
        </w:trPr>
        <w:tc>
          <w:tcPr>
            <w:tcW w:w="0" w:type="auto"/>
            <w:vMerge/>
            <w:tcBorders>
              <w:left w:val="single" w:sz="4" w:space="0" w:color="auto"/>
              <w:right w:val="single" w:sz="4" w:space="0" w:color="auto"/>
            </w:tcBorders>
            <w:hideMark/>
          </w:tcPr>
          <w:p w14:paraId="3ADABEE3"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0" w:type="auto"/>
            <w:tcBorders>
              <w:top w:val="single" w:sz="4" w:space="0" w:color="auto"/>
              <w:left w:val="single" w:sz="4" w:space="0" w:color="auto"/>
              <w:right w:val="single" w:sz="4" w:space="0" w:color="auto"/>
            </w:tcBorders>
            <w:vAlign w:val="center"/>
            <w:hideMark/>
          </w:tcPr>
          <w:p w14:paraId="74D9D983" w14:textId="07F17820" w:rsidR="004719D2" w:rsidRPr="004A47DC" w:rsidRDefault="00521846" w:rsidP="00521846">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 xml:space="preserve">Zhvillimi dhe ofrimi i trajnimeve për zbatimin e procedurave të MIP-së (VKM </w:t>
            </w:r>
            <w:r w:rsidR="006A1991">
              <w:rPr>
                <w:rFonts w:ascii="Garamond" w:hAnsi="Garamond"/>
                <w:sz w:val="16"/>
                <w:szCs w:val="16"/>
              </w:rPr>
              <w:t xml:space="preserve">nr. </w:t>
            </w:r>
            <w:r w:rsidR="004719D2" w:rsidRPr="004A47DC">
              <w:rPr>
                <w:rFonts w:ascii="Garamond" w:hAnsi="Garamond"/>
                <w:sz w:val="16"/>
                <w:szCs w:val="16"/>
              </w:rPr>
              <w:t>887).</w:t>
            </w:r>
          </w:p>
        </w:tc>
        <w:tc>
          <w:tcPr>
            <w:tcW w:w="0" w:type="auto"/>
            <w:tcBorders>
              <w:top w:val="single" w:sz="4" w:space="0" w:color="auto"/>
              <w:left w:val="single" w:sz="4" w:space="0" w:color="auto"/>
              <w:right w:val="single" w:sz="4" w:space="0" w:color="auto"/>
            </w:tcBorders>
            <w:shd w:val="clear" w:color="auto" w:fill="auto"/>
            <w:vAlign w:val="center"/>
          </w:tcPr>
          <w:p w14:paraId="647A68A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0" w:type="auto"/>
            <w:tcBorders>
              <w:top w:val="single" w:sz="4" w:space="0" w:color="auto"/>
              <w:left w:val="single" w:sz="4" w:space="0" w:color="auto"/>
              <w:right w:val="single" w:sz="4" w:space="0" w:color="auto"/>
            </w:tcBorders>
            <w:shd w:val="clear" w:color="auto" w:fill="auto"/>
            <w:vAlign w:val="center"/>
          </w:tcPr>
          <w:p w14:paraId="470CD40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Borders>
              <w:left w:val="single" w:sz="4" w:space="0" w:color="auto"/>
              <w:right w:val="single" w:sz="4" w:space="0" w:color="auto"/>
            </w:tcBorders>
          </w:tcPr>
          <w:p w14:paraId="522E43AA"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11DFB38B" w14:textId="77777777" w:rsidTr="00D65061">
        <w:trPr>
          <w:trHeight w:val="20"/>
        </w:trPr>
        <w:tc>
          <w:tcPr>
            <w:tcW w:w="0" w:type="auto"/>
            <w:vMerge/>
            <w:tcBorders>
              <w:left w:val="single" w:sz="4" w:space="0" w:color="auto"/>
              <w:bottom w:val="single" w:sz="4" w:space="0" w:color="auto"/>
              <w:right w:val="single" w:sz="4" w:space="0" w:color="auto"/>
            </w:tcBorders>
            <w:vAlign w:val="center"/>
            <w:hideMark/>
          </w:tcPr>
          <w:p w14:paraId="56D49718"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hideMark/>
          </w:tcPr>
          <w:p w14:paraId="34B54C5C" w14:textId="559A166D" w:rsidR="004719D2" w:rsidRPr="004A47DC" w:rsidRDefault="00521846" w:rsidP="00521846">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Monitorimi i zbatimit të procedurave të MIP-së; rishikimi dhe përditësimi i vendimit për procedurat e MIP-së nëse është e nevojshme</w:t>
            </w:r>
            <w:r w:rsidR="006A1991">
              <w:rPr>
                <w:rFonts w:ascii="Garamond" w:hAnsi="Garamond"/>
                <w:sz w:val="16"/>
                <w:szCs w:val="16"/>
              </w:rPr>
              <w:t>.</w:t>
            </w:r>
          </w:p>
        </w:tc>
        <w:tc>
          <w:tcPr>
            <w:tcW w:w="0" w:type="auto"/>
            <w:tcBorders>
              <w:top w:val="single" w:sz="4" w:space="0" w:color="auto"/>
              <w:left w:val="single" w:sz="4" w:space="0" w:color="auto"/>
              <w:right w:val="single" w:sz="4" w:space="0" w:color="auto"/>
            </w:tcBorders>
            <w:shd w:val="clear" w:color="auto" w:fill="auto"/>
            <w:vAlign w:val="center"/>
          </w:tcPr>
          <w:p w14:paraId="2A3F3AB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0" w:type="auto"/>
            <w:tcBorders>
              <w:top w:val="single" w:sz="4" w:space="0" w:color="auto"/>
              <w:left w:val="single" w:sz="4" w:space="0" w:color="auto"/>
              <w:right w:val="single" w:sz="4" w:space="0" w:color="auto"/>
            </w:tcBorders>
            <w:shd w:val="clear" w:color="auto" w:fill="auto"/>
            <w:vAlign w:val="center"/>
          </w:tcPr>
          <w:p w14:paraId="56BB66E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Borders>
              <w:left w:val="single" w:sz="4" w:space="0" w:color="auto"/>
              <w:bottom w:val="single" w:sz="4" w:space="0" w:color="auto"/>
              <w:right w:val="single" w:sz="4" w:space="0" w:color="auto"/>
            </w:tcBorders>
            <w:vAlign w:val="center"/>
            <w:hideMark/>
          </w:tcPr>
          <w:p w14:paraId="6E677425" w14:textId="77777777" w:rsidR="004719D2" w:rsidRPr="004A47DC" w:rsidRDefault="004719D2" w:rsidP="00CF7CEC">
            <w:pPr>
              <w:rPr>
                <w:rFonts w:ascii="Garamond" w:hAnsi="Garamond"/>
                <w:color w:val="000000" w:themeColor="text1"/>
                <w:sz w:val="16"/>
                <w:szCs w:val="16"/>
              </w:rPr>
            </w:pPr>
          </w:p>
        </w:tc>
      </w:tr>
      <w:tr w:rsidR="004719D2" w:rsidRPr="004A47DC" w14:paraId="204A4DE0" w14:textId="77777777" w:rsidTr="00D65061">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4DF797F6" w14:textId="556B4596"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2.3.2 Forcimi i Listës Unike të Projekteve dhe rritja e rolit </w:t>
            </w:r>
            <w:r w:rsidRPr="006A1991">
              <w:rPr>
                <w:rFonts w:ascii="Garamond" w:hAnsi="Garamond" w:cs="Arial"/>
                <w:b/>
                <w:bCs/>
                <w:i/>
                <w:color w:val="000000" w:themeColor="text1"/>
                <w:sz w:val="16"/>
                <w:szCs w:val="16"/>
              </w:rPr>
              <w:t>gatekeep</w:t>
            </w:r>
            <w:r w:rsidRPr="004A47DC">
              <w:rPr>
                <w:rFonts w:ascii="Garamond" w:hAnsi="Garamond" w:cs="Arial"/>
                <w:b/>
                <w:bCs/>
                <w:color w:val="000000" w:themeColor="text1"/>
                <w:sz w:val="16"/>
                <w:szCs w:val="16"/>
              </w:rPr>
              <w:t>-</w:t>
            </w:r>
            <w:r w:rsidR="006A1991">
              <w:rPr>
                <w:rFonts w:ascii="Garamond" w:hAnsi="Garamond" w:cs="Arial"/>
                <w:b/>
                <w:bCs/>
                <w:color w:val="000000" w:themeColor="text1"/>
                <w:sz w:val="16"/>
                <w:szCs w:val="16"/>
              </w:rPr>
              <w:t>e</w:t>
            </w:r>
            <w:r w:rsidRPr="004A47DC">
              <w:rPr>
                <w:rFonts w:ascii="Garamond" w:hAnsi="Garamond" w:cs="Arial"/>
                <w:b/>
                <w:bCs/>
                <w:color w:val="000000" w:themeColor="text1"/>
                <w:sz w:val="16"/>
                <w:szCs w:val="16"/>
              </w:rPr>
              <w:t>r</w:t>
            </w:r>
            <w:r w:rsidR="006A1991">
              <w:rPr>
                <w:rFonts w:ascii="Garamond" w:hAnsi="Garamond" w:cs="Arial"/>
                <w:b/>
                <w:bCs/>
                <w:color w:val="000000" w:themeColor="text1"/>
                <w:sz w:val="16"/>
                <w:szCs w:val="16"/>
              </w:rPr>
              <w:t>it</w:t>
            </w:r>
            <w:r w:rsidRPr="004A47DC">
              <w:rPr>
                <w:rFonts w:ascii="Garamond" w:hAnsi="Garamond" w:cs="Arial"/>
                <w:b/>
                <w:bCs/>
                <w:color w:val="000000" w:themeColor="text1"/>
                <w:sz w:val="16"/>
                <w:szCs w:val="16"/>
              </w:rPr>
              <w:t xml:space="preserve"> të MF-së</w:t>
            </w:r>
          </w:p>
          <w:p w14:paraId="2E8DA89C"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0B8A4643" w14:textId="77777777" w:rsidR="004719D2" w:rsidRPr="004A47DC" w:rsidRDefault="004719D2" w:rsidP="00CF7CEC">
            <w:pPr>
              <w:pStyle w:val="EcorysBody"/>
              <w:spacing w:line="240" w:lineRule="auto"/>
              <w:rPr>
                <w:rFonts w:ascii="Garamond" w:hAnsi="Garamond" w:cs="Arial"/>
                <w:color w:val="000000" w:themeColor="text1"/>
                <w:sz w:val="16"/>
                <w:szCs w:val="16"/>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2B626CB" w14:textId="135B3349" w:rsidR="004719D2" w:rsidRPr="004A47DC" w:rsidRDefault="00521846" w:rsidP="00521846">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Rishikimi i procedurave dhe sistemeve për zhvillimin e një Liste Unike gjithëpërfshirëse të Projekteve me Rëndësi Kombëtare</w:t>
            </w:r>
            <w:r w:rsidR="006A1991">
              <w:rPr>
                <w:rFonts w:ascii="Garamond" w:hAnsi="Garamond"/>
                <w:sz w:val="16"/>
                <w:szCs w:val="16"/>
              </w:rPr>
              <w:t>,</w:t>
            </w:r>
            <w:r w:rsidR="004719D2" w:rsidRPr="004A47DC">
              <w:rPr>
                <w:rFonts w:ascii="Garamond" w:hAnsi="Garamond"/>
                <w:sz w:val="16"/>
                <w:szCs w:val="16"/>
              </w:rPr>
              <w:t xml:space="preserve"> duke përfshirë PPP-të dhe Koncesionet, duke përfshirë udhëzime të hollësishme për përgatitjen dhe vlerësimin e studimeve të fizibilitetit për të mbuluar, ndër të tjera, pajtueshmërinë me rregullat e ndihmës shtetërore.</w:t>
            </w:r>
          </w:p>
        </w:tc>
        <w:tc>
          <w:tcPr>
            <w:tcW w:w="0" w:type="auto"/>
            <w:tcBorders>
              <w:top w:val="single" w:sz="4" w:space="0" w:color="auto"/>
              <w:left w:val="single" w:sz="4" w:space="0" w:color="auto"/>
              <w:bottom w:val="single" w:sz="4" w:space="0" w:color="auto"/>
              <w:right w:val="single" w:sz="4" w:space="0" w:color="auto"/>
            </w:tcBorders>
            <w:vAlign w:val="center"/>
          </w:tcPr>
          <w:p w14:paraId="30FB2B4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0" w:type="auto"/>
            <w:tcBorders>
              <w:top w:val="single" w:sz="4" w:space="0" w:color="auto"/>
              <w:left w:val="single" w:sz="4" w:space="0" w:color="auto"/>
              <w:bottom w:val="single" w:sz="4" w:space="0" w:color="auto"/>
              <w:right w:val="single" w:sz="4" w:space="0" w:color="auto"/>
            </w:tcBorders>
            <w:vAlign w:val="center"/>
          </w:tcPr>
          <w:p w14:paraId="2EB78A4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vMerge w:val="restart"/>
            <w:tcBorders>
              <w:top w:val="single" w:sz="4" w:space="0" w:color="auto"/>
              <w:left w:val="single" w:sz="4" w:space="0" w:color="auto"/>
              <w:bottom w:val="single" w:sz="4" w:space="0" w:color="auto"/>
              <w:right w:val="single" w:sz="4" w:space="0" w:color="auto"/>
            </w:tcBorders>
          </w:tcPr>
          <w:p w14:paraId="5241611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3136CD9B" w14:textId="7EB6A03D"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SASPAC</w:t>
            </w:r>
            <w:r w:rsidR="006A1991">
              <w:rPr>
                <w:rFonts w:ascii="Garamond" w:hAnsi="Garamond"/>
                <w:color w:val="000000" w:themeColor="text1"/>
                <w:sz w:val="16"/>
                <w:szCs w:val="16"/>
              </w:rPr>
              <w:t>-u</w:t>
            </w:r>
            <w:r w:rsidRPr="004A47DC">
              <w:rPr>
                <w:rFonts w:ascii="Garamond" w:hAnsi="Garamond"/>
                <w:color w:val="000000" w:themeColor="text1"/>
                <w:sz w:val="16"/>
                <w:szCs w:val="16"/>
              </w:rPr>
              <w:t xml:space="preserve"> (lider për Listën Unike të Projekteve), DMIP</w:t>
            </w:r>
            <w:r w:rsidR="006A1991">
              <w:rPr>
                <w:rFonts w:ascii="Garamond" w:hAnsi="Garamond"/>
                <w:color w:val="000000" w:themeColor="text1"/>
                <w:sz w:val="16"/>
                <w:szCs w:val="16"/>
              </w:rPr>
              <w:t>-ja</w:t>
            </w:r>
            <w:r w:rsidRPr="004A47DC">
              <w:rPr>
                <w:rFonts w:ascii="Garamond" w:hAnsi="Garamond"/>
                <w:color w:val="000000" w:themeColor="text1"/>
                <w:sz w:val="16"/>
                <w:szCs w:val="16"/>
              </w:rPr>
              <w:t xml:space="preserve"> (lider për rolin </w:t>
            </w:r>
            <w:r w:rsidRPr="006A1991">
              <w:rPr>
                <w:rFonts w:ascii="Garamond" w:hAnsi="Garamond"/>
                <w:i/>
                <w:color w:val="000000" w:themeColor="text1"/>
                <w:sz w:val="16"/>
                <w:szCs w:val="16"/>
              </w:rPr>
              <w:t>gatekeep</w:t>
            </w:r>
            <w:r w:rsidRPr="004A47DC">
              <w:rPr>
                <w:rFonts w:ascii="Garamond" w:hAnsi="Garamond"/>
                <w:color w:val="000000" w:themeColor="text1"/>
                <w:sz w:val="16"/>
                <w:szCs w:val="16"/>
              </w:rPr>
              <w:t xml:space="preserve">-er), </w:t>
            </w:r>
          </w:p>
          <w:p w14:paraId="1E7A7EC4"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5C5DD54E"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16CD02B5"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1ED8669" w14:textId="1DE1E885"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FMN</w:t>
            </w:r>
            <w:r w:rsidR="006A1991">
              <w:rPr>
                <w:rFonts w:ascii="Garamond" w:hAnsi="Garamond" w:cs="Arial"/>
                <w:color w:val="000000" w:themeColor="text1"/>
                <w:sz w:val="16"/>
                <w:szCs w:val="16"/>
              </w:rPr>
              <w:t>-ja</w:t>
            </w:r>
            <w:r w:rsidRPr="004A47DC">
              <w:rPr>
                <w:rFonts w:ascii="Garamond" w:hAnsi="Garamond" w:cs="Arial"/>
                <w:color w:val="000000" w:themeColor="text1"/>
                <w:sz w:val="16"/>
                <w:szCs w:val="16"/>
              </w:rPr>
              <w:t>, BE</w:t>
            </w:r>
            <w:r w:rsidR="006A1991">
              <w:rPr>
                <w:rFonts w:ascii="Garamond" w:hAnsi="Garamond" w:cs="Arial"/>
                <w:color w:val="000000" w:themeColor="text1"/>
                <w:sz w:val="16"/>
                <w:szCs w:val="16"/>
              </w:rPr>
              <w:t>-ja</w:t>
            </w:r>
            <w:r w:rsidRPr="004A47DC">
              <w:rPr>
                <w:rStyle w:val="FootnoteReference"/>
                <w:rFonts w:ascii="Garamond" w:hAnsi="Garamond" w:cs="Arial"/>
                <w:color w:val="000000" w:themeColor="text1"/>
                <w:sz w:val="16"/>
                <w:szCs w:val="16"/>
              </w:rPr>
              <w:footnoteReference w:id="25"/>
            </w:r>
          </w:p>
        </w:tc>
      </w:tr>
      <w:tr w:rsidR="004719D2" w:rsidRPr="004A47DC" w14:paraId="42EF803E" w14:textId="77777777" w:rsidTr="00D6506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A5B25" w14:textId="77777777" w:rsidR="004719D2" w:rsidRPr="004A47DC" w:rsidRDefault="004719D2" w:rsidP="00CF7CEC">
            <w:pPr>
              <w:rPr>
                <w:rFonts w:ascii="Garamond" w:hAnsi="Garamond"/>
                <w:color w:val="000000" w:themeColor="text1"/>
                <w:sz w:val="16"/>
                <w:szCs w:val="16"/>
              </w:rPr>
            </w:pPr>
          </w:p>
        </w:tc>
        <w:tc>
          <w:tcPr>
            <w:tcW w:w="0" w:type="auto"/>
            <w:tcBorders>
              <w:top w:val="single" w:sz="4" w:space="0" w:color="auto"/>
              <w:left w:val="single" w:sz="4" w:space="0" w:color="auto"/>
              <w:right w:val="single" w:sz="4" w:space="0" w:color="auto"/>
            </w:tcBorders>
            <w:vAlign w:val="center"/>
          </w:tcPr>
          <w:p w14:paraId="05A7934E" w14:textId="08FB2D49" w:rsidR="004719D2" w:rsidRPr="004A47DC" w:rsidRDefault="00521846" w:rsidP="00521846">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 xml:space="preserve">Zhvillimi dhe zbatimi i një plani për të përmirësuar më tej konceptin e Listës Unike të Projekteve dhe rolin </w:t>
            </w:r>
            <w:r w:rsidR="004719D2" w:rsidRPr="006A1991">
              <w:rPr>
                <w:rFonts w:ascii="Garamond" w:hAnsi="Garamond"/>
                <w:i/>
                <w:sz w:val="16"/>
                <w:szCs w:val="16"/>
              </w:rPr>
              <w:t>gatekeep</w:t>
            </w:r>
            <w:r w:rsidR="004719D2" w:rsidRPr="004A47DC">
              <w:rPr>
                <w:rFonts w:ascii="Garamond" w:hAnsi="Garamond"/>
                <w:sz w:val="16"/>
                <w:szCs w:val="16"/>
              </w:rPr>
              <w:t>-er</w:t>
            </w:r>
            <w:r w:rsidR="006A1991">
              <w:rPr>
                <w:rFonts w:ascii="Garamond" w:hAnsi="Garamond"/>
                <w:sz w:val="16"/>
                <w:szCs w:val="16"/>
              </w:rPr>
              <w:t>it</w:t>
            </w:r>
            <w:r w:rsidR="004719D2" w:rsidRPr="004A47DC">
              <w:rPr>
                <w:rFonts w:ascii="Garamond" w:hAnsi="Garamond"/>
                <w:sz w:val="16"/>
                <w:szCs w:val="16"/>
              </w:rPr>
              <w:t xml:space="preserve"> të MF-së.</w:t>
            </w:r>
          </w:p>
        </w:tc>
        <w:tc>
          <w:tcPr>
            <w:tcW w:w="0" w:type="auto"/>
            <w:tcBorders>
              <w:top w:val="single" w:sz="4" w:space="0" w:color="auto"/>
              <w:left w:val="single" w:sz="4" w:space="0" w:color="auto"/>
              <w:right w:val="single" w:sz="4" w:space="0" w:color="auto"/>
            </w:tcBorders>
            <w:vAlign w:val="center"/>
          </w:tcPr>
          <w:p w14:paraId="08CACA4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tcBorders>
              <w:top w:val="single" w:sz="4" w:space="0" w:color="auto"/>
              <w:left w:val="single" w:sz="4" w:space="0" w:color="auto"/>
              <w:right w:val="single" w:sz="4" w:space="0" w:color="auto"/>
            </w:tcBorders>
            <w:vAlign w:val="center"/>
          </w:tcPr>
          <w:p w14:paraId="66BF402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0C74F3" w14:textId="77777777" w:rsidR="004719D2" w:rsidRPr="004A47DC" w:rsidRDefault="004719D2" w:rsidP="00CF7CEC">
            <w:pPr>
              <w:rPr>
                <w:rFonts w:ascii="Garamond" w:hAnsi="Garamond"/>
                <w:color w:val="000000" w:themeColor="text1"/>
                <w:sz w:val="16"/>
                <w:szCs w:val="16"/>
              </w:rPr>
            </w:pPr>
          </w:p>
        </w:tc>
      </w:tr>
    </w:tbl>
    <w:p w14:paraId="7917AEED" w14:textId="77777777" w:rsidR="004719D2" w:rsidRPr="004A47DC" w:rsidRDefault="004719D2" w:rsidP="004719D2">
      <w:pPr>
        <w:rPr>
          <w:rFonts w:ascii="Garamond" w:hAnsi="Garamond"/>
          <w:color w:val="000000" w:themeColor="text1"/>
          <w:sz w:val="36"/>
        </w:rPr>
      </w:pPr>
    </w:p>
    <w:p w14:paraId="1C9EA339"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00"/>
        <w:gridCol w:w="661"/>
        <w:gridCol w:w="1522"/>
        <w:gridCol w:w="1397"/>
        <w:gridCol w:w="1169"/>
        <w:gridCol w:w="1212"/>
      </w:tblGrid>
      <w:tr w:rsidR="004719D2" w:rsidRPr="00017794" w14:paraId="0CC8951E" w14:textId="77777777" w:rsidTr="00017794">
        <w:trPr>
          <w:tblHeader/>
        </w:trPr>
        <w:tc>
          <w:tcPr>
            <w:tcW w:w="171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8958E"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Treguesi</w:t>
            </w:r>
          </w:p>
        </w:tc>
        <w:tc>
          <w:tcPr>
            <w:tcW w:w="36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BE25E0"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Vlera bazë (viti)</w:t>
            </w:r>
          </w:p>
        </w:tc>
        <w:tc>
          <w:tcPr>
            <w:tcW w:w="2925"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BFF28C"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Vlera e synuar</w:t>
            </w:r>
          </w:p>
        </w:tc>
      </w:tr>
      <w:tr w:rsidR="004719D2" w:rsidRPr="00017794" w14:paraId="22C80AA4" w14:textId="77777777" w:rsidTr="00017794">
        <w:trPr>
          <w:tblHeader/>
        </w:trPr>
        <w:tc>
          <w:tcPr>
            <w:tcW w:w="1710" w:type="pct"/>
            <w:vMerge/>
            <w:tcBorders>
              <w:top w:val="single" w:sz="4" w:space="0" w:color="auto"/>
              <w:left w:val="single" w:sz="4" w:space="0" w:color="auto"/>
              <w:bottom w:val="single" w:sz="4" w:space="0" w:color="auto"/>
              <w:right w:val="single" w:sz="4" w:space="0" w:color="auto"/>
            </w:tcBorders>
            <w:vAlign w:val="center"/>
            <w:hideMark/>
          </w:tcPr>
          <w:p w14:paraId="060D527B" w14:textId="77777777" w:rsidR="004719D2" w:rsidRPr="00017794" w:rsidRDefault="004719D2" w:rsidP="00D65061">
            <w:pPr>
              <w:pStyle w:val="T-bold"/>
              <w:spacing w:line="240" w:lineRule="auto"/>
              <w:jc w:val="center"/>
              <w:rPr>
                <w:rFonts w:ascii="Garamond" w:hAnsi="Garamond"/>
                <w:color w:val="000000" w:themeColor="text1"/>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14:paraId="4821DD19" w14:textId="77777777" w:rsidR="004719D2" w:rsidRPr="00017794" w:rsidRDefault="004719D2" w:rsidP="00D65061">
            <w:pPr>
              <w:pStyle w:val="T-bold"/>
              <w:spacing w:line="240" w:lineRule="auto"/>
              <w:jc w:val="center"/>
              <w:rPr>
                <w:rFonts w:ascii="Garamond" w:hAnsi="Garamond"/>
                <w:color w:val="000000" w:themeColor="text1"/>
              </w:rPr>
            </w:pPr>
          </w:p>
        </w:tc>
        <w:tc>
          <w:tcPr>
            <w:tcW w:w="8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2BEC8F"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2023</w:t>
            </w:r>
          </w:p>
        </w:tc>
        <w:tc>
          <w:tcPr>
            <w:tcW w:w="7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1F1A0A"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2024</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36E7A5"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2025</w:t>
            </w:r>
          </w:p>
        </w:tc>
        <w:tc>
          <w:tcPr>
            <w:tcW w:w="6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618213" w14:textId="77777777" w:rsidR="004719D2" w:rsidRPr="00017794" w:rsidRDefault="004719D2" w:rsidP="00D65061">
            <w:pPr>
              <w:pStyle w:val="T-bold"/>
              <w:spacing w:line="240" w:lineRule="auto"/>
              <w:jc w:val="center"/>
              <w:rPr>
                <w:rFonts w:ascii="Garamond" w:hAnsi="Garamond"/>
                <w:color w:val="000000" w:themeColor="text1"/>
              </w:rPr>
            </w:pPr>
            <w:r w:rsidRPr="00017794">
              <w:rPr>
                <w:rFonts w:ascii="Garamond" w:hAnsi="Garamond"/>
                <w:color w:val="000000" w:themeColor="text1"/>
              </w:rPr>
              <w:t>2026</w:t>
            </w:r>
          </w:p>
        </w:tc>
      </w:tr>
      <w:tr w:rsidR="004719D2" w:rsidRPr="00017794" w14:paraId="4CFFF89E" w14:textId="77777777" w:rsidTr="00017794">
        <w:tc>
          <w:tcPr>
            <w:tcW w:w="1710" w:type="pct"/>
            <w:tcBorders>
              <w:top w:val="single" w:sz="4" w:space="0" w:color="auto"/>
              <w:left w:val="single" w:sz="4" w:space="0" w:color="auto"/>
              <w:bottom w:val="single" w:sz="4" w:space="0" w:color="auto"/>
              <w:right w:val="single" w:sz="4" w:space="0" w:color="auto"/>
            </w:tcBorders>
          </w:tcPr>
          <w:p w14:paraId="6F4CF317" w14:textId="11BE4E55" w:rsidR="004719D2" w:rsidRPr="00017794" w:rsidRDefault="00521846" w:rsidP="00521846">
            <w:pPr>
              <w:rPr>
                <w:rFonts w:ascii="Garamond" w:hAnsi="Garamond"/>
                <w:sz w:val="16"/>
                <w:szCs w:val="16"/>
              </w:rPr>
            </w:pPr>
            <w:r w:rsidRPr="00017794">
              <w:rPr>
                <w:rFonts w:ascii="Garamond" w:hAnsi="Garamond"/>
                <w:sz w:val="16"/>
                <w:szCs w:val="16"/>
              </w:rPr>
              <w:t xml:space="preserve">1. </w:t>
            </w:r>
            <w:r w:rsidR="004719D2" w:rsidRPr="00017794">
              <w:rPr>
                <w:rFonts w:ascii="Garamond" w:hAnsi="Garamond"/>
                <w:sz w:val="16"/>
                <w:szCs w:val="16"/>
              </w:rPr>
              <w:t xml:space="preserve">Treguesi i performancës PEFA 11. Menaxhimi i </w:t>
            </w:r>
            <w:r w:rsidR="00F81BE4" w:rsidRPr="00017794">
              <w:rPr>
                <w:rFonts w:ascii="Garamond" w:hAnsi="Garamond"/>
                <w:sz w:val="16"/>
                <w:szCs w:val="16"/>
              </w:rPr>
              <w:t xml:space="preserve">investimeve publike </w:t>
            </w:r>
          </w:p>
        </w:tc>
        <w:tc>
          <w:tcPr>
            <w:tcW w:w="365" w:type="pct"/>
            <w:tcBorders>
              <w:top w:val="single" w:sz="4" w:space="0" w:color="auto"/>
              <w:left w:val="single" w:sz="4" w:space="0" w:color="auto"/>
              <w:bottom w:val="single" w:sz="4" w:space="0" w:color="auto"/>
              <w:right w:val="single" w:sz="4" w:space="0" w:color="auto"/>
            </w:tcBorders>
            <w:vAlign w:val="center"/>
          </w:tcPr>
          <w:p w14:paraId="7616BE6D"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 xml:space="preserve">C+ </w:t>
            </w:r>
          </w:p>
          <w:p w14:paraId="61944C37"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(2017)</w:t>
            </w:r>
          </w:p>
        </w:tc>
        <w:tc>
          <w:tcPr>
            <w:tcW w:w="840" w:type="pct"/>
            <w:tcBorders>
              <w:top w:val="single" w:sz="4" w:space="0" w:color="auto"/>
              <w:left w:val="single" w:sz="4" w:space="0" w:color="auto"/>
              <w:bottom w:val="single" w:sz="4" w:space="0" w:color="auto"/>
              <w:right w:val="single" w:sz="4" w:space="0" w:color="auto"/>
            </w:tcBorders>
            <w:vAlign w:val="center"/>
          </w:tcPr>
          <w:p w14:paraId="113CB41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w:t>
            </w:r>
          </w:p>
        </w:tc>
        <w:tc>
          <w:tcPr>
            <w:tcW w:w="771" w:type="pct"/>
            <w:tcBorders>
              <w:top w:val="single" w:sz="4" w:space="0" w:color="auto"/>
              <w:left w:val="single" w:sz="4" w:space="0" w:color="auto"/>
              <w:bottom w:val="single" w:sz="4" w:space="0" w:color="auto"/>
              <w:right w:val="single" w:sz="4" w:space="0" w:color="auto"/>
            </w:tcBorders>
            <w:vAlign w:val="center"/>
          </w:tcPr>
          <w:p w14:paraId="60D6D071"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w:t>
            </w:r>
          </w:p>
        </w:tc>
        <w:tc>
          <w:tcPr>
            <w:tcW w:w="645" w:type="pct"/>
            <w:tcBorders>
              <w:top w:val="single" w:sz="4" w:space="0" w:color="auto"/>
              <w:left w:val="single" w:sz="4" w:space="0" w:color="auto"/>
              <w:bottom w:val="single" w:sz="4" w:space="0" w:color="auto"/>
              <w:right w:val="single" w:sz="4" w:space="0" w:color="auto"/>
            </w:tcBorders>
            <w:vAlign w:val="center"/>
          </w:tcPr>
          <w:p w14:paraId="2C076E52"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w:t>
            </w:r>
          </w:p>
        </w:tc>
        <w:tc>
          <w:tcPr>
            <w:tcW w:w="669" w:type="pct"/>
            <w:tcBorders>
              <w:top w:val="single" w:sz="4" w:space="0" w:color="auto"/>
              <w:left w:val="single" w:sz="4" w:space="0" w:color="auto"/>
              <w:bottom w:val="single" w:sz="4" w:space="0" w:color="auto"/>
              <w:right w:val="single" w:sz="4" w:space="0" w:color="auto"/>
            </w:tcBorders>
            <w:vAlign w:val="center"/>
          </w:tcPr>
          <w:p w14:paraId="34200F84"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B+</w:t>
            </w:r>
          </w:p>
        </w:tc>
      </w:tr>
      <w:tr w:rsidR="004719D2" w:rsidRPr="00017794" w14:paraId="5AD68BF8" w14:textId="77777777" w:rsidTr="00017794">
        <w:trPr>
          <w:trHeight w:val="21"/>
        </w:trPr>
        <w:tc>
          <w:tcPr>
            <w:tcW w:w="1710" w:type="pct"/>
            <w:tcBorders>
              <w:top w:val="single" w:sz="4" w:space="0" w:color="auto"/>
              <w:left w:val="single" w:sz="4" w:space="0" w:color="auto"/>
              <w:bottom w:val="single" w:sz="4" w:space="0" w:color="auto"/>
              <w:right w:val="single" w:sz="4" w:space="0" w:color="auto"/>
            </w:tcBorders>
          </w:tcPr>
          <w:p w14:paraId="12F1B20C" w14:textId="47043275" w:rsidR="004719D2" w:rsidRPr="00017794" w:rsidRDefault="00521846" w:rsidP="00521846">
            <w:pPr>
              <w:rPr>
                <w:rFonts w:ascii="Garamond" w:hAnsi="Garamond"/>
                <w:sz w:val="16"/>
                <w:szCs w:val="16"/>
              </w:rPr>
            </w:pPr>
            <w:r w:rsidRPr="00017794">
              <w:rPr>
                <w:rFonts w:ascii="Garamond" w:hAnsi="Garamond"/>
                <w:sz w:val="16"/>
                <w:szCs w:val="16"/>
              </w:rPr>
              <w:t xml:space="preserve">2. </w:t>
            </w:r>
            <w:r w:rsidR="004719D2" w:rsidRPr="00017794">
              <w:rPr>
                <w:rFonts w:ascii="Garamond" w:hAnsi="Garamond"/>
                <w:sz w:val="16"/>
                <w:szCs w:val="16"/>
              </w:rPr>
              <w:t>Prezantimi i procedurave të përmirësuara të MIP-së (përfshirë mekanizmat përkatës të vendimmarrjes)</w:t>
            </w:r>
          </w:p>
        </w:tc>
        <w:tc>
          <w:tcPr>
            <w:tcW w:w="365" w:type="pct"/>
            <w:tcBorders>
              <w:top w:val="single" w:sz="4" w:space="0" w:color="auto"/>
              <w:left w:val="single" w:sz="4" w:space="0" w:color="auto"/>
              <w:bottom w:val="single" w:sz="4" w:space="0" w:color="auto"/>
              <w:right w:val="single" w:sz="4" w:space="0" w:color="auto"/>
            </w:tcBorders>
            <w:vAlign w:val="center"/>
          </w:tcPr>
          <w:p w14:paraId="5D48385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w:t>
            </w:r>
          </w:p>
        </w:tc>
        <w:tc>
          <w:tcPr>
            <w:tcW w:w="840" w:type="pct"/>
            <w:tcBorders>
              <w:top w:val="single" w:sz="4" w:space="0" w:color="auto"/>
              <w:left w:val="single" w:sz="4" w:space="0" w:color="auto"/>
              <w:bottom w:val="single" w:sz="4" w:space="0" w:color="auto"/>
              <w:right w:val="single" w:sz="4" w:space="0" w:color="auto"/>
            </w:tcBorders>
            <w:vAlign w:val="center"/>
          </w:tcPr>
          <w:p w14:paraId="36A76F53"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Operacionalizimi i procedurave të MIP-së</w:t>
            </w:r>
          </w:p>
        </w:tc>
        <w:tc>
          <w:tcPr>
            <w:tcW w:w="771" w:type="pct"/>
            <w:tcBorders>
              <w:top w:val="single" w:sz="4" w:space="0" w:color="auto"/>
              <w:left w:val="single" w:sz="4" w:space="0" w:color="auto"/>
              <w:bottom w:val="single" w:sz="4" w:space="0" w:color="auto"/>
              <w:right w:val="single" w:sz="4" w:space="0" w:color="auto"/>
            </w:tcBorders>
            <w:vAlign w:val="center"/>
          </w:tcPr>
          <w:p w14:paraId="5066A2A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Përmirësimi dhe zbatimi i procedurave të MIP-së</w:t>
            </w:r>
          </w:p>
        </w:tc>
        <w:tc>
          <w:tcPr>
            <w:tcW w:w="645" w:type="pct"/>
            <w:tcBorders>
              <w:top w:val="single" w:sz="4" w:space="0" w:color="auto"/>
              <w:left w:val="single" w:sz="4" w:space="0" w:color="auto"/>
              <w:bottom w:val="single" w:sz="4" w:space="0" w:color="auto"/>
              <w:right w:val="single" w:sz="4" w:space="0" w:color="auto"/>
            </w:tcBorders>
            <w:vAlign w:val="center"/>
          </w:tcPr>
          <w:p w14:paraId="0C7C041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Zbatimi i procedurave të MIP-së</w:t>
            </w:r>
          </w:p>
        </w:tc>
        <w:tc>
          <w:tcPr>
            <w:tcW w:w="669" w:type="pct"/>
            <w:tcBorders>
              <w:top w:val="single" w:sz="4" w:space="0" w:color="auto"/>
              <w:left w:val="single" w:sz="4" w:space="0" w:color="auto"/>
              <w:bottom w:val="single" w:sz="4" w:space="0" w:color="auto"/>
              <w:right w:val="single" w:sz="4" w:space="0" w:color="auto"/>
            </w:tcBorders>
            <w:vAlign w:val="center"/>
          </w:tcPr>
          <w:p w14:paraId="0CB6C5F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Përditësimi i procedurave të MIP-së</w:t>
            </w:r>
          </w:p>
        </w:tc>
      </w:tr>
      <w:tr w:rsidR="004719D2" w:rsidRPr="00017794" w14:paraId="5156337D" w14:textId="77777777" w:rsidTr="00017794">
        <w:tc>
          <w:tcPr>
            <w:tcW w:w="1710" w:type="pct"/>
            <w:tcBorders>
              <w:top w:val="single" w:sz="4" w:space="0" w:color="auto"/>
              <w:left w:val="single" w:sz="4" w:space="0" w:color="auto"/>
              <w:bottom w:val="single" w:sz="4" w:space="0" w:color="auto"/>
              <w:right w:val="single" w:sz="4" w:space="0" w:color="auto"/>
            </w:tcBorders>
          </w:tcPr>
          <w:p w14:paraId="73C49C1B" w14:textId="40315D88" w:rsidR="004719D2" w:rsidRPr="00017794" w:rsidRDefault="00521846" w:rsidP="00521846">
            <w:pPr>
              <w:rPr>
                <w:rFonts w:ascii="Garamond" w:hAnsi="Garamond"/>
                <w:sz w:val="16"/>
                <w:szCs w:val="16"/>
              </w:rPr>
            </w:pPr>
            <w:r w:rsidRPr="00017794">
              <w:rPr>
                <w:rFonts w:ascii="Garamond" w:hAnsi="Garamond"/>
                <w:sz w:val="16"/>
                <w:szCs w:val="16"/>
              </w:rPr>
              <w:t xml:space="preserve">3. </w:t>
            </w:r>
            <w:r w:rsidR="004719D2" w:rsidRPr="00017794">
              <w:rPr>
                <w:rFonts w:ascii="Garamond" w:hAnsi="Garamond"/>
                <w:sz w:val="16"/>
                <w:szCs w:val="16"/>
              </w:rPr>
              <w:t>Pjesa e projekteve të investimeve publike që propozohen në bazë të prioriteteve strategjike të qeverisë (vlera e projekteve në një vit të caktuar)</w:t>
            </w:r>
          </w:p>
        </w:tc>
        <w:tc>
          <w:tcPr>
            <w:tcW w:w="365" w:type="pct"/>
            <w:tcBorders>
              <w:top w:val="single" w:sz="4" w:space="0" w:color="auto"/>
              <w:left w:val="single" w:sz="4" w:space="0" w:color="auto"/>
              <w:bottom w:val="single" w:sz="4" w:space="0" w:color="auto"/>
              <w:right w:val="single" w:sz="4" w:space="0" w:color="auto"/>
            </w:tcBorders>
            <w:vAlign w:val="center"/>
          </w:tcPr>
          <w:p w14:paraId="58A5B10B"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 xml:space="preserve">82% </w:t>
            </w:r>
          </w:p>
          <w:p w14:paraId="6785C8F0"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(2020)</w:t>
            </w:r>
          </w:p>
        </w:tc>
        <w:tc>
          <w:tcPr>
            <w:tcW w:w="840" w:type="pct"/>
            <w:tcBorders>
              <w:top w:val="single" w:sz="4" w:space="0" w:color="auto"/>
              <w:left w:val="single" w:sz="4" w:space="0" w:color="auto"/>
              <w:bottom w:val="single" w:sz="4" w:space="0" w:color="auto"/>
              <w:right w:val="single" w:sz="4" w:space="0" w:color="auto"/>
            </w:tcBorders>
            <w:vAlign w:val="center"/>
          </w:tcPr>
          <w:p w14:paraId="127A8624"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p>
        </w:tc>
        <w:tc>
          <w:tcPr>
            <w:tcW w:w="771" w:type="pct"/>
            <w:tcBorders>
              <w:top w:val="single" w:sz="4" w:space="0" w:color="auto"/>
              <w:left w:val="single" w:sz="4" w:space="0" w:color="auto"/>
              <w:bottom w:val="single" w:sz="4" w:space="0" w:color="auto"/>
              <w:right w:val="single" w:sz="4" w:space="0" w:color="auto"/>
            </w:tcBorders>
            <w:vAlign w:val="center"/>
          </w:tcPr>
          <w:p w14:paraId="0178DC96"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82%</w:t>
            </w:r>
          </w:p>
        </w:tc>
        <w:tc>
          <w:tcPr>
            <w:tcW w:w="645" w:type="pct"/>
            <w:tcBorders>
              <w:top w:val="single" w:sz="4" w:space="0" w:color="auto"/>
              <w:left w:val="single" w:sz="4" w:space="0" w:color="auto"/>
              <w:bottom w:val="single" w:sz="4" w:space="0" w:color="auto"/>
              <w:right w:val="single" w:sz="4" w:space="0" w:color="auto"/>
            </w:tcBorders>
            <w:vAlign w:val="center"/>
          </w:tcPr>
          <w:p w14:paraId="14B3213D"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82%</w:t>
            </w:r>
          </w:p>
        </w:tc>
        <w:tc>
          <w:tcPr>
            <w:tcW w:w="669" w:type="pct"/>
            <w:tcBorders>
              <w:top w:val="single" w:sz="4" w:space="0" w:color="auto"/>
              <w:left w:val="single" w:sz="4" w:space="0" w:color="auto"/>
              <w:bottom w:val="single" w:sz="4" w:space="0" w:color="auto"/>
              <w:right w:val="single" w:sz="4" w:space="0" w:color="auto"/>
            </w:tcBorders>
            <w:vAlign w:val="center"/>
          </w:tcPr>
          <w:p w14:paraId="370EE439"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82%</w:t>
            </w:r>
          </w:p>
        </w:tc>
      </w:tr>
      <w:tr w:rsidR="004719D2" w:rsidRPr="00017794" w14:paraId="6806498F" w14:textId="77777777" w:rsidTr="00017794">
        <w:tc>
          <w:tcPr>
            <w:tcW w:w="1710" w:type="pct"/>
            <w:tcBorders>
              <w:top w:val="single" w:sz="4" w:space="0" w:color="auto"/>
              <w:left w:val="single" w:sz="4" w:space="0" w:color="auto"/>
              <w:bottom w:val="single" w:sz="4" w:space="0" w:color="auto"/>
              <w:right w:val="single" w:sz="4" w:space="0" w:color="auto"/>
            </w:tcBorders>
          </w:tcPr>
          <w:p w14:paraId="73021D38" w14:textId="78905C3E" w:rsidR="004719D2" w:rsidRPr="00017794" w:rsidRDefault="00521846" w:rsidP="00521846">
            <w:pPr>
              <w:rPr>
                <w:rFonts w:ascii="Garamond" w:hAnsi="Garamond"/>
                <w:sz w:val="16"/>
                <w:szCs w:val="16"/>
              </w:rPr>
            </w:pPr>
            <w:r w:rsidRPr="00017794">
              <w:rPr>
                <w:rFonts w:ascii="Garamond" w:hAnsi="Garamond"/>
                <w:sz w:val="16"/>
                <w:szCs w:val="16"/>
              </w:rPr>
              <w:t xml:space="preserve">4. </w:t>
            </w:r>
            <w:r w:rsidR="004719D2" w:rsidRPr="00017794">
              <w:rPr>
                <w:rFonts w:ascii="Garamond" w:hAnsi="Garamond"/>
                <w:sz w:val="16"/>
                <w:szCs w:val="16"/>
              </w:rPr>
              <w:t>Disbursimet aktuale për projektet e mëdha të investimit krahasuar me disbursimet e planifikuara</w:t>
            </w:r>
            <w:r w:rsidR="00017794">
              <w:rPr>
                <w:rFonts w:ascii="Garamond" w:hAnsi="Garamond"/>
                <w:sz w:val="16"/>
                <w:szCs w:val="16"/>
              </w:rPr>
              <w:t>,</w:t>
            </w:r>
            <w:r w:rsidR="004719D2" w:rsidRPr="00017794">
              <w:rPr>
                <w:rFonts w:ascii="Garamond" w:hAnsi="Garamond"/>
                <w:sz w:val="16"/>
                <w:szCs w:val="16"/>
              </w:rPr>
              <w:t xml:space="preserve"> shoqëruar me shpjegimet përkatëse në rastet kur ka devijime</w:t>
            </w:r>
          </w:p>
        </w:tc>
        <w:tc>
          <w:tcPr>
            <w:tcW w:w="365" w:type="pct"/>
            <w:tcBorders>
              <w:top w:val="single" w:sz="4" w:space="0" w:color="auto"/>
              <w:left w:val="single" w:sz="4" w:space="0" w:color="auto"/>
              <w:bottom w:val="single" w:sz="4" w:space="0" w:color="auto"/>
              <w:right w:val="single" w:sz="4" w:space="0" w:color="auto"/>
            </w:tcBorders>
            <w:vAlign w:val="center"/>
          </w:tcPr>
          <w:p w14:paraId="3327F33E"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98%</w:t>
            </w:r>
          </w:p>
          <w:p w14:paraId="1EAB5BC8"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(2022)</w:t>
            </w:r>
          </w:p>
        </w:tc>
        <w:tc>
          <w:tcPr>
            <w:tcW w:w="840" w:type="pct"/>
            <w:tcBorders>
              <w:top w:val="single" w:sz="4" w:space="0" w:color="auto"/>
              <w:left w:val="single" w:sz="4" w:space="0" w:color="auto"/>
              <w:bottom w:val="single" w:sz="4" w:space="0" w:color="auto"/>
              <w:right w:val="single" w:sz="4" w:space="0" w:color="auto"/>
            </w:tcBorders>
            <w:vAlign w:val="center"/>
          </w:tcPr>
          <w:p w14:paraId="2EECBB5C"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p>
        </w:tc>
        <w:tc>
          <w:tcPr>
            <w:tcW w:w="771" w:type="pct"/>
            <w:tcBorders>
              <w:top w:val="single" w:sz="4" w:space="0" w:color="auto"/>
              <w:left w:val="single" w:sz="4" w:space="0" w:color="auto"/>
              <w:bottom w:val="single" w:sz="4" w:space="0" w:color="auto"/>
              <w:right w:val="single" w:sz="4" w:space="0" w:color="auto"/>
            </w:tcBorders>
            <w:vAlign w:val="center"/>
          </w:tcPr>
          <w:p w14:paraId="4ADC78A3"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98%</w:t>
            </w:r>
          </w:p>
        </w:tc>
        <w:tc>
          <w:tcPr>
            <w:tcW w:w="645" w:type="pct"/>
            <w:tcBorders>
              <w:top w:val="single" w:sz="4" w:space="0" w:color="auto"/>
              <w:left w:val="single" w:sz="4" w:space="0" w:color="auto"/>
              <w:bottom w:val="single" w:sz="4" w:space="0" w:color="auto"/>
              <w:right w:val="single" w:sz="4" w:space="0" w:color="auto"/>
            </w:tcBorders>
            <w:vAlign w:val="center"/>
          </w:tcPr>
          <w:p w14:paraId="070CD23F"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98%</w:t>
            </w:r>
          </w:p>
        </w:tc>
        <w:tc>
          <w:tcPr>
            <w:tcW w:w="669" w:type="pct"/>
            <w:tcBorders>
              <w:top w:val="single" w:sz="4" w:space="0" w:color="auto"/>
              <w:left w:val="single" w:sz="4" w:space="0" w:color="auto"/>
              <w:bottom w:val="single" w:sz="4" w:space="0" w:color="auto"/>
              <w:right w:val="single" w:sz="4" w:space="0" w:color="auto"/>
            </w:tcBorders>
            <w:vAlign w:val="center"/>
          </w:tcPr>
          <w:p w14:paraId="11EA63E0"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98%</w:t>
            </w:r>
          </w:p>
        </w:tc>
      </w:tr>
      <w:tr w:rsidR="004719D2" w:rsidRPr="00017794" w14:paraId="3BA89D87" w14:textId="77777777" w:rsidTr="00017794">
        <w:tc>
          <w:tcPr>
            <w:tcW w:w="1710" w:type="pct"/>
            <w:tcBorders>
              <w:top w:val="single" w:sz="4" w:space="0" w:color="auto"/>
              <w:left w:val="single" w:sz="4" w:space="0" w:color="auto"/>
              <w:bottom w:val="single" w:sz="4" w:space="0" w:color="auto"/>
              <w:right w:val="single" w:sz="4" w:space="0" w:color="auto"/>
            </w:tcBorders>
          </w:tcPr>
          <w:p w14:paraId="5440F433" w14:textId="552FB53A" w:rsidR="004719D2" w:rsidRPr="00017794" w:rsidRDefault="00521846" w:rsidP="00521846">
            <w:pPr>
              <w:rPr>
                <w:rFonts w:ascii="Garamond" w:hAnsi="Garamond"/>
                <w:sz w:val="16"/>
                <w:szCs w:val="16"/>
              </w:rPr>
            </w:pPr>
            <w:r w:rsidRPr="00017794">
              <w:rPr>
                <w:rFonts w:ascii="Garamond" w:hAnsi="Garamond"/>
                <w:sz w:val="16"/>
                <w:szCs w:val="16"/>
              </w:rPr>
              <w:t xml:space="preserve">5. </w:t>
            </w:r>
            <w:r w:rsidR="004719D2" w:rsidRPr="00017794">
              <w:rPr>
                <w:rFonts w:ascii="Garamond" w:hAnsi="Garamond"/>
                <w:sz w:val="16"/>
                <w:szCs w:val="16"/>
              </w:rPr>
              <w:t>Raporti i investimeve të reja publike të paraqitura brenda ciklit të PBA-së kundrejt totalit të investimeve të reja publike të miratuara në një vit</w:t>
            </w:r>
          </w:p>
        </w:tc>
        <w:tc>
          <w:tcPr>
            <w:tcW w:w="365" w:type="pct"/>
            <w:tcBorders>
              <w:top w:val="single" w:sz="4" w:space="0" w:color="auto"/>
              <w:left w:val="single" w:sz="4" w:space="0" w:color="auto"/>
              <w:bottom w:val="single" w:sz="4" w:space="0" w:color="auto"/>
              <w:right w:val="single" w:sz="4" w:space="0" w:color="auto"/>
            </w:tcBorders>
            <w:vAlign w:val="center"/>
          </w:tcPr>
          <w:p w14:paraId="5AE52F07"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74.2%</w:t>
            </w:r>
          </w:p>
          <w:p w14:paraId="254A0BF7"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Arial"/>
                <w:color w:val="000000" w:themeColor="text1"/>
                <w:sz w:val="16"/>
                <w:szCs w:val="16"/>
              </w:rPr>
              <w:t>(2022)</w:t>
            </w:r>
          </w:p>
        </w:tc>
        <w:tc>
          <w:tcPr>
            <w:tcW w:w="840" w:type="pct"/>
            <w:tcBorders>
              <w:top w:val="single" w:sz="4" w:space="0" w:color="auto"/>
              <w:left w:val="single" w:sz="4" w:space="0" w:color="auto"/>
              <w:bottom w:val="single" w:sz="4" w:space="0" w:color="auto"/>
              <w:right w:val="single" w:sz="4" w:space="0" w:color="auto"/>
            </w:tcBorders>
            <w:vAlign w:val="center"/>
          </w:tcPr>
          <w:p w14:paraId="24B9D634"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p>
        </w:tc>
        <w:tc>
          <w:tcPr>
            <w:tcW w:w="771" w:type="pct"/>
            <w:tcBorders>
              <w:top w:val="single" w:sz="4" w:space="0" w:color="auto"/>
              <w:left w:val="single" w:sz="4" w:space="0" w:color="auto"/>
              <w:bottom w:val="single" w:sz="4" w:space="0" w:color="auto"/>
              <w:right w:val="single" w:sz="4" w:space="0" w:color="auto"/>
            </w:tcBorders>
            <w:vAlign w:val="center"/>
          </w:tcPr>
          <w:p w14:paraId="085B49B5"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80%</w:t>
            </w:r>
          </w:p>
        </w:tc>
        <w:tc>
          <w:tcPr>
            <w:tcW w:w="645" w:type="pct"/>
            <w:tcBorders>
              <w:top w:val="single" w:sz="4" w:space="0" w:color="auto"/>
              <w:left w:val="single" w:sz="4" w:space="0" w:color="auto"/>
              <w:bottom w:val="single" w:sz="4" w:space="0" w:color="auto"/>
              <w:right w:val="single" w:sz="4" w:space="0" w:color="auto"/>
            </w:tcBorders>
            <w:vAlign w:val="center"/>
          </w:tcPr>
          <w:p w14:paraId="31275CCD"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85%</w:t>
            </w:r>
          </w:p>
        </w:tc>
        <w:tc>
          <w:tcPr>
            <w:tcW w:w="669" w:type="pct"/>
            <w:tcBorders>
              <w:top w:val="single" w:sz="4" w:space="0" w:color="auto"/>
              <w:left w:val="single" w:sz="4" w:space="0" w:color="auto"/>
              <w:bottom w:val="single" w:sz="4" w:space="0" w:color="auto"/>
              <w:right w:val="single" w:sz="4" w:space="0" w:color="auto"/>
            </w:tcBorders>
            <w:vAlign w:val="center"/>
          </w:tcPr>
          <w:p w14:paraId="4E1FF937" w14:textId="77777777" w:rsidR="004719D2" w:rsidRPr="00017794" w:rsidRDefault="004719D2" w:rsidP="00CF7CEC">
            <w:pPr>
              <w:pStyle w:val="EcorysBody"/>
              <w:spacing w:line="240" w:lineRule="auto"/>
              <w:jc w:val="center"/>
              <w:rPr>
                <w:rFonts w:ascii="Garamond" w:hAnsi="Garamond" w:cs="Arial"/>
                <w:color w:val="000000" w:themeColor="text1"/>
                <w:sz w:val="16"/>
                <w:szCs w:val="16"/>
              </w:rPr>
            </w:pPr>
            <w:r w:rsidRPr="00017794">
              <w:rPr>
                <w:rFonts w:ascii="Garamond" w:hAnsi="Garamond" w:cs="Calibri"/>
                <w:color w:val="000000" w:themeColor="text1"/>
                <w:sz w:val="16"/>
                <w:szCs w:val="16"/>
              </w:rPr>
              <w:t xml:space="preserve">≥ </w:t>
            </w:r>
            <w:r w:rsidRPr="00017794">
              <w:rPr>
                <w:rFonts w:ascii="Garamond" w:hAnsi="Garamond" w:cs="Arial"/>
                <w:color w:val="000000" w:themeColor="text1"/>
                <w:sz w:val="16"/>
                <w:szCs w:val="16"/>
              </w:rPr>
              <w:t>90%</w:t>
            </w:r>
          </w:p>
        </w:tc>
      </w:tr>
    </w:tbl>
    <w:p w14:paraId="4EB0291F" w14:textId="77777777" w:rsidR="004719D2" w:rsidRPr="004A47DC" w:rsidRDefault="004719D2" w:rsidP="004719D2">
      <w:pPr>
        <w:rPr>
          <w:rFonts w:ascii="Garamond" w:hAnsi="Garamond"/>
          <w:color w:val="000000" w:themeColor="text1"/>
        </w:rPr>
      </w:pPr>
    </w:p>
    <w:p w14:paraId="770BE8EA" w14:textId="0FF51C7A" w:rsidR="004719D2" w:rsidRPr="004A47DC" w:rsidRDefault="004B74CF" w:rsidP="004B74CF">
      <w:pPr>
        <w:pStyle w:val="TEKSTIII"/>
        <w:rPr>
          <w:rStyle w:val="IntenseReference"/>
          <w:rFonts w:ascii="Garamond" w:hAnsi="Garamond"/>
          <w:b/>
          <w:i w:val="0"/>
          <w:color w:val="000000" w:themeColor="text1"/>
          <w:sz w:val="24"/>
          <w:szCs w:val="24"/>
        </w:rPr>
      </w:pPr>
      <w:bookmarkStart w:id="12" w:name="_Toc151048290"/>
      <w:bookmarkStart w:id="13" w:name="_Toc168918681"/>
      <w:r w:rsidRPr="004A47DC">
        <w:rPr>
          <w:rStyle w:val="IntenseReference"/>
          <w:rFonts w:ascii="Garamond" w:hAnsi="Garamond"/>
          <w:b/>
          <w:i w:val="0"/>
          <w:color w:val="000000" w:themeColor="text1"/>
          <w:sz w:val="24"/>
          <w:szCs w:val="24"/>
        </w:rPr>
        <w:t xml:space="preserve">3.5 </w:t>
      </w:r>
      <w:r w:rsidR="004719D2" w:rsidRPr="004A47DC">
        <w:rPr>
          <w:rStyle w:val="IntenseReference"/>
          <w:rFonts w:ascii="Garamond" w:hAnsi="Garamond"/>
          <w:b/>
          <w:i w:val="0"/>
          <w:color w:val="000000" w:themeColor="text1"/>
          <w:sz w:val="24"/>
          <w:szCs w:val="24"/>
        </w:rPr>
        <w:t>Komponenti 2.4</w:t>
      </w:r>
      <w:r w:rsidR="00D65061" w:rsidRPr="004A47DC">
        <w:rPr>
          <w:rStyle w:val="IntenseReference"/>
          <w:rFonts w:ascii="Garamond" w:hAnsi="Garamond"/>
          <w:b/>
          <w:i w:val="0"/>
          <w:color w:val="000000" w:themeColor="text1"/>
          <w:sz w:val="24"/>
          <w:szCs w:val="24"/>
        </w:rPr>
        <w:t>:</w:t>
      </w:r>
      <w:r w:rsidR="004719D2" w:rsidRPr="004A47DC">
        <w:rPr>
          <w:rStyle w:val="IntenseReference"/>
          <w:rFonts w:ascii="Garamond" w:hAnsi="Garamond"/>
          <w:b/>
          <w:i w:val="0"/>
          <w:color w:val="000000" w:themeColor="text1"/>
          <w:sz w:val="24"/>
          <w:szCs w:val="24"/>
        </w:rPr>
        <w:t xml:space="preserve"> </w:t>
      </w:r>
      <w:bookmarkEnd w:id="12"/>
      <w:r w:rsidR="004719D2" w:rsidRPr="004A47DC">
        <w:rPr>
          <w:rStyle w:val="IntenseReference"/>
          <w:rFonts w:ascii="Garamond" w:hAnsi="Garamond"/>
          <w:b/>
          <w:i w:val="0"/>
          <w:color w:val="000000" w:themeColor="text1"/>
          <w:sz w:val="24"/>
          <w:szCs w:val="24"/>
        </w:rPr>
        <w:t xml:space="preserve">Financat </w:t>
      </w:r>
      <w:r w:rsidR="00D65061" w:rsidRPr="004A47DC">
        <w:rPr>
          <w:rStyle w:val="IntenseReference"/>
          <w:rFonts w:ascii="Garamond" w:hAnsi="Garamond"/>
          <w:b/>
          <w:i w:val="0"/>
          <w:color w:val="000000" w:themeColor="text1"/>
          <w:sz w:val="24"/>
          <w:szCs w:val="24"/>
        </w:rPr>
        <w:t>v</w:t>
      </w:r>
      <w:r w:rsidR="004719D2" w:rsidRPr="004A47DC">
        <w:rPr>
          <w:rStyle w:val="IntenseReference"/>
          <w:rFonts w:ascii="Garamond" w:hAnsi="Garamond"/>
          <w:b/>
          <w:i w:val="0"/>
          <w:color w:val="000000" w:themeColor="text1"/>
          <w:sz w:val="24"/>
          <w:szCs w:val="24"/>
        </w:rPr>
        <w:t>endore</w:t>
      </w:r>
      <w:bookmarkEnd w:id="13"/>
    </w:p>
    <w:p w14:paraId="79A0D3B4" w14:textId="77777777" w:rsidR="004719D2" w:rsidRPr="004A47DC" w:rsidRDefault="004719D2" w:rsidP="004B74CF">
      <w:pPr>
        <w:pStyle w:val="TEKSTIII"/>
        <w:rPr>
          <w:b/>
        </w:rPr>
      </w:pPr>
      <w:r w:rsidRPr="004A47DC">
        <w:rPr>
          <w:b/>
        </w:rPr>
        <w:t>Objektivi</w:t>
      </w:r>
    </w:p>
    <w:p w14:paraId="29E68AF1" w14:textId="77777777" w:rsidR="004719D2" w:rsidRPr="004A47DC" w:rsidRDefault="004719D2" w:rsidP="004B74CF">
      <w:pPr>
        <w:pStyle w:val="TEKSTIII"/>
      </w:pPr>
      <w:r w:rsidRPr="004A47DC">
        <w:t>Synimi për vitin 2030 është që bashkitë të kenë sisteme të fuqishme të MFP-së dhe burime financiare të përshtatshme përmes mekanizmave transparentë të ndarjes dhe transferimit të të ardhurave dhe kapaciteteve të mbledhjes së të ardhurave që u mundësojnë atyre të ofrojnë shërbime publike në përputhje me standardet e aplikueshme.</w:t>
      </w:r>
    </w:p>
    <w:p w14:paraId="4C69118F" w14:textId="77777777" w:rsidR="004719D2" w:rsidRPr="004A47DC" w:rsidRDefault="004719D2" w:rsidP="004B74CF">
      <w:pPr>
        <w:pStyle w:val="TEKSTIII"/>
        <w:rPr>
          <w:b/>
        </w:rPr>
      </w:pPr>
      <w:r w:rsidRPr="004A47DC">
        <w:rPr>
          <w:b/>
        </w:rPr>
        <w:t>Konteksti</w:t>
      </w:r>
    </w:p>
    <w:p w14:paraId="75D367BF" w14:textId="55693AF8" w:rsidR="004719D2" w:rsidRPr="004A47DC" w:rsidRDefault="004719D2" w:rsidP="004B74CF">
      <w:pPr>
        <w:pStyle w:val="TEKSTIII"/>
      </w:pPr>
      <w:r w:rsidRPr="004A47DC">
        <w:t>Reformat për formulimin e PBA-së në nivel vendor dhe për transfertat për bashkitë janë zbatuar në lidhje me a</w:t>
      </w:r>
      <w:r w:rsidR="00D65061" w:rsidRPr="004A47DC">
        <w:t>gj</w:t>
      </w:r>
      <w:r w:rsidRPr="004A47DC">
        <w:t>endën e reformës së decentralizimit të qeverisjes vendore. Pas Reformës Administrative Territoriale, në vitin 2015</w:t>
      </w:r>
      <w:r w:rsidR="00FA321F">
        <w:t>,</w:t>
      </w:r>
      <w:r w:rsidRPr="004A47DC">
        <w:t xml:space="preserve"> numri i njësive të vetëqeverisjes vendore (NJVQV) është reduktuar nga 373 në 61 dhe është krijuar Këshilli Konsultativ për të debatuar dhe dakordësuar për çështje të ndryshme ndërmjet pushtetit qendror dhe atij vendor. A</w:t>
      </w:r>
      <w:r w:rsidR="00D65061" w:rsidRPr="004A47DC">
        <w:t>gj</w:t>
      </w:r>
      <w:r w:rsidRPr="004A47DC">
        <w:t xml:space="preserve">enda e decentralizimit u avancua më tej, fillimisht përmes një ligji organik </w:t>
      </w:r>
      <w:r w:rsidR="00E33A13" w:rsidRPr="004A47DC">
        <w:t>“</w:t>
      </w:r>
      <w:r w:rsidRPr="004A47DC">
        <w:t xml:space="preserve">Për </w:t>
      </w:r>
      <w:r w:rsidR="00FA321F" w:rsidRPr="004A47DC">
        <w:t>vetëqeverisjen vendore</w:t>
      </w:r>
      <w:r w:rsidR="00E33A13" w:rsidRPr="004A47DC">
        <w:t>”</w:t>
      </w:r>
      <w:r w:rsidR="00FA321F">
        <w:t>,</w:t>
      </w:r>
      <w:r w:rsidRPr="004A47DC">
        <w:t xml:space="preserve"> i cili përcakton kompetencat dhe funksionet e njësive të vetëqeverisjes vendore. Për të siguruar burime të qëndrueshme financimi, llogaridhënie dhe transparencë për strukturën e re të qeverisjes vendore kërkohej një kuadër i fortë rregullator. Rrjedhimisht, në vitin 2017 u miratua ligji i ri për financat e vetëqeverisjes vendore. Ky ligj përforcon autonominë fiskale vendore, duke zgjeruar opsionet e financimit dhe duke përcaktuar rregullat dhe procedurat për menaxhimin e financave publike (MFP) në nivelin vendor. Balancon rritjen e autonomisë financiare me disiplinën fiskale</w:t>
      </w:r>
      <w:r w:rsidR="00FA321F">
        <w:t>,</w:t>
      </w:r>
      <w:r w:rsidRPr="004A47DC">
        <w:t xml:space="preserve"> duke vendosur rregulla për shpenzime të kujdesshme, politika transparente, parashikime realiste të të ardhurave dhe shpenzimeve</w:t>
      </w:r>
      <w:r w:rsidR="00FA321F">
        <w:t>,</w:t>
      </w:r>
      <w:r w:rsidRPr="004A47DC">
        <w:t xml:space="preserve"> dhe harmonizimin e proceseve buxhetore me qeverinë qendrore.</w:t>
      </w:r>
    </w:p>
    <w:p w14:paraId="16EE6881" w14:textId="497CEDDB" w:rsidR="004719D2" w:rsidRPr="004A47DC" w:rsidRDefault="004719D2" w:rsidP="00BF64AB">
      <w:pPr>
        <w:pStyle w:val="TEKSTIII"/>
      </w:pPr>
      <w:r w:rsidRPr="004A47DC">
        <w:t>Progresi i fundit i a</w:t>
      </w:r>
      <w:r w:rsidR="00D65061" w:rsidRPr="004A47DC">
        <w:t>gj</w:t>
      </w:r>
      <w:r w:rsidRPr="004A47DC">
        <w:t xml:space="preserve">endës së decentralizimit është shoqëruar me disa përmirësime thelbësore në performancën financiare të qeverisjes vendore. Raporti i të ardhurave nga burimet </w:t>
      </w:r>
      <w:r w:rsidR="00FA321F">
        <w:t xml:space="preserve">e </w:t>
      </w:r>
      <w:r w:rsidRPr="004A47DC">
        <w:t>veta të qeverisjes vendore ndaj PBB-së u dyfishua gjatë një periudhe shtatëvjeçare</w:t>
      </w:r>
      <w:r w:rsidRPr="004A47DC">
        <w:rPr>
          <w:rStyle w:val="FootnoteReference"/>
          <w:rFonts w:ascii="Garamond" w:hAnsi="Garamond"/>
          <w:color w:val="000000" w:themeColor="text1"/>
          <w:sz w:val="24"/>
          <w:szCs w:val="24"/>
        </w:rPr>
        <w:footnoteReference w:id="26"/>
      </w:r>
      <w:r w:rsidRPr="004A47DC">
        <w:t xml:space="preserve"> (1.66% në vitin 2022 krahasuar me 0.82% në vitin 2015). Ndërkohë, të ardhurat e NJVQV-ve nga burimet e veta (tatimore dhe jotatimore) janë rritur me 164% ndërmjet viteve 2015 dhe 2022. Mbi 80% e NJVQV-ve kanë shënuar një rritje të rëndësishme të të ardhurave të veta gjatë të njëjtës periudhe</w:t>
      </w:r>
      <w:r w:rsidRPr="004A47DC">
        <w:rPr>
          <w:rStyle w:val="FootnoteReference"/>
          <w:rFonts w:ascii="Garamond" w:hAnsi="Garamond"/>
          <w:color w:val="000000" w:themeColor="text1"/>
          <w:sz w:val="24"/>
          <w:szCs w:val="24"/>
        </w:rPr>
        <w:footnoteReference w:id="27"/>
      </w:r>
      <w:r w:rsidRPr="004A47DC">
        <w:t>, që paraqet përmirësim të kapacitetit të tyre fiskal për financimin e shërbimeve vendore. Shpenzimet e pushtetit vendor përfaqësonin rreth 9.02% të totalit të shpenzimeve publike në vitin 2022, krahasuar me 7.7% në vitin 2015. Për më tepër, sistemi i transfertave të bazuara në formulë, të granteve të pakushtëzuara tek bashkitë është përmirësuar. Grantet për NJVQV-të bazohen në treguesit e numrit të popullsisë, dendësisë së popullsisë dhe numrit të nxënësve dhe rregullohen</w:t>
      </w:r>
      <w:r w:rsidR="00FA321F">
        <w:t>,</w:t>
      </w:r>
      <w:r w:rsidRPr="004A47DC">
        <w:t xml:space="preserve"> më tej</w:t>
      </w:r>
      <w:r w:rsidR="00FA321F">
        <w:t>,</w:t>
      </w:r>
      <w:r w:rsidRPr="004A47DC">
        <w:t xml:space="preserve"> duke ndjekur një ekuacion financiar bazuar në kapacitetin fiskal të bashkisë për të rritur të ardhurat. Me transferimin e funksioneve të caktuara të qeverisë (arsimi parashkollor, vaditje, administrim pyjor, mbrojtje nga zjarri, rrugë rurale) nga pushteti qendror tek bashkitë në vitin 2016, formula për përcaktimin e transfertave është përshtatur në përputhje me rrethanat. Bashkitë janë të lira të ndajnë dhe të bartin grantet e pakushtëzuara që marrin. Përveç këtyre granteve të pakushtëzuara, jepen edhe disa grante të kushtëzuara për të kompensuar koston e funksioneve të qeverisë qendrore që i delegohen pushtetit vendor – p.sh. regjistrimet civile. Llogaritja e granteve është e rregulluar me </w:t>
      </w:r>
      <w:r w:rsidR="00FA321F" w:rsidRPr="004A47DC">
        <w:t>ligjin për financat e vetëqeverisjes vendore</w:t>
      </w:r>
      <w:r w:rsidRPr="00FA321F">
        <w:rPr>
          <w:rStyle w:val="FootnoteReference"/>
          <w:rFonts w:ascii="Garamond" w:hAnsi="Garamond"/>
          <w:color w:val="000000" w:themeColor="text1"/>
          <w:sz w:val="24"/>
          <w:szCs w:val="24"/>
        </w:rPr>
        <w:footnoteReference w:id="28"/>
      </w:r>
      <w:r w:rsidRPr="004A47DC">
        <w:t xml:space="preserve">. Për të siguruar një planifikim të mirëintegruar dhe efikas, janë bërë arritje të rëndësishme për forcimin e menaxhimit financiar në qeverisjen vendore në kuadrin rregullator, si miratimi i ligjit </w:t>
      </w:r>
      <w:r w:rsidR="00E33A13" w:rsidRPr="004A47DC">
        <w:t>“</w:t>
      </w:r>
      <w:r w:rsidRPr="004A47DC">
        <w:t xml:space="preserve">Për </w:t>
      </w:r>
      <w:r w:rsidR="00EA3EB8" w:rsidRPr="004A47DC">
        <w:t>vetëqeverisjen vendore</w:t>
      </w:r>
      <w:r w:rsidR="00E33A13" w:rsidRPr="004A47DC">
        <w:t>”</w:t>
      </w:r>
      <w:r w:rsidRPr="004A47DC">
        <w:t xml:space="preserve">, </w:t>
      </w:r>
      <w:r w:rsidR="00EA3EB8">
        <w:t>i l</w:t>
      </w:r>
      <w:r w:rsidRPr="004A47DC">
        <w:t xml:space="preserve">igjit </w:t>
      </w:r>
      <w:r w:rsidR="00E33A13" w:rsidRPr="004A47DC">
        <w:t>“</w:t>
      </w:r>
      <w:r w:rsidRPr="004A47DC">
        <w:t xml:space="preserve">Për </w:t>
      </w:r>
      <w:r w:rsidR="00EA3EB8" w:rsidRPr="004A47DC">
        <w:t>financat e vetëqeverisjes vendore</w:t>
      </w:r>
      <w:r w:rsidR="00E33A13" w:rsidRPr="004A47DC">
        <w:t>”</w:t>
      </w:r>
      <w:r w:rsidRPr="004A47DC">
        <w:t xml:space="preserve"> dhe disa akte nënligjore dhe udhëzime.</w:t>
      </w:r>
    </w:p>
    <w:p w14:paraId="52E18B68" w14:textId="3089BB96" w:rsidR="004719D2" w:rsidRPr="004A47DC" w:rsidRDefault="004719D2" w:rsidP="00BF64AB">
      <w:pPr>
        <w:pStyle w:val="TEKSTIII"/>
        <w:rPr>
          <w:color w:val="000000" w:themeColor="text1"/>
        </w:rPr>
      </w:pPr>
      <w:r w:rsidRPr="004A47DC">
        <w:rPr>
          <w:color w:val="000000" w:themeColor="text1"/>
        </w:rPr>
        <w:t>Sistemi i mbikëqyrjes financiare të bashkive nga qeveria qendrore gjithashtu është përmirësuar me qëllim të mbështetjes së bashkive në vështirësi fiskale. Bashkitë me nivel shumë të lartë borxhesh dhe detyrimesh të prapambetura duhet të përgatisin dhe zbatojnë një plan rehabilitimi financiar nën mbikëqyrjen e MF-së</w:t>
      </w:r>
      <w:r w:rsidRPr="004A47DC">
        <w:rPr>
          <w:rStyle w:val="FootnoteReference"/>
          <w:rFonts w:ascii="Garamond" w:hAnsi="Garamond"/>
          <w:color w:val="000000" w:themeColor="text1"/>
        </w:rPr>
        <w:footnoteReference w:id="29"/>
      </w:r>
      <w:r w:rsidRPr="004A47DC">
        <w:rPr>
          <w:color w:val="000000" w:themeColor="text1"/>
        </w:rPr>
        <w:t>. MF</w:t>
      </w:r>
      <w:r w:rsidR="007C1987">
        <w:rPr>
          <w:color w:val="000000" w:themeColor="text1"/>
        </w:rPr>
        <w:t>-ja</w:t>
      </w:r>
      <w:r w:rsidRPr="004A47DC">
        <w:rPr>
          <w:color w:val="000000" w:themeColor="text1"/>
        </w:rPr>
        <w:t xml:space="preserve"> përgatit raportin vjetor: </w:t>
      </w:r>
      <w:r w:rsidR="00E33A13" w:rsidRPr="004A47DC">
        <w:rPr>
          <w:color w:val="000000" w:themeColor="text1"/>
        </w:rPr>
        <w:t>“</w:t>
      </w:r>
      <w:r w:rsidRPr="004A47DC">
        <w:rPr>
          <w:color w:val="000000" w:themeColor="text1"/>
        </w:rPr>
        <w:t>Për gjendjen e vështirësive financiare të njësive të vetëqeverisjes vendore</w:t>
      </w:r>
      <w:r w:rsidR="00E33A13" w:rsidRPr="004A47DC">
        <w:rPr>
          <w:color w:val="000000" w:themeColor="text1"/>
        </w:rPr>
        <w:t>”</w:t>
      </w:r>
      <w:r w:rsidRPr="004A47DC">
        <w:rPr>
          <w:color w:val="000000" w:themeColor="text1"/>
        </w:rPr>
        <w:t>, për monitorimin e gjendjes financiare të njësive të vetëqeverisjes vendore.</w:t>
      </w:r>
    </w:p>
    <w:p w14:paraId="7934F518" w14:textId="0619CFCD" w:rsidR="004719D2" w:rsidRPr="004A47DC" w:rsidRDefault="004719D2" w:rsidP="00BF64AB">
      <w:pPr>
        <w:pStyle w:val="TEKSTIII"/>
        <w:rPr>
          <w:color w:val="000000" w:themeColor="text1"/>
        </w:rPr>
      </w:pPr>
      <w:r w:rsidRPr="004A47DC">
        <w:rPr>
          <w:color w:val="000000" w:themeColor="text1"/>
        </w:rPr>
        <w:t>Gjithashtu</w:t>
      </w:r>
      <w:r w:rsidR="007C1987">
        <w:rPr>
          <w:color w:val="000000" w:themeColor="text1"/>
        </w:rPr>
        <w:t>,</w:t>
      </w:r>
      <w:r w:rsidRPr="004A47DC">
        <w:rPr>
          <w:color w:val="000000" w:themeColor="text1"/>
        </w:rPr>
        <w:t xml:space="preserve"> formulimi i PBA-së nga NJVQV-të është zhvilluar më tej duke respektuar autonominë vendore. NJVQV-të zhvillojnë PBA-në e tyre me programet buxhetore, qëllimet e politikave, objektivat, produktet dhe TKP-të dhe monitorojnë</w:t>
      </w:r>
      <w:r w:rsidR="007C1987">
        <w:rPr>
          <w:color w:val="000000" w:themeColor="text1"/>
        </w:rPr>
        <w:t>,</w:t>
      </w:r>
      <w:r w:rsidRPr="004A47DC">
        <w:rPr>
          <w:color w:val="000000" w:themeColor="text1"/>
        </w:rPr>
        <w:t xml:space="preserve"> dhe raportojnë për zbatimin e buxhetit. Është duke u zhvilluar një reformë për të përafruar strukturën programore të buxhetit të NJVQV-ve me marrëveshjet e ofrimit të shërbimeve në çdo bashki.</w:t>
      </w:r>
    </w:p>
    <w:p w14:paraId="73A776CA" w14:textId="77777777" w:rsidR="004719D2" w:rsidRPr="004A47DC" w:rsidRDefault="004719D2" w:rsidP="00BF64AB">
      <w:pPr>
        <w:pStyle w:val="TEKSTIII"/>
        <w:rPr>
          <w:b/>
          <w:color w:val="000000" w:themeColor="text1"/>
        </w:rPr>
      </w:pPr>
      <w:r w:rsidRPr="004A47DC">
        <w:rPr>
          <w:b/>
          <w:color w:val="000000" w:themeColor="text1"/>
        </w:rPr>
        <w:t>Prioritetet</w:t>
      </w:r>
    </w:p>
    <w:p w14:paraId="7A851066" w14:textId="6E802F72" w:rsidR="004719D2" w:rsidRPr="004A47DC" w:rsidRDefault="004719D2" w:rsidP="00BF64AB">
      <w:pPr>
        <w:pStyle w:val="TEKSTIII"/>
        <w:rPr>
          <w:color w:val="000000" w:themeColor="text1"/>
        </w:rPr>
      </w:pPr>
      <w:r w:rsidRPr="004A47DC">
        <w:rPr>
          <w:color w:val="000000" w:themeColor="text1"/>
        </w:rPr>
        <w:t xml:space="preserve">Prioritetet për periudhën </w:t>
      </w:r>
      <w:r w:rsidR="00DB1D7E" w:rsidRPr="004A47DC">
        <w:rPr>
          <w:color w:val="000000" w:themeColor="text1"/>
        </w:rPr>
        <w:t>2023–2026</w:t>
      </w:r>
      <w:r w:rsidRPr="004A47DC">
        <w:rPr>
          <w:color w:val="000000" w:themeColor="text1"/>
        </w:rPr>
        <w:t xml:space="preserve"> janë: </w:t>
      </w:r>
    </w:p>
    <w:p w14:paraId="5DD32458" w14:textId="4DFC946C" w:rsidR="004719D2" w:rsidRPr="004A47DC" w:rsidRDefault="00BF64AB" w:rsidP="00BF64AB">
      <w:pPr>
        <w:pStyle w:val="TEKSTIII"/>
        <w:rPr>
          <w:color w:val="000000" w:themeColor="text1"/>
        </w:rPr>
      </w:pPr>
      <w:r w:rsidRPr="004A47DC">
        <w:rPr>
          <w:rStyle w:val="rynqvb"/>
          <w:color w:val="000000" w:themeColor="text1"/>
        </w:rPr>
        <w:t xml:space="preserve">- </w:t>
      </w:r>
      <w:r w:rsidR="004719D2" w:rsidRPr="004A47DC">
        <w:rPr>
          <w:rStyle w:val="rynqvb"/>
          <w:color w:val="000000" w:themeColor="text1"/>
        </w:rPr>
        <w:t xml:space="preserve">Përshtatja e formulës së transfertave të pakushtëzuara, për shkak të ndryshimit të të dhënave të reja të </w:t>
      </w:r>
      <w:r w:rsidR="007C1987" w:rsidRPr="004A47DC">
        <w:rPr>
          <w:rStyle w:val="rynqvb"/>
          <w:color w:val="000000" w:themeColor="text1"/>
        </w:rPr>
        <w:t>CENSIT</w:t>
      </w:r>
      <w:r w:rsidR="007C1987">
        <w:rPr>
          <w:rStyle w:val="rynqvb"/>
          <w:color w:val="000000" w:themeColor="text1"/>
        </w:rPr>
        <w:t>,</w:t>
      </w:r>
      <w:r w:rsidR="004719D2" w:rsidRPr="004A47DC">
        <w:rPr>
          <w:rStyle w:val="rynqvb"/>
          <w:color w:val="000000" w:themeColor="text1"/>
        </w:rPr>
        <w:t xml:space="preserve"> për numrin e popullsisë</w:t>
      </w:r>
      <w:r w:rsidR="007C1987">
        <w:rPr>
          <w:rStyle w:val="rynqvb"/>
          <w:color w:val="000000" w:themeColor="text1"/>
        </w:rPr>
        <w:t>,</w:t>
      </w:r>
      <w:r w:rsidR="004719D2" w:rsidRPr="004A47DC">
        <w:rPr>
          <w:rStyle w:val="rynqvb"/>
          <w:color w:val="000000" w:themeColor="text1"/>
        </w:rPr>
        <w:t xml:space="preserve"> si dhe rishikimit të kritereve në bazë të këtyre rezultateve</w:t>
      </w:r>
      <w:r w:rsidR="007C1987">
        <w:rPr>
          <w:rStyle w:val="rynqvb"/>
          <w:color w:val="000000" w:themeColor="text1"/>
        </w:rPr>
        <w:t>;</w:t>
      </w:r>
    </w:p>
    <w:p w14:paraId="08263796" w14:textId="6FA3FA6B" w:rsidR="004719D2" w:rsidRPr="004A47DC" w:rsidRDefault="00BF64AB" w:rsidP="00BF64AB">
      <w:pPr>
        <w:pStyle w:val="TEKSTIII"/>
        <w:rPr>
          <w:color w:val="000000" w:themeColor="text1"/>
        </w:rPr>
      </w:pPr>
      <w:r w:rsidRPr="004A47DC">
        <w:rPr>
          <w:color w:val="000000" w:themeColor="text1"/>
        </w:rPr>
        <w:t>-</w:t>
      </w:r>
      <w:r w:rsidR="004719D2" w:rsidRPr="004A47DC">
        <w:rPr>
          <w:color w:val="000000" w:themeColor="text1"/>
        </w:rPr>
        <w:t>Përmirësimi i praktikave për zbatimin e buxhetit, monitorimin e buxhetit; formulimin dhe përgatitjen e PBA-së.</w:t>
      </w:r>
    </w:p>
    <w:p w14:paraId="3D2F3362" w14:textId="75500082" w:rsidR="004719D2" w:rsidRPr="004A47DC" w:rsidRDefault="00BF64AB" w:rsidP="00BF64AB">
      <w:pPr>
        <w:pStyle w:val="TEKSTIII"/>
        <w:rPr>
          <w:rStyle w:val="rynqvb"/>
          <w:color w:val="000000" w:themeColor="text1"/>
        </w:rPr>
      </w:pPr>
      <w:r w:rsidRPr="004A47DC">
        <w:rPr>
          <w:rStyle w:val="rynqvb"/>
          <w:color w:val="000000" w:themeColor="text1"/>
        </w:rPr>
        <w:t xml:space="preserve"> -</w:t>
      </w:r>
      <w:r w:rsidR="004719D2" w:rsidRPr="004A47DC">
        <w:rPr>
          <w:rStyle w:val="rynqvb"/>
          <w:color w:val="000000" w:themeColor="text1"/>
        </w:rPr>
        <w:t>Forcimi i sistemeve të menaxhimit të financave publike dhe informacionit financiar në nivelin vendor përmes përdorimit të SIMFSH</w:t>
      </w:r>
      <w:r w:rsidR="007C1987">
        <w:rPr>
          <w:rStyle w:val="rynqvb"/>
          <w:color w:val="000000" w:themeColor="text1"/>
        </w:rPr>
        <w:t>-së</w:t>
      </w:r>
      <w:r w:rsidR="004719D2" w:rsidRPr="004A47DC">
        <w:rPr>
          <w:rStyle w:val="rynqvb"/>
          <w:color w:val="000000" w:themeColor="text1"/>
        </w:rPr>
        <w:t xml:space="preserve"> në nivelin vendor.</w:t>
      </w:r>
    </w:p>
    <w:p w14:paraId="56D311CA" w14:textId="77777777" w:rsidR="004719D2" w:rsidRPr="004A47DC" w:rsidRDefault="004719D2" w:rsidP="004719D2">
      <w:pPr>
        <w:pStyle w:val="N-Bullet"/>
        <w:spacing w:line="240" w:lineRule="auto"/>
        <w:ind w:firstLine="0"/>
        <w:jc w:val="both"/>
        <w:rPr>
          <w:rFonts w:ascii="Garamond" w:hAnsi="Garamond"/>
          <w:color w:val="000000" w:themeColor="text1"/>
          <w:sz w:val="24"/>
        </w:rPr>
      </w:pPr>
    </w:p>
    <w:p w14:paraId="7A5E4E64"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656"/>
        <w:gridCol w:w="3637"/>
        <w:gridCol w:w="689"/>
        <w:gridCol w:w="854"/>
        <w:gridCol w:w="1225"/>
      </w:tblGrid>
      <w:tr w:rsidR="004719D2" w:rsidRPr="004A47DC" w14:paraId="3C4631E0" w14:textId="77777777" w:rsidTr="00D65061">
        <w:trPr>
          <w:trHeight w:val="182"/>
          <w:tblHeader/>
        </w:trPr>
        <w:tc>
          <w:tcPr>
            <w:tcW w:w="146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254A2"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200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A57989"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343677"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1A47D4"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6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4251BA" w14:textId="77777777" w:rsidR="004719D2" w:rsidRPr="004A47DC" w:rsidRDefault="004719D2" w:rsidP="00D65061">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3DC04450" w14:textId="77777777" w:rsidTr="00D65061">
        <w:trPr>
          <w:trHeight w:val="20"/>
        </w:trPr>
        <w:tc>
          <w:tcPr>
            <w:tcW w:w="1466" w:type="pct"/>
            <w:vMerge w:val="restart"/>
            <w:tcBorders>
              <w:top w:val="single" w:sz="4" w:space="0" w:color="auto"/>
              <w:left w:val="single" w:sz="4" w:space="0" w:color="auto"/>
              <w:bottom w:val="single" w:sz="4" w:space="0" w:color="auto"/>
              <w:right w:val="single" w:sz="4" w:space="0" w:color="auto"/>
            </w:tcBorders>
          </w:tcPr>
          <w:p w14:paraId="6BF42807" w14:textId="4431D758"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2.4.1 Përmirësimi i formulës së granteve dhe sistemit të llogaritjes për qeverisjen vendore</w:t>
            </w:r>
          </w:p>
        </w:tc>
        <w:tc>
          <w:tcPr>
            <w:tcW w:w="2007" w:type="pct"/>
            <w:tcBorders>
              <w:top w:val="single" w:sz="4" w:space="0" w:color="auto"/>
              <w:left w:val="single" w:sz="4" w:space="0" w:color="auto"/>
              <w:bottom w:val="single" w:sz="4" w:space="0" w:color="auto"/>
              <w:right w:val="single" w:sz="4" w:space="0" w:color="auto"/>
            </w:tcBorders>
            <w:vAlign w:val="center"/>
            <w:hideMark/>
          </w:tcPr>
          <w:p w14:paraId="10B08397" w14:textId="77777777" w:rsidR="004719D2" w:rsidRPr="004A47DC" w:rsidRDefault="004719D2" w:rsidP="00732B6D">
            <w:pPr>
              <w:pStyle w:val="EcorysBody"/>
              <w:numPr>
                <w:ilvl w:val="0"/>
                <w:numId w:val="15"/>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Rishikimi dhe përditësimi i formulës së transfertave të pakushtëzuara, duke përdorur të dhëna të reja të bazuara në regjistrimin e popullsisë.</w:t>
            </w:r>
          </w:p>
        </w:tc>
        <w:tc>
          <w:tcPr>
            <w:tcW w:w="380" w:type="pct"/>
            <w:tcBorders>
              <w:top w:val="single" w:sz="4" w:space="0" w:color="auto"/>
              <w:left w:val="single" w:sz="4" w:space="0" w:color="auto"/>
              <w:bottom w:val="single" w:sz="4" w:space="0" w:color="auto"/>
              <w:right w:val="single" w:sz="4" w:space="0" w:color="auto"/>
            </w:tcBorders>
            <w:vAlign w:val="center"/>
          </w:tcPr>
          <w:p w14:paraId="5EB4F2D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471" w:type="pct"/>
            <w:tcBorders>
              <w:top w:val="single" w:sz="4" w:space="0" w:color="auto"/>
              <w:left w:val="single" w:sz="4" w:space="0" w:color="auto"/>
              <w:bottom w:val="single" w:sz="4" w:space="0" w:color="auto"/>
              <w:right w:val="single" w:sz="4" w:space="0" w:color="auto"/>
            </w:tcBorders>
            <w:vAlign w:val="center"/>
          </w:tcPr>
          <w:p w14:paraId="5ED4609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76" w:type="pct"/>
            <w:vMerge w:val="restart"/>
            <w:tcBorders>
              <w:top w:val="single" w:sz="4" w:space="0" w:color="auto"/>
              <w:left w:val="single" w:sz="4" w:space="0" w:color="auto"/>
              <w:bottom w:val="single" w:sz="4" w:space="0" w:color="auto"/>
              <w:right w:val="single" w:sz="4" w:space="0" w:color="auto"/>
            </w:tcBorders>
          </w:tcPr>
          <w:p w14:paraId="148B70A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46E9089" w14:textId="325567B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DFV</w:t>
            </w:r>
            <w:r w:rsidR="00F65DCA">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60ABC2FE"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8646157"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Partnerët: </w:t>
            </w:r>
          </w:p>
          <w:p w14:paraId="7DF722FD"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SECO,</w:t>
            </w:r>
            <w:r w:rsidRPr="004A47DC">
              <w:rPr>
                <w:rFonts w:ascii="Garamond" w:hAnsi="Garamond" w:cs="Arial"/>
                <w:b/>
                <w:bCs/>
                <w:color w:val="000000" w:themeColor="text1"/>
                <w:sz w:val="16"/>
                <w:szCs w:val="16"/>
              </w:rPr>
              <w:t xml:space="preserve"> </w:t>
            </w:r>
            <w:r w:rsidRPr="004A47DC">
              <w:rPr>
                <w:rFonts w:ascii="Garamond" w:hAnsi="Garamond" w:cs="Arial"/>
                <w:color w:val="000000" w:themeColor="text1"/>
                <w:sz w:val="16"/>
                <w:szCs w:val="16"/>
              </w:rPr>
              <w:t>Helvetas</w:t>
            </w:r>
            <w:r w:rsidRPr="004A47DC">
              <w:rPr>
                <w:rStyle w:val="FootnoteReference"/>
                <w:rFonts w:ascii="Garamond" w:hAnsi="Garamond" w:cs="Arial"/>
                <w:color w:val="000000" w:themeColor="text1"/>
                <w:sz w:val="16"/>
                <w:szCs w:val="16"/>
              </w:rPr>
              <w:footnoteReference w:id="30"/>
            </w:r>
          </w:p>
          <w:p w14:paraId="0D0642B1" w14:textId="77777777" w:rsidR="004719D2" w:rsidRPr="004A47DC" w:rsidRDefault="004719D2" w:rsidP="00CF7CEC">
            <w:pPr>
              <w:pStyle w:val="EcorysBody"/>
              <w:spacing w:line="240" w:lineRule="auto"/>
              <w:rPr>
                <w:rFonts w:ascii="Garamond" w:hAnsi="Garamond" w:cs="Arial"/>
                <w:color w:val="000000" w:themeColor="text1"/>
                <w:sz w:val="16"/>
                <w:szCs w:val="16"/>
              </w:rPr>
            </w:pPr>
          </w:p>
          <w:p w14:paraId="443940AA" w14:textId="77777777" w:rsidR="004719D2" w:rsidRPr="004A47DC" w:rsidRDefault="004719D2" w:rsidP="00CF7CEC">
            <w:pPr>
              <w:pStyle w:val="EcorysBody"/>
              <w:spacing w:line="240" w:lineRule="auto"/>
              <w:rPr>
                <w:rFonts w:ascii="Garamond" w:hAnsi="Garamond" w:cs="Arial"/>
                <w:color w:val="000000" w:themeColor="text1"/>
                <w:sz w:val="16"/>
                <w:szCs w:val="16"/>
              </w:rPr>
            </w:pPr>
          </w:p>
          <w:p w14:paraId="637294B8" w14:textId="77777777" w:rsidR="004719D2" w:rsidRPr="004A47DC" w:rsidRDefault="004719D2" w:rsidP="00CF7CEC">
            <w:pPr>
              <w:rPr>
                <w:rFonts w:ascii="Garamond" w:hAnsi="Garamond"/>
                <w:color w:val="000000" w:themeColor="text1"/>
                <w:sz w:val="16"/>
                <w:szCs w:val="16"/>
              </w:rPr>
            </w:pPr>
          </w:p>
        </w:tc>
      </w:tr>
      <w:tr w:rsidR="004719D2" w:rsidRPr="004A47DC" w14:paraId="114DA1CE" w14:textId="77777777" w:rsidTr="00D65061">
        <w:trPr>
          <w:trHeight w:val="20"/>
        </w:trPr>
        <w:tc>
          <w:tcPr>
            <w:tcW w:w="1466" w:type="pct"/>
            <w:vMerge/>
            <w:tcBorders>
              <w:top w:val="single" w:sz="4" w:space="0" w:color="auto"/>
              <w:left w:val="single" w:sz="4" w:space="0" w:color="auto"/>
              <w:bottom w:val="single" w:sz="4" w:space="0" w:color="auto"/>
              <w:right w:val="single" w:sz="4" w:space="0" w:color="auto"/>
            </w:tcBorders>
            <w:vAlign w:val="center"/>
            <w:hideMark/>
          </w:tcPr>
          <w:p w14:paraId="1409995E" w14:textId="77777777" w:rsidR="004719D2" w:rsidRPr="004A47DC" w:rsidRDefault="004719D2" w:rsidP="00CF7CEC">
            <w:pPr>
              <w:rPr>
                <w:rFonts w:ascii="Garamond" w:hAnsi="Garamond"/>
                <w:b/>
                <w:bCs/>
                <w:color w:val="000000" w:themeColor="text1"/>
                <w:sz w:val="16"/>
                <w:szCs w:val="16"/>
              </w:rPr>
            </w:pPr>
          </w:p>
        </w:tc>
        <w:tc>
          <w:tcPr>
            <w:tcW w:w="2007" w:type="pct"/>
            <w:tcBorders>
              <w:top w:val="single" w:sz="4" w:space="0" w:color="auto"/>
              <w:left w:val="single" w:sz="4" w:space="0" w:color="auto"/>
              <w:right w:val="single" w:sz="4" w:space="0" w:color="auto"/>
            </w:tcBorders>
            <w:vAlign w:val="center"/>
            <w:hideMark/>
          </w:tcPr>
          <w:p w14:paraId="4F4D58A1" w14:textId="77777777" w:rsidR="004719D2" w:rsidRPr="004A47DC" w:rsidRDefault="004719D2" w:rsidP="00732B6D">
            <w:pPr>
              <w:pStyle w:val="ListParagraph"/>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7" w:hanging="157"/>
              <w:rPr>
                <w:rFonts w:ascii="Garamond" w:hAnsi="Garamond"/>
                <w:color w:val="000000" w:themeColor="text1"/>
                <w:sz w:val="16"/>
                <w:szCs w:val="16"/>
              </w:rPr>
            </w:pPr>
            <w:r w:rsidRPr="004A47DC">
              <w:rPr>
                <w:rFonts w:ascii="Garamond" w:hAnsi="Garamond"/>
                <w:color w:val="000000" w:themeColor="text1"/>
                <w:sz w:val="16"/>
                <w:szCs w:val="16"/>
              </w:rPr>
              <w:t>Zhvillimi dhe zbatimi gradual i një sistemi shtesë grantesh të bazuara në performancë, të bazuar në tregues të matshëm dhe të verifikueshëm.</w:t>
            </w:r>
          </w:p>
        </w:tc>
        <w:tc>
          <w:tcPr>
            <w:tcW w:w="380" w:type="pct"/>
            <w:tcBorders>
              <w:top w:val="single" w:sz="4" w:space="0" w:color="auto"/>
              <w:left w:val="single" w:sz="4" w:space="0" w:color="auto"/>
              <w:right w:val="single" w:sz="4" w:space="0" w:color="auto"/>
            </w:tcBorders>
            <w:vAlign w:val="center"/>
          </w:tcPr>
          <w:p w14:paraId="654DFC2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471" w:type="pct"/>
            <w:tcBorders>
              <w:top w:val="single" w:sz="4" w:space="0" w:color="auto"/>
              <w:left w:val="single" w:sz="4" w:space="0" w:color="auto"/>
              <w:right w:val="single" w:sz="4" w:space="0" w:color="auto"/>
            </w:tcBorders>
            <w:vAlign w:val="center"/>
          </w:tcPr>
          <w:p w14:paraId="7BCEE13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2026</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AA40481" w14:textId="77777777" w:rsidR="004719D2" w:rsidRPr="004A47DC" w:rsidRDefault="004719D2" w:rsidP="00CF7CEC">
            <w:pPr>
              <w:rPr>
                <w:rFonts w:ascii="Garamond" w:hAnsi="Garamond"/>
                <w:color w:val="000000" w:themeColor="text1"/>
                <w:sz w:val="16"/>
                <w:szCs w:val="16"/>
              </w:rPr>
            </w:pPr>
          </w:p>
        </w:tc>
      </w:tr>
      <w:tr w:rsidR="004719D2" w:rsidRPr="004A47DC" w14:paraId="232529F9" w14:textId="77777777" w:rsidTr="00D65061">
        <w:trPr>
          <w:trHeight w:val="20"/>
        </w:trPr>
        <w:tc>
          <w:tcPr>
            <w:tcW w:w="1466" w:type="pct"/>
            <w:vMerge/>
            <w:tcBorders>
              <w:top w:val="single" w:sz="4" w:space="0" w:color="auto"/>
              <w:left w:val="single" w:sz="4" w:space="0" w:color="auto"/>
              <w:bottom w:val="single" w:sz="4" w:space="0" w:color="auto"/>
              <w:right w:val="single" w:sz="4" w:space="0" w:color="auto"/>
            </w:tcBorders>
            <w:vAlign w:val="center"/>
            <w:hideMark/>
          </w:tcPr>
          <w:p w14:paraId="6A45269D" w14:textId="77777777" w:rsidR="004719D2" w:rsidRPr="004A47DC" w:rsidRDefault="004719D2" w:rsidP="00CF7CEC">
            <w:pPr>
              <w:rPr>
                <w:rFonts w:ascii="Garamond" w:hAnsi="Garamond"/>
                <w:b/>
                <w:bCs/>
                <w:color w:val="000000" w:themeColor="text1"/>
                <w:sz w:val="16"/>
                <w:szCs w:val="16"/>
              </w:rPr>
            </w:pPr>
          </w:p>
        </w:tc>
        <w:tc>
          <w:tcPr>
            <w:tcW w:w="2007" w:type="pct"/>
            <w:tcBorders>
              <w:top w:val="single" w:sz="4" w:space="0" w:color="auto"/>
              <w:left w:val="single" w:sz="4" w:space="0" w:color="auto"/>
              <w:right w:val="single" w:sz="4" w:space="0" w:color="auto"/>
            </w:tcBorders>
            <w:vAlign w:val="center"/>
            <w:hideMark/>
          </w:tcPr>
          <w:p w14:paraId="79E73983" w14:textId="0CCC80E2" w:rsidR="004719D2" w:rsidRPr="004A47DC" w:rsidRDefault="004719D2" w:rsidP="00732B6D">
            <w:pPr>
              <w:pStyle w:val="EcorysBody"/>
              <w:numPr>
                <w:ilvl w:val="0"/>
                <w:numId w:val="15"/>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Rishikimi dhe nëse është e nevojshme përditësimi i mekanizmit/formulës së grantit</w:t>
            </w:r>
            <w:r w:rsidR="00BC6446">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në lidhje me qeverisjen vendore dhe reformat e decentralizimit.</w:t>
            </w:r>
          </w:p>
        </w:tc>
        <w:tc>
          <w:tcPr>
            <w:tcW w:w="380" w:type="pct"/>
            <w:tcBorders>
              <w:top w:val="single" w:sz="4" w:space="0" w:color="auto"/>
              <w:left w:val="single" w:sz="4" w:space="0" w:color="auto"/>
              <w:right w:val="single" w:sz="4" w:space="0" w:color="auto"/>
            </w:tcBorders>
            <w:vAlign w:val="center"/>
          </w:tcPr>
          <w:p w14:paraId="369646A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tcBorders>
              <w:top w:val="single" w:sz="4" w:space="0" w:color="auto"/>
              <w:left w:val="single" w:sz="4" w:space="0" w:color="auto"/>
              <w:right w:val="single" w:sz="4" w:space="0" w:color="auto"/>
            </w:tcBorders>
            <w:vAlign w:val="center"/>
          </w:tcPr>
          <w:p w14:paraId="3E22773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4B44A2C5" w14:textId="77777777" w:rsidR="004719D2" w:rsidRPr="004A47DC" w:rsidRDefault="004719D2" w:rsidP="00CF7CEC">
            <w:pPr>
              <w:rPr>
                <w:rFonts w:ascii="Garamond" w:hAnsi="Garamond"/>
                <w:color w:val="000000" w:themeColor="text1"/>
                <w:sz w:val="16"/>
                <w:szCs w:val="16"/>
              </w:rPr>
            </w:pPr>
          </w:p>
        </w:tc>
      </w:tr>
      <w:tr w:rsidR="004719D2" w:rsidRPr="004A47DC" w14:paraId="008D2B58" w14:textId="77777777" w:rsidTr="00D65061">
        <w:trPr>
          <w:trHeight w:val="32"/>
        </w:trPr>
        <w:tc>
          <w:tcPr>
            <w:tcW w:w="1466" w:type="pct"/>
            <w:vMerge w:val="restart"/>
            <w:tcBorders>
              <w:top w:val="single" w:sz="4" w:space="0" w:color="auto"/>
              <w:left w:val="single" w:sz="4" w:space="0" w:color="auto"/>
              <w:bottom w:val="single" w:sz="4" w:space="0" w:color="auto"/>
              <w:right w:val="single" w:sz="4" w:space="0" w:color="auto"/>
            </w:tcBorders>
            <w:hideMark/>
          </w:tcPr>
          <w:p w14:paraId="63C7F718" w14:textId="5E4C79D2"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2.4.2 Forcimi i formulimit dhe monitorimit të zbatimit të PBA-së në </w:t>
            </w:r>
            <w:r w:rsidR="00BC6446">
              <w:rPr>
                <w:rFonts w:ascii="Garamond" w:hAnsi="Garamond" w:cs="Arial"/>
                <w:b/>
                <w:bCs/>
                <w:color w:val="000000" w:themeColor="text1"/>
                <w:sz w:val="16"/>
                <w:szCs w:val="16"/>
              </w:rPr>
              <w:t>b</w:t>
            </w:r>
            <w:r w:rsidRPr="004A47DC">
              <w:rPr>
                <w:rFonts w:ascii="Garamond" w:hAnsi="Garamond" w:cs="Arial"/>
                <w:b/>
                <w:bCs/>
                <w:color w:val="000000" w:themeColor="text1"/>
                <w:sz w:val="16"/>
                <w:szCs w:val="16"/>
              </w:rPr>
              <w:t>ashki</w:t>
            </w:r>
          </w:p>
        </w:tc>
        <w:tc>
          <w:tcPr>
            <w:tcW w:w="2007" w:type="pct"/>
            <w:tcBorders>
              <w:top w:val="single" w:sz="4" w:space="0" w:color="auto"/>
              <w:left w:val="single" w:sz="4" w:space="0" w:color="auto"/>
              <w:bottom w:val="single" w:sz="4" w:space="0" w:color="auto"/>
              <w:right w:val="single" w:sz="4" w:space="0" w:color="auto"/>
            </w:tcBorders>
            <w:vAlign w:val="center"/>
            <w:hideMark/>
          </w:tcPr>
          <w:p w14:paraId="095F320F" w14:textId="77777777" w:rsidR="004719D2" w:rsidRPr="004A47DC" w:rsidRDefault="004719D2" w:rsidP="00732B6D">
            <w:pPr>
              <w:pStyle w:val="EcorysBody"/>
              <w:numPr>
                <w:ilvl w:val="0"/>
                <w:numId w:val="16"/>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Rishikimi dhe përmirësimi i përshkrimit të programit të klasifikimeve buxhetore të përshtatura për marrëveshjet specifike të ofrimit të shërbimeve të kategorive të ndryshme të bashkive.</w:t>
            </w:r>
          </w:p>
        </w:tc>
        <w:tc>
          <w:tcPr>
            <w:tcW w:w="380" w:type="pct"/>
            <w:tcBorders>
              <w:top w:val="single" w:sz="4" w:space="0" w:color="auto"/>
              <w:left w:val="single" w:sz="4" w:space="0" w:color="auto"/>
              <w:bottom w:val="single" w:sz="4" w:space="0" w:color="auto"/>
              <w:right w:val="single" w:sz="4" w:space="0" w:color="auto"/>
            </w:tcBorders>
            <w:vAlign w:val="center"/>
          </w:tcPr>
          <w:p w14:paraId="241010D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1763B69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vMerge w:val="restart"/>
            <w:tcBorders>
              <w:top w:val="single" w:sz="4" w:space="0" w:color="auto"/>
              <w:left w:val="single" w:sz="4" w:space="0" w:color="auto"/>
              <w:bottom w:val="single" w:sz="4" w:space="0" w:color="auto"/>
              <w:right w:val="single" w:sz="4" w:space="0" w:color="auto"/>
            </w:tcBorders>
          </w:tcPr>
          <w:p w14:paraId="6760A38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016F8396" w14:textId="779E6546"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DFV</w:t>
            </w:r>
            <w:r w:rsidR="00F65DCA">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2E17D4C7"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634AB47A"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43FA9E06" w14:textId="77777777" w:rsidR="004719D2" w:rsidRPr="004A47DC" w:rsidRDefault="004719D2" w:rsidP="00CF7CEC">
            <w:pPr>
              <w:pStyle w:val="EcorysBody"/>
              <w:spacing w:line="240" w:lineRule="auto"/>
              <w:rPr>
                <w:rFonts w:ascii="Garamond" w:hAnsi="Garamond"/>
                <w:color w:val="000000" w:themeColor="text1"/>
                <w:sz w:val="16"/>
                <w:szCs w:val="16"/>
              </w:rPr>
            </w:pPr>
            <w:r w:rsidRPr="004A47DC">
              <w:rPr>
                <w:rFonts w:ascii="Garamond" w:hAnsi="Garamond" w:cs="Arial"/>
                <w:color w:val="000000" w:themeColor="text1"/>
                <w:sz w:val="16"/>
                <w:szCs w:val="16"/>
              </w:rPr>
              <w:t>SECO</w:t>
            </w:r>
            <w:r w:rsidRPr="004A47DC">
              <w:rPr>
                <w:rFonts w:ascii="Garamond" w:hAnsi="Garamond" w:cs="Arial"/>
                <w:color w:val="000000" w:themeColor="text1"/>
                <w:sz w:val="16"/>
                <w:szCs w:val="16"/>
                <w:vertAlign w:val="superscript"/>
              </w:rPr>
              <w:footnoteReference w:id="31"/>
            </w:r>
          </w:p>
        </w:tc>
      </w:tr>
      <w:tr w:rsidR="004719D2" w:rsidRPr="004A47DC" w14:paraId="407608E0" w14:textId="77777777" w:rsidTr="00D65061">
        <w:trPr>
          <w:trHeight w:val="32"/>
        </w:trPr>
        <w:tc>
          <w:tcPr>
            <w:tcW w:w="1466" w:type="pct"/>
            <w:vMerge/>
            <w:tcBorders>
              <w:top w:val="single" w:sz="4" w:space="0" w:color="auto"/>
              <w:left w:val="single" w:sz="4" w:space="0" w:color="auto"/>
              <w:bottom w:val="single" w:sz="4" w:space="0" w:color="auto"/>
              <w:right w:val="single" w:sz="4" w:space="0" w:color="auto"/>
            </w:tcBorders>
            <w:vAlign w:val="center"/>
            <w:hideMark/>
          </w:tcPr>
          <w:p w14:paraId="42C4764E" w14:textId="77777777" w:rsidR="004719D2" w:rsidRPr="004A47DC" w:rsidRDefault="004719D2" w:rsidP="00CF7CEC">
            <w:pPr>
              <w:rPr>
                <w:rFonts w:ascii="Garamond" w:hAnsi="Garamond"/>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vAlign w:val="center"/>
            <w:hideMark/>
          </w:tcPr>
          <w:p w14:paraId="05FB760B" w14:textId="77777777" w:rsidR="004719D2" w:rsidRPr="004A47DC" w:rsidRDefault="004719D2" w:rsidP="00732B6D">
            <w:pPr>
              <w:pStyle w:val="EcorysBody"/>
              <w:numPr>
                <w:ilvl w:val="0"/>
                <w:numId w:val="16"/>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Zbatimi i metodologjisë së re për hartimin e PBA-së së bazuar në performancë dhe monitorimin e zbatimit të PBA-së.</w:t>
            </w:r>
          </w:p>
        </w:tc>
        <w:tc>
          <w:tcPr>
            <w:tcW w:w="380" w:type="pct"/>
            <w:tcBorders>
              <w:top w:val="single" w:sz="4" w:space="0" w:color="auto"/>
              <w:left w:val="single" w:sz="4" w:space="0" w:color="auto"/>
              <w:bottom w:val="single" w:sz="4" w:space="0" w:color="auto"/>
              <w:right w:val="single" w:sz="4" w:space="0" w:color="auto"/>
            </w:tcBorders>
            <w:vAlign w:val="center"/>
          </w:tcPr>
          <w:p w14:paraId="1AEC2B9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714FE33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20CBAB44"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32FDC37B" w14:textId="77777777" w:rsidTr="00D65061">
        <w:trPr>
          <w:trHeight w:val="32"/>
        </w:trPr>
        <w:tc>
          <w:tcPr>
            <w:tcW w:w="1466" w:type="pct"/>
            <w:vMerge/>
            <w:tcBorders>
              <w:top w:val="single" w:sz="4" w:space="0" w:color="auto"/>
              <w:left w:val="single" w:sz="4" w:space="0" w:color="auto"/>
              <w:bottom w:val="single" w:sz="4" w:space="0" w:color="auto"/>
              <w:right w:val="single" w:sz="4" w:space="0" w:color="auto"/>
            </w:tcBorders>
            <w:vAlign w:val="center"/>
            <w:hideMark/>
          </w:tcPr>
          <w:p w14:paraId="0B3F438F" w14:textId="77777777" w:rsidR="004719D2" w:rsidRPr="004A47DC" w:rsidRDefault="004719D2" w:rsidP="00CF7CEC">
            <w:pPr>
              <w:rPr>
                <w:rFonts w:ascii="Garamond" w:hAnsi="Garamond"/>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vAlign w:val="center"/>
            <w:hideMark/>
          </w:tcPr>
          <w:p w14:paraId="150F71AF" w14:textId="1C7915B3" w:rsidR="004719D2" w:rsidRPr="004A47DC" w:rsidRDefault="004719D2" w:rsidP="00732B6D">
            <w:pPr>
              <w:pStyle w:val="EcorysBody"/>
              <w:numPr>
                <w:ilvl w:val="0"/>
                <w:numId w:val="16"/>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Përdorimi i treguesve të performancës në Programin Buxhetor Afatmesëm</w:t>
            </w:r>
            <w:r w:rsidR="00BC6446">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duke ndikuar drejtpërdrejt në rritjen e cilësisë së monitorimit të zbatimit të buxhetit vendor.</w:t>
            </w:r>
          </w:p>
        </w:tc>
        <w:tc>
          <w:tcPr>
            <w:tcW w:w="380" w:type="pct"/>
            <w:tcBorders>
              <w:top w:val="single" w:sz="4" w:space="0" w:color="auto"/>
              <w:left w:val="single" w:sz="4" w:space="0" w:color="auto"/>
              <w:bottom w:val="single" w:sz="4" w:space="0" w:color="auto"/>
              <w:right w:val="single" w:sz="4" w:space="0" w:color="auto"/>
            </w:tcBorders>
            <w:vAlign w:val="center"/>
          </w:tcPr>
          <w:p w14:paraId="0C890AE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0074594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0A928B7C"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7DED2261" w14:textId="77777777" w:rsidTr="00D65061">
        <w:trPr>
          <w:trHeight w:val="32"/>
        </w:trPr>
        <w:tc>
          <w:tcPr>
            <w:tcW w:w="1466" w:type="pct"/>
            <w:vMerge/>
            <w:tcBorders>
              <w:top w:val="single" w:sz="4" w:space="0" w:color="auto"/>
              <w:left w:val="single" w:sz="4" w:space="0" w:color="auto"/>
              <w:bottom w:val="single" w:sz="4" w:space="0" w:color="auto"/>
              <w:right w:val="single" w:sz="4" w:space="0" w:color="auto"/>
            </w:tcBorders>
            <w:vAlign w:val="center"/>
            <w:hideMark/>
          </w:tcPr>
          <w:p w14:paraId="4C4103D6" w14:textId="77777777" w:rsidR="004719D2" w:rsidRPr="004A47DC" w:rsidRDefault="004719D2" w:rsidP="00CF7CEC">
            <w:pPr>
              <w:rPr>
                <w:rFonts w:ascii="Garamond" w:hAnsi="Garamond"/>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vAlign w:val="center"/>
            <w:hideMark/>
          </w:tcPr>
          <w:p w14:paraId="753D0922" w14:textId="77777777" w:rsidR="004719D2" w:rsidRPr="004A47DC" w:rsidRDefault="004719D2" w:rsidP="00732B6D">
            <w:pPr>
              <w:pStyle w:val="EcorysBody"/>
              <w:numPr>
                <w:ilvl w:val="0"/>
                <w:numId w:val="16"/>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Zhvillimi dhe zbatimi i aktiviteteve për ngritjen e kapaciteteve për formulimin e PBA-së, raportimin e zbatimit të buxhetit gjatë vitit dhe raportimin vjetor të ekzekutimit të buxhetit.</w:t>
            </w:r>
          </w:p>
        </w:tc>
        <w:tc>
          <w:tcPr>
            <w:tcW w:w="380" w:type="pct"/>
            <w:tcBorders>
              <w:top w:val="single" w:sz="4" w:space="0" w:color="auto"/>
              <w:left w:val="single" w:sz="4" w:space="0" w:color="auto"/>
              <w:bottom w:val="single" w:sz="4" w:space="0" w:color="auto"/>
              <w:right w:val="single" w:sz="4" w:space="0" w:color="auto"/>
            </w:tcBorders>
            <w:vAlign w:val="center"/>
          </w:tcPr>
          <w:p w14:paraId="4194648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74E1363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vMerge/>
            <w:tcBorders>
              <w:top w:val="single" w:sz="4" w:space="0" w:color="auto"/>
              <w:left w:val="single" w:sz="4" w:space="0" w:color="auto"/>
              <w:bottom w:val="single" w:sz="4" w:space="0" w:color="auto"/>
              <w:right w:val="single" w:sz="4" w:space="0" w:color="auto"/>
            </w:tcBorders>
            <w:vAlign w:val="center"/>
            <w:hideMark/>
          </w:tcPr>
          <w:p w14:paraId="7EEA4F32"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7FA8AE09" w14:textId="77777777" w:rsidTr="00D65061">
        <w:trPr>
          <w:trHeight w:val="32"/>
        </w:trPr>
        <w:tc>
          <w:tcPr>
            <w:tcW w:w="1466" w:type="pct"/>
            <w:vMerge w:val="restart"/>
            <w:tcBorders>
              <w:top w:val="single" w:sz="4" w:space="0" w:color="auto"/>
              <w:left w:val="single" w:sz="4" w:space="0" w:color="auto"/>
              <w:right w:val="single" w:sz="4" w:space="0" w:color="auto"/>
            </w:tcBorders>
          </w:tcPr>
          <w:p w14:paraId="0D4CCEC4"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2.4.3 </w:t>
            </w:r>
            <w:r w:rsidRPr="004A47DC">
              <w:rPr>
                <w:rFonts w:ascii="Garamond" w:hAnsi="Garamond"/>
                <w:b/>
                <w:bCs/>
                <w:color w:val="000000" w:themeColor="text1"/>
                <w:sz w:val="16"/>
                <w:szCs w:val="16"/>
              </w:rPr>
              <w:t>Zhvillimi dhe vendosja e Sistemit të ri të Menaxhimit të Buxhetit Vendor (SMBV) për përgatitjen dhe monitorimin e buxhetit vendor</w:t>
            </w:r>
          </w:p>
          <w:p w14:paraId="56A4DB7E"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tcPr>
          <w:p w14:paraId="0D8543A6" w14:textId="77777777" w:rsidR="004719D2" w:rsidRPr="004A47DC" w:rsidRDefault="004719D2" w:rsidP="00732B6D">
            <w:pPr>
              <w:pStyle w:val="EcorysBody"/>
              <w:numPr>
                <w:ilvl w:val="0"/>
                <w:numId w:val="23"/>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Përgatitja e një dokumenti specifik për Sistemin e Menaxhimit të Buxhetit Vendor (SMBV).</w:t>
            </w:r>
          </w:p>
        </w:tc>
        <w:tc>
          <w:tcPr>
            <w:tcW w:w="380" w:type="pct"/>
            <w:tcBorders>
              <w:top w:val="single" w:sz="4" w:space="0" w:color="auto"/>
              <w:left w:val="single" w:sz="4" w:space="0" w:color="auto"/>
              <w:bottom w:val="single" w:sz="4" w:space="0" w:color="auto"/>
              <w:right w:val="single" w:sz="4" w:space="0" w:color="auto"/>
            </w:tcBorders>
            <w:vAlign w:val="center"/>
          </w:tcPr>
          <w:p w14:paraId="4C80E6B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tcBorders>
              <w:top w:val="single" w:sz="4" w:space="0" w:color="auto"/>
              <w:left w:val="single" w:sz="4" w:space="0" w:color="auto"/>
              <w:bottom w:val="single" w:sz="4" w:space="0" w:color="auto"/>
              <w:right w:val="single" w:sz="4" w:space="0" w:color="auto"/>
            </w:tcBorders>
            <w:vAlign w:val="center"/>
          </w:tcPr>
          <w:p w14:paraId="0820935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676" w:type="pct"/>
            <w:vMerge w:val="restart"/>
            <w:tcBorders>
              <w:top w:val="single" w:sz="4" w:space="0" w:color="auto"/>
              <w:left w:val="single" w:sz="4" w:space="0" w:color="auto"/>
              <w:right w:val="single" w:sz="4" w:space="0" w:color="auto"/>
            </w:tcBorders>
          </w:tcPr>
          <w:p w14:paraId="64C035C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3CDD268F" w14:textId="6B029A63"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DFV</w:t>
            </w:r>
            <w:r w:rsidR="00F65DCA">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0B1D060F"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737E1336"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46B3ED70" w14:textId="77777777" w:rsidR="004719D2" w:rsidRPr="004A47DC" w:rsidRDefault="004719D2" w:rsidP="00CF7CEC">
            <w:pPr>
              <w:rPr>
                <w:rFonts w:ascii="Garamond" w:hAnsi="Garamond" w:cs="Open Sans Light"/>
                <w:color w:val="000000" w:themeColor="text1"/>
                <w:sz w:val="16"/>
                <w:szCs w:val="16"/>
              </w:rPr>
            </w:pPr>
            <w:r w:rsidRPr="004A47DC">
              <w:rPr>
                <w:rFonts w:ascii="Garamond" w:hAnsi="Garamond"/>
                <w:color w:val="000000" w:themeColor="text1"/>
                <w:sz w:val="16"/>
                <w:szCs w:val="16"/>
              </w:rPr>
              <w:t>SECO</w:t>
            </w:r>
          </w:p>
        </w:tc>
      </w:tr>
      <w:tr w:rsidR="004719D2" w:rsidRPr="004A47DC" w14:paraId="3F789B5D" w14:textId="77777777" w:rsidTr="00D65061">
        <w:trPr>
          <w:trHeight w:val="32"/>
        </w:trPr>
        <w:tc>
          <w:tcPr>
            <w:tcW w:w="1466" w:type="pct"/>
            <w:vMerge/>
            <w:tcBorders>
              <w:left w:val="single" w:sz="4" w:space="0" w:color="auto"/>
              <w:right w:val="single" w:sz="4" w:space="0" w:color="auto"/>
            </w:tcBorders>
            <w:vAlign w:val="center"/>
          </w:tcPr>
          <w:p w14:paraId="052992FF"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tcPr>
          <w:p w14:paraId="26F900B4" w14:textId="36EA4AE0" w:rsidR="004719D2" w:rsidRPr="004A47DC" w:rsidRDefault="004719D2" w:rsidP="00732B6D">
            <w:pPr>
              <w:pStyle w:val="EcorysBody"/>
              <w:numPr>
                <w:ilvl w:val="0"/>
                <w:numId w:val="23"/>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Zhvillimi dhe testimi i SMBV-së së ri.</w:t>
            </w:r>
          </w:p>
        </w:tc>
        <w:tc>
          <w:tcPr>
            <w:tcW w:w="380" w:type="pct"/>
            <w:tcBorders>
              <w:top w:val="single" w:sz="4" w:space="0" w:color="auto"/>
              <w:left w:val="single" w:sz="4" w:space="0" w:color="auto"/>
              <w:bottom w:val="single" w:sz="4" w:space="0" w:color="auto"/>
              <w:right w:val="single" w:sz="4" w:space="0" w:color="auto"/>
            </w:tcBorders>
            <w:vAlign w:val="center"/>
          </w:tcPr>
          <w:p w14:paraId="399CB87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471" w:type="pct"/>
            <w:tcBorders>
              <w:top w:val="single" w:sz="4" w:space="0" w:color="auto"/>
              <w:left w:val="single" w:sz="4" w:space="0" w:color="auto"/>
              <w:bottom w:val="single" w:sz="4" w:space="0" w:color="auto"/>
              <w:right w:val="single" w:sz="4" w:space="0" w:color="auto"/>
            </w:tcBorders>
            <w:vAlign w:val="center"/>
          </w:tcPr>
          <w:p w14:paraId="4C5E1E4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676" w:type="pct"/>
            <w:vMerge/>
            <w:tcBorders>
              <w:left w:val="single" w:sz="4" w:space="0" w:color="auto"/>
              <w:right w:val="single" w:sz="4" w:space="0" w:color="auto"/>
            </w:tcBorders>
          </w:tcPr>
          <w:p w14:paraId="51BC4A3B"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0E615AC4" w14:textId="77777777" w:rsidTr="00D65061">
        <w:trPr>
          <w:trHeight w:val="32"/>
        </w:trPr>
        <w:tc>
          <w:tcPr>
            <w:tcW w:w="1466" w:type="pct"/>
            <w:vMerge/>
            <w:tcBorders>
              <w:left w:val="single" w:sz="4" w:space="0" w:color="auto"/>
              <w:right w:val="single" w:sz="4" w:space="0" w:color="auto"/>
            </w:tcBorders>
            <w:vAlign w:val="center"/>
          </w:tcPr>
          <w:p w14:paraId="10ED2823"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tcPr>
          <w:p w14:paraId="75298906" w14:textId="77777777" w:rsidR="004719D2" w:rsidRPr="004A47DC" w:rsidRDefault="004719D2" w:rsidP="00732B6D">
            <w:pPr>
              <w:pStyle w:val="EcorysBody"/>
              <w:numPr>
                <w:ilvl w:val="0"/>
                <w:numId w:val="23"/>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Zhvillimi dhe zbatimi i aktiviteteve për ngritjen e kapaciteteve për përdorimin e SMBV-së së ri.</w:t>
            </w:r>
          </w:p>
        </w:tc>
        <w:tc>
          <w:tcPr>
            <w:tcW w:w="380" w:type="pct"/>
            <w:tcBorders>
              <w:top w:val="single" w:sz="4" w:space="0" w:color="auto"/>
              <w:left w:val="single" w:sz="4" w:space="0" w:color="auto"/>
              <w:bottom w:val="single" w:sz="4" w:space="0" w:color="auto"/>
              <w:right w:val="single" w:sz="4" w:space="0" w:color="auto"/>
            </w:tcBorders>
            <w:vAlign w:val="center"/>
          </w:tcPr>
          <w:p w14:paraId="557AA1D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5CA090B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76" w:type="pct"/>
            <w:vMerge/>
            <w:tcBorders>
              <w:left w:val="single" w:sz="4" w:space="0" w:color="auto"/>
              <w:right w:val="single" w:sz="4" w:space="0" w:color="auto"/>
            </w:tcBorders>
          </w:tcPr>
          <w:p w14:paraId="16DBEEB5"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2F71C327" w14:textId="77777777" w:rsidTr="00D65061">
        <w:trPr>
          <w:trHeight w:val="32"/>
        </w:trPr>
        <w:tc>
          <w:tcPr>
            <w:tcW w:w="1466" w:type="pct"/>
            <w:vMerge/>
            <w:tcBorders>
              <w:left w:val="single" w:sz="4" w:space="0" w:color="auto"/>
              <w:right w:val="single" w:sz="4" w:space="0" w:color="auto"/>
            </w:tcBorders>
            <w:vAlign w:val="center"/>
          </w:tcPr>
          <w:p w14:paraId="47E3CFD8"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tcPr>
          <w:p w14:paraId="09A9659E" w14:textId="77777777" w:rsidR="004719D2" w:rsidRPr="004A47DC" w:rsidRDefault="004719D2" w:rsidP="00732B6D">
            <w:pPr>
              <w:pStyle w:val="EcorysBody"/>
              <w:numPr>
                <w:ilvl w:val="0"/>
                <w:numId w:val="23"/>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Funksionimi i plotë i SMBV-së së ri nga të gjitha NJVQV-të.</w:t>
            </w:r>
          </w:p>
        </w:tc>
        <w:tc>
          <w:tcPr>
            <w:tcW w:w="380" w:type="pct"/>
            <w:tcBorders>
              <w:top w:val="single" w:sz="4" w:space="0" w:color="auto"/>
              <w:left w:val="single" w:sz="4" w:space="0" w:color="auto"/>
              <w:bottom w:val="single" w:sz="4" w:space="0" w:color="auto"/>
              <w:right w:val="single" w:sz="4" w:space="0" w:color="auto"/>
            </w:tcBorders>
            <w:vAlign w:val="center"/>
          </w:tcPr>
          <w:p w14:paraId="42AC113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471" w:type="pct"/>
            <w:tcBorders>
              <w:top w:val="single" w:sz="4" w:space="0" w:color="auto"/>
              <w:left w:val="single" w:sz="4" w:space="0" w:color="auto"/>
              <w:bottom w:val="single" w:sz="4" w:space="0" w:color="auto"/>
              <w:right w:val="single" w:sz="4" w:space="0" w:color="auto"/>
            </w:tcBorders>
            <w:vAlign w:val="center"/>
          </w:tcPr>
          <w:p w14:paraId="5E1CB13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76" w:type="pct"/>
            <w:vMerge/>
            <w:tcBorders>
              <w:left w:val="single" w:sz="4" w:space="0" w:color="auto"/>
              <w:right w:val="single" w:sz="4" w:space="0" w:color="auto"/>
            </w:tcBorders>
          </w:tcPr>
          <w:p w14:paraId="0DC73CBC"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30A8BEA5" w14:textId="77777777" w:rsidTr="00D65061">
        <w:trPr>
          <w:trHeight w:val="32"/>
        </w:trPr>
        <w:tc>
          <w:tcPr>
            <w:tcW w:w="1466" w:type="pct"/>
            <w:vMerge/>
            <w:tcBorders>
              <w:left w:val="single" w:sz="4" w:space="0" w:color="auto"/>
              <w:right w:val="single" w:sz="4" w:space="0" w:color="auto"/>
            </w:tcBorders>
            <w:vAlign w:val="center"/>
          </w:tcPr>
          <w:p w14:paraId="3A587441"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07" w:type="pct"/>
            <w:tcBorders>
              <w:top w:val="single" w:sz="4" w:space="0" w:color="auto"/>
              <w:left w:val="single" w:sz="4" w:space="0" w:color="auto"/>
              <w:bottom w:val="single" w:sz="4" w:space="0" w:color="auto"/>
              <w:right w:val="single" w:sz="4" w:space="0" w:color="auto"/>
            </w:tcBorders>
          </w:tcPr>
          <w:p w14:paraId="6E70A738" w14:textId="1DE31BE1" w:rsidR="004719D2" w:rsidRPr="004A47DC" w:rsidRDefault="004719D2" w:rsidP="00732B6D">
            <w:pPr>
              <w:pStyle w:val="EcorysBody"/>
              <w:numPr>
                <w:ilvl w:val="0"/>
                <w:numId w:val="23"/>
              </w:numPr>
              <w:spacing w:line="240" w:lineRule="auto"/>
              <w:ind w:left="157" w:hanging="157"/>
              <w:rPr>
                <w:rFonts w:ascii="Garamond" w:hAnsi="Garamond" w:cs="Arial"/>
                <w:color w:val="000000" w:themeColor="text1"/>
                <w:sz w:val="16"/>
                <w:szCs w:val="16"/>
              </w:rPr>
            </w:pPr>
            <w:r w:rsidRPr="004A47DC">
              <w:rPr>
                <w:rFonts w:ascii="Garamond" w:hAnsi="Garamond" w:cs="Arial"/>
                <w:color w:val="000000" w:themeColor="text1"/>
                <w:sz w:val="16"/>
                <w:szCs w:val="16"/>
              </w:rPr>
              <w:t>Plani i mëtejshëm i specifikimeve dhe zhvillimit të SIMFSH</w:t>
            </w:r>
            <w:r w:rsidR="00BC6446">
              <w:rPr>
                <w:rFonts w:ascii="Garamond" w:hAnsi="Garamond" w:cs="Arial"/>
                <w:color w:val="000000" w:themeColor="text1"/>
                <w:sz w:val="16"/>
                <w:szCs w:val="16"/>
              </w:rPr>
              <w:t>-së</w:t>
            </w:r>
            <w:r w:rsidRPr="004A47DC">
              <w:rPr>
                <w:rFonts w:ascii="Garamond" w:hAnsi="Garamond" w:cs="Arial"/>
                <w:color w:val="000000" w:themeColor="text1"/>
                <w:sz w:val="16"/>
                <w:szCs w:val="16"/>
              </w:rPr>
              <w:t xml:space="preserve"> bazuar në përvojën me </w:t>
            </w:r>
            <w:r w:rsidRPr="00BC6446">
              <w:rPr>
                <w:rFonts w:ascii="Garamond" w:hAnsi="Garamond" w:cs="Arial"/>
                <w:i/>
                <w:color w:val="000000" w:themeColor="text1"/>
                <w:sz w:val="16"/>
                <w:szCs w:val="16"/>
              </w:rPr>
              <w:t>software</w:t>
            </w:r>
            <w:r w:rsidRPr="004A47DC">
              <w:rPr>
                <w:rFonts w:ascii="Garamond" w:hAnsi="Garamond" w:cs="Arial"/>
                <w:color w:val="000000" w:themeColor="text1"/>
                <w:sz w:val="16"/>
                <w:szCs w:val="16"/>
              </w:rPr>
              <w:t xml:space="preserve">-in e PBA-së të bazuar në </w:t>
            </w:r>
            <w:r w:rsidR="00BC6446" w:rsidRPr="00BC6446">
              <w:rPr>
                <w:rFonts w:ascii="Garamond" w:hAnsi="Garamond" w:cs="Arial"/>
                <w:i/>
                <w:color w:val="000000" w:themeColor="text1"/>
                <w:sz w:val="16"/>
                <w:szCs w:val="16"/>
              </w:rPr>
              <w:t>w</w:t>
            </w:r>
            <w:r w:rsidRPr="00BC6446">
              <w:rPr>
                <w:rFonts w:ascii="Garamond" w:hAnsi="Garamond" w:cs="Arial"/>
                <w:i/>
                <w:color w:val="000000" w:themeColor="text1"/>
                <w:sz w:val="16"/>
                <w:szCs w:val="16"/>
              </w:rPr>
              <w:t>eb</w:t>
            </w:r>
            <w:r w:rsidRPr="004A47DC">
              <w:rPr>
                <w:rFonts w:ascii="Garamond" w:hAnsi="Garamond" w:cs="Arial"/>
                <w:color w:val="000000" w:themeColor="text1"/>
                <w:sz w:val="16"/>
                <w:szCs w:val="16"/>
              </w:rPr>
              <w:t>.</w:t>
            </w:r>
          </w:p>
        </w:tc>
        <w:tc>
          <w:tcPr>
            <w:tcW w:w="380" w:type="pct"/>
            <w:tcBorders>
              <w:top w:val="single" w:sz="4" w:space="0" w:color="auto"/>
              <w:left w:val="single" w:sz="4" w:space="0" w:color="auto"/>
              <w:bottom w:val="single" w:sz="4" w:space="0" w:color="auto"/>
              <w:right w:val="single" w:sz="4" w:space="0" w:color="auto"/>
            </w:tcBorders>
            <w:vAlign w:val="center"/>
          </w:tcPr>
          <w:p w14:paraId="72CC05B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471" w:type="pct"/>
            <w:tcBorders>
              <w:top w:val="single" w:sz="4" w:space="0" w:color="auto"/>
              <w:left w:val="single" w:sz="4" w:space="0" w:color="auto"/>
              <w:bottom w:val="single" w:sz="4" w:space="0" w:color="auto"/>
              <w:right w:val="single" w:sz="4" w:space="0" w:color="auto"/>
            </w:tcBorders>
            <w:vAlign w:val="center"/>
          </w:tcPr>
          <w:p w14:paraId="1804B07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&gt;2026</w:t>
            </w:r>
          </w:p>
        </w:tc>
        <w:tc>
          <w:tcPr>
            <w:tcW w:w="676" w:type="pct"/>
            <w:vMerge/>
            <w:tcBorders>
              <w:left w:val="single" w:sz="4" w:space="0" w:color="auto"/>
              <w:bottom w:val="single" w:sz="4" w:space="0" w:color="auto"/>
              <w:right w:val="single" w:sz="4" w:space="0" w:color="auto"/>
            </w:tcBorders>
          </w:tcPr>
          <w:p w14:paraId="06F2EE33" w14:textId="77777777" w:rsidR="004719D2" w:rsidRPr="004A47DC" w:rsidRDefault="004719D2" w:rsidP="00CF7CEC">
            <w:pPr>
              <w:rPr>
                <w:rFonts w:ascii="Garamond" w:hAnsi="Garamond" w:cs="Open Sans Light"/>
                <w:color w:val="000000" w:themeColor="text1"/>
                <w:sz w:val="16"/>
                <w:szCs w:val="16"/>
              </w:rPr>
            </w:pPr>
          </w:p>
        </w:tc>
      </w:tr>
      <w:tr w:rsidR="004719D2" w:rsidRPr="004A47DC" w14:paraId="30EA35BB" w14:textId="77777777" w:rsidTr="00D65061">
        <w:trPr>
          <w:trHeight w:val="32"/>
        </w:trPr>
        <w:tc>
          <w:tcPr>
            <w:tcW w:w="1466" w:type="pct"/>
            <w:tcBorders>
              <w:left w:val="single" w:sz="4" w:space="0" w:color="auto"/>
              <w:right w:val="single" w:sz="4" w:space="0" w:color="auto"/>
            </w:tcBorders>
          </w:tcPr>
          <w:p w14:paraId="54A6888C"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2.4.4 Përmirësimi i nivelit të burimeve financiare nga taksat e ndara</w:t>
            </w:r>
          </w:p>
        </w:tc>
        <w:tc>
          <w:tcPr>
            <w:tcW w:w="2007" w:type="pct"/>
            <w:tcBorders>
              <w:top w:val="single" w:sz="4" w:space="0" w:color="auto"/>
              <w:left w:val="single" w:sz="4" w:space="0" w:color="auto"/>
              <w:bottom w:val="single" w:sz="4" w:space="0" w:color="auto"/>
              <w:right w:val="single" w:sz="4" w:space="0" w:color="auto"/>
            </w:tcBorders>
          </w:tcPr>
          <w:p w14:paraId="13D13D13" w14:textId="77777777" w:rsidR="004719D2" w:rsidRPr="004A47DC" w:rsidRDefault="004719D2" w:rsidP="00732B6D">
            <w:pPr>
              <w:pStyle w:val="EcorysBody"/>
              <w:numPr>
                <w:ilvl w:val="0"/>
                <w:numId w:val="25"/>
              </w:numPr>
              <w:spacing w:line="240" w:lineRule="auto"/>
              <w:ind w:left="157" w:hanging="157"/>
              <w:rPr>
                <w:rFonts w:ascii="Garamond" w:hAnsi="Garamond" w:cs="Arial"/>
                <w:color w:val="000000" w:themeColor="text1"/>
                <w:sz w:val="16"/>
                <w:szCs w:val="16"/>
              </w:rPr>
            </w:pPr>
            <w:r w:rsidRPr="004A47DC">
              <w:rPr>
                <w:rFonts w:ascii="Garamond" w:hAnsi="Garamond" w:cs="Arial"/>
                <w:bCs/>
                <w:color w:val="000000" w:themeColor="text1"/>
                <w:sz w:val="16"/>
                <w:szCs w:val="16"/>
              </w:rPr>
              <w:t>Rishikimi, miratimi dhe konsolidimi i metodologjisë për ndarjen e taksave personale me NJVQV-të.</w:t>
            </w:r>
          </w:p>
        </w:tc>
        <w:tc>
          <w:tcPr>
            <w:tcW w:w="380" w:type="pct"/>
            <w:tcBorders>
              <w:top w:val="single" w:sz="4" w:space="0" w:color="auto"/>
              <w:left w:val="single" w:sz="4" w:space="0" w:color="auto"/>
              <w:bottom w:val="single" w:sz="4" w:space="0" w:color="auto"/>
              <w:right w:val="single" w:sz="4" w:space="0" w:color="auto"/>
            </w:tcBorders>
            <w:vAlign w:val="center"/>
          </w:tcPr>
          <w:p w14:paraId="5D20D00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471" w:type="pct"/>
            <w:tcBorders>
              <w:top w:val="single" w:sz="4" w:space="0" w:color="auto"/>
              <w:left w:val="single" w:sz="4" w:space="0" w:color="auto"/>
              <w:bottom w:val="single" w:sz="4" w:space="0" w:color="auto"/>
              <w:right w:val="single" w:sz="4" w:space="0" w:color="auto"/>
            </w:tcBorders>
            <w:vAlign w:val="center"/>
          </w:tcPr>
          <w:p w14:paraId="4EDA6DD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76" w:type="pct"/>
            <w:tcBorders>
              <w:top w:val="single" w:sz="4" w:space="0" w:color="auto"/>
              <w:left w:val="single" w:sz="4" w:space="0" w:color="auto"/>
              <w:bottom w:val="single" w:sz="4" w:space="0" w:color="auto"/>
              <w:right w:val="single" w:sz="4" w:space="0" w:color="auto"/>
            </w:tcBorders>
          </w:tcPr>
          <w:p w14:paraId="2CB5D41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569716AE" w14:textId="7619F1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DFV</w:t>
            </w:r>
            <w:r w:rsidR="00F65DCA">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7D4DE940"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0FA2680"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07A3C5DC" w14:textId="77777777" w:rsidR="004719D2" w:rsidRPr="004A47DC" w:rsidRDefault="004719D2" w:rsidP="00CF7CEC">
            <w:pPr>
              <w:rPr>
                <w:rFonts w:ascii="Garamond" w:hAnsi="Garamond"/>
                <w:b/>
                <w:bCs/>
                <w:color w:val="000000" w:themeColor="text1"/>
                <w:sz w:val="16"/>
                <w:szCs w:val="16"/>
              </w:rPr>
            </w:pPr>
            <w:r w:rsidRPr="004A47DC">
              <w:rPr>
                <w:rFonts w:ascii="Garamond" w:hAnsi="Garamond"/>
                <w:color w:val="000000" w:themeColor="text1"/>
                <w:sz w:val="16"/>
                <w:szCs w:val="16"/>
              </w:rPr>
              <w:t>SECO</w:t>
            </w:r>
          </w:p>
        </w:tc>
      </w:tr>
    </w:tbl>
    <w:p w14:paraId="241C123D" w14:textId="77777777" w:rsidR="004719D2" w:rsidRPr="004A47DC" w:rsidRDefault="004719D2" w:rsidP="004719D2">
      <w:pPr>
        <w:pStyle w:val="H5"/>
        <w:spacing w:after="0" w:line="240" w:lineRule="auto"/>
        <w:rPr>
          <w:rFonts w:ascii="Garamond" w:hAnsi="Garamond"/>
          <w:color w:val="000000" w:themeColor="text1"/>
        </w:rPr>
      </w:pPr>
    </w:p>
    <w:p w14:paraId="63F476B0"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7B7652" w14:paraId="228D0076" w14:textId="77777777" w:rsidTr="007B7652">
        <w:trPr>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7A378C"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B1C821"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5784C2"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Vlera e synuar</w:t>
            </w:r>
          </w:p>
        </w:tc>
      </w:tr>
      <w:tr w:rsidR="004719D2" w:rsidRPr="007B7652" w14:paraId="137C5B11" w14:textId="77777777" w:rsidTr="007B7652">
        <w:trPr>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16577D9F" w14:textId="77777777" w:rsidR="004719D2" w:rsidRPr="007B7652" w:rsidRDefault="004719D2" w:rsidP="00992F84">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357AEC91" w14:textId="77777777" w:rsidR="004719D2" w:rsidRPr="007B7652" w:rsidRDefault="004719D2" w:rsidP="00992F84">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D24C2B"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C0F120"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EF3ADC"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B1C26B" w14:textId="77777777" w:rsidR="004719D2" w:rsidRPr="007B7652" w:rsidRDefault="004719D2" w:rsidP="00992F84">
            <w:pPr>
              <w:pStyle w:val="T-bold"/>
              <w:spacing w:line="240" w:lineRule="auto"/>
              <w:jc w:val="center"/>
              <w:rPr>
                <w:rFonts w:ascii="Garamond" w:hAnsi="Garamond"/>
                <w:color w:val="000000" w:themeColor="text1"/>
              </w:rPr>
            </w:pPr>
            <w:r w:rsidRPr="007B7652">
              <w:rPr>
                <w:rFonts w:ascii="Garamond" w:hAnsi="Garamond"/>
                <w:color w:val="000000" w:themeColor="text1"/>
              </w:rPr>
              <w:t>2026</w:t>
            </w:r>
          </w:p>
        </w:tc>
      </w:tr>
      <w:tr w:rsidR="004719D2" w:rsidRPr="007B7652" w14:paraId="61672D07"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24BE46A3" w14:textId="45128C0E" w:rsidR="004719D2" w:rsidRPr="007B7652" w:rsidRDefault="0022368C" w:rsidP="0022368C">
            <w:pPr>
              <w:rPr>
                <w:rFonts w:ascii="Garamond" w:hAnsi="Garamond"/>
                <w:sz w:val="16"/>
                <w:szCs w:val="16"/>
              </w:rPr>
            </w:pPr>
            <w:r w:rsidRPr="007B7652">
              <w:rPr>
                <w:rFonts w:ascii="Garamond" w:hAnsi="Garamond"/>
                <w:sz w:val="16"/>
                <w:szCs w:val="16"/>
              </w:rPr>
              <w:t xml:space="preserve">1. </w:t>
            </w:r>
            <w:r w:rsidR="004719D2" w:rsidRPr="007B7652">
              <w:rPr>
                <w:rFonts w:ascii="Garamond" w:hAnsi="Garamond"/>
                <w:sz w:val="16"/>
                <w:szCs w:val="16"/>
              </w:rPr>
              <w:t xml:space="preserve">Formula e grantit e rregulluar bazuar në të dhënat e </w:t>
            </w:r>
            <w:r w:rsidR="007B7652" w:rsidRPr="007B7652">
              <w:rPr>
                <w:rFonts w:ascii="Garamond" w:hAnsi="Garamond"/>
                <w:sz w:val="16"/>
                <w:szCs w:val="16"/>
              </w:rPr>
              <w:t>regjistrimit të popullsisë</w:t>
            </w:r>
          </w:p>
        </w:tc>
        <w:tc>
          <w:tcPr>
            <w:tcW w:w="654" w:type="pct"/>
            <w:tcBorders>
              <w:top w:val="single" w:sz="4" w:space="0" w:color="auto"/>
              <w:left w:val="single" w:sz="4" w:space="0" w:color="auto"/>
              <w:bottom w:val="single" w:sz="4" w:space="0" w:color="auto"/>
              <w:right w:val="single" w:sz="4" w:space="0" w:color="auto"/>
            </w:tcBorders>
            <w:vAlign w:val="center"/>
          </w:tcPr>
          <w:p w14:paraId="32A89C2E"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ND</w:t>
            </w:r>
          </w:p>
        </w:tc>
        <w:tc>
          <w:tcPr>
            <w:tcW w:w="655" w:type="pct"/>
            <w:tcBorders>
              <w:top w:val="single" w:sz="4" w:space="0" w:color="auto"/>
              <w:left w:val="single" w:sz="4" w:space="0" w:color="auto"/>
              <w:bottom w:val="single" w:sz="4" w:space="0" w:color="auto"/>
              <w:right w:val="single" w:sz="4" w:space="0" w:color="auto"/>
            </w:tcBorders>
            <w:vAlign w:val="center"/>
          </w:tcPr>
          <w:p w14:paraId="097C56B3"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0216B72C"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Formula e grantit e rregulluar</w:t>
            </w:r>
          </w:p>
        </w:tc>
        <w:tc>
          <w:tcPr>
            <w:tcW w:w="655" w:type="pct"/>
            <w:tcBorders>
              <w:top w:val="single" w:sz="4" w:space="0" w:color="auto"/>
              <w:left w:val="single" w:sz="4" w:space="0" w:color="auto"/>
              <w:bottom w:val="single" w:sz="4" w:space="0" w:color="auto"/>
              <w:right w:val="single" w:sz="4" w:space="0" w:color="auto"/>
            </w:tcBorders>
            <w:vAlign w:val="center"/>
          </w:tcPr>
          <w:p w14:paraId="3C7DB18E"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Formula e grantit zbatohet për të gjitha NJVQV-të</w:t>
            </w:r>
          </w:p>
        </w:tc>
        <w:tc>
          <w:tcPr>
            <w:tcW w:w="655" w:type="pct"/>
            <w:tcBorders>
              <w:top w:val="single" w:sz="4" w:space="0" w:color="auto"/>
              <w:left w:val="single" w:sz="4" w:space="0" w:color="auto"/>
              <w:bottom w:val="single" w:sz="4" w:space="0" w:color="auto"/>
              <w:right w:val="single" w:sz="4" w:space="0" w:color="auto"/>
            </w:tcBorders>
            <w:vAlign w:val="center"/>
          </w:tcPr>
          <w:p w14:paraId="3D1172A0"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Formula e grantit zbatohet për të gjitha NJVQV-të</w:t>
            </w:r>
          </w:p>
        </w:tc>
      </w:tr>
      <w:tr w:rsidR="004719D2" w:rsidRPr="007B7652" w14:paraId="7A30D30B" w14:textId="77777777" w:rsidTr="007B7652">
        <w:trPr>
          <w:trHeight w:val="21"/>
        </w:trPr>
        <w:tc>
          <w:tcPr>
            <w:tcW w:w="1727" w:type="pct"/>
            <w:tcBorders>
              <w:top w:val="single" w:sz="4" w:space="0" w:color="auto"/>
              <w:left w:val="single" w:sz="4" w:space="0" w:color="auto"/>
              <w:bottom w:val="single" w:sz="4" w:space="0" w:color="auto"/>
              <w:right w:val="single" w:sz="4" w:space="0" w:color="auto"/>
            </w:tcBorders>
            <w:vAlign w:val="center"/>
          </w:tcPr>
          <w:p w14:paraId="4E375BA1" w14:textId="5E36215D" w:rsidR="004719D2" w:rsidRPr="007B7652" w:rsidRDefault="0022368C" w:rsidP="0022368C">
            <w:pPr>
              <w:rPr>
                <w:rFonts w:ascii="Garamond" w:hAnsi="Garamond"/>
                <w:sz w:val="16"/>
                <w:szCs w:val="16"/>
              </w:rPr>
            </w:pPr>
            <w:r w:rsidRPr="007B7652">
              <w:rPr>
                <w:rFonts w:ascii="Garamond" w:hAnsi="Garamond"/>
                <w:sz w:val="16"/>
                <w:szCs w:val="16"/>
              </w:rPr>
              <w:t xml:space="preserve">2. </w:t>
            </w:r>
            <w:r w:rsidR="004719D2" w:rsidRPr="007B7652">
              <w:rPr>
                <w:rFonts w:ascii="Garamond" w:hAnsi="Garamond"/>
                <w:sz w:val="16"/>
                <w:szCs w:val="16"/>
              </w:rPr>
              <w:t>Prezantohet skema shtesë e granteve të bazuara në performancë (SGBP).</w:t>
            </w:r>
          </w:p>
        </w:tc>
        <w:tc>
          <w:tcPr>
            <w:tcW w:w="654" w:type="pct"/>
            <w:tcBorders>
              <w:top w:val="single" w:sz="4" w:space="0" w:color="auto"/>
              <w:left w:val="single" w:sz="4" w:space="0" w:color="auto"/>
              <w:bottom w:val="single" w:sz="4" w:space="0" w:color="auto"/>
              <w:right w:val="single" w:sz="4" w:space="0" w:color="auto"/>
            </w:tcBorders>
            <w:vAlign w:val="center"/>
          </w:tcPr>
          <w:p w14:paraId="3CC31385"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ND</w:t>
            </w:r>
          </w:p>
        </w:tc>
        <w:tc>
          <w:tcPr>
            <w:tcW w:w="655" w:type="pct"/>
            <w:tcBorders>
              <w:top w:val="single" w:sz="4" w:space="0" w:color="auto"/>
              <w:left w:val="single" w:sz="4" w:space="0" w:color="auto"/>
              <w:bottom w:val="single" w:sz="4" w:space="0" w:color="auto"/>
              <w:right w:val="single" w:sz="4" w:space="0" w:color="auto"/>
            </w:tcBorders>
            <w:vAlign w:val="center"/>
          </w:tcPr>
          <w:p w14:paraId="22D09B9A"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37EE24F5"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SGBP i hartuar</w:t>
            </w:r>
          </w:p>
        </w:tc>
        <w:tc>
          <w:tcPr>
            <w:tcW w:w="655" w:type="pct"/>
            <w:tcBorders>
              <w:top w:val="single" w:sz="4" w:space="0" w:color="auto"/>
              <w:left w:val="single" w:sz="4" w:space="0" w:color="auto"/>
              <w:bottom w:val="single" w:sz="4" w:space="0" w:color="auto"/>
              <w:right w:val="single" w:sz="4" w:space="0" w:color="auto"/>
            </w:tcBorders>
            <w:vAlign w:val="center"/>
          </w:tcPr>
          <w:p w14:paraId="460CA5D1"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SGBP i pilotuar</w:t>
            </w:r>
          </w:p>
        </w:tc>
        <w:tc>
          <w:tcPr>
            <w:tcW w:w="655" w:type="pct"/>
            <w:tcBorders>
              <w:top w:val="single" w:sz="4" w:space="0" w:color="auto"/>
              <w:left w:val="single" w:sz="4" w:space="0" w:color="auto"/>
              <w:bottom w:val="single" w:sz="4" w:space="0" w:color="auto"/>
              <w:right w:val="single" w:sz="4" w:space="0" w:color="auto"/>
            </w:tcBorders>
            <w:vAlign w:val="center"/>
          </w:tcPr>
          <w:p w14:paraId="6E422275"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SGBP i pilotuar</w:t>
            </w:r>
          </w:p>
        </w:tc>
      </w:tr>
      <w:tr w:rsidR="004719D2" w:rsidRPr="007B7652" w14:paraId="3272A16F"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3E1D469B" w14:textId="2A712204" w:rsidR="004719D2" w:rsidRPr="007B7652" w:rsidRDefault="0022368C" w:rsidP="0022368C">
            <w:pPr>
              <w:rPr>
                <w:rFonts w:ascii="Garamond" w:hAnsi="Garamond"/>
                <w:sz w:val="16"/>
                <w:szCs w:val="16"/>
              </w:rPr>
            </w:pPr>
            <w:r w:rsidRPr="007B7652">
              <w:rPr>
                <w:rFonts w:ascii="Garamond" w:hAnsi="Garamond"/>
                <w:sz w:val="16"/>
                <w:szCs w:val="16"/>
              </w:rPr>
              <w:t xml:space="preserve">3. </w:t>
            </w:r>
            <w:r w:rsidR="004719D2" w:rsidRPr="007B7652">
              <w:rPr>
                <w:rFonts w:ascii="Garamond" w:hAnsi="Garamond"/>
                <w:sz w:val="16"/>
                <w:szCs w:val="16"/>
              </w:rPr>
              <w:t>PEFA Treguesi i Performancës 7: Transfertat tek qeveria vendore</w:t>
            </w:r>
          </w:p>
        </w:tc>
        <w:tc>
          <w:tcPr>
            <w:tcW w:w="654" w:type="pct"/>
            <w:tcBorders>
              <w:top w:val="single" w:sz="4" w:space="0" w:color="auto"/>
              <w:left w:val="single" w:sz="4" w:space="0" w:color="auto"/>
              <w:bottom w:val="single" w:sz="4" w:space="0" w:color="auto"/>
              <w:right w:val="single" w:sz="4" w:space="0" w:color="auto"/>
            </w:tcBorders>
            <w:vAlign w:val="center"/>
          </w:tcPr>
          <w:p w14:paraId="042A7AA9"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C+ (2017)</w:t>
            </w:r>
          </w:p>
        </w:tc>
        <w:tc>
          <w:tcPr>
            <w:tcW w:w="655" w:type="pct"/>
            <w:tcBorders>
              <w:top w:val="single" w:sz="4" w:space="0" w:color="auto"/>
              <w:left w:val="single" w:sz="4" w:space="0" w:color="auto"/>
              <w:bottom w:val="single" w:sz="4" w:space="0" w:color="auto"/>
              <w:right w:val="single" w:sz="4" w:space="0" w:color="auto"/>
            </w:tcBorders>
            <w:vAlign w:val="center"/>
          </w:tcPr>
          <w:p w14:paraId="6CB04A68"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42236DA5"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64322224"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B</w:t>
            </w:r>
          </w:p>
        </w:tc>
        <w:tc>
          <w:tcPr>
            <w:tcW w:w="655" w:type="pct"/>
            <w:tcBorders>
              <w:top w:val="single" w:sz="4" w:space="0" w:color="auto"/>
              <w:left w:val="single" w:sz="4" w:space="0" w:color="auto"/>
              <w:bottom w:val="single" w:sz="4" w:space="0" w:color="auto"/>
              <w:right w:val="single" w:sz="4" w:space="0" w:color="auto"/>
            </w:tcBorders>
            <w:vAlign w:val="center"/>
          </w:tcPr>
          <w:p w14:paraId="725498B1"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B</w:t>
            </w:r>
          </w:p>
        </w:tc>
      </w:tr>
      <w:tr w:rsidR="004719D2" w:rsidRPr="007B7652" w14:paraId="70C4C97F"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72A7DEC9" w14:textId="466D18D8" w:rsidR="004719D2" w:rsidRPr="007B7652" w:rsidRDefault="0022368C" w:rsidP="0022368C">
            <w:pPr>
              <w:rPr>
                <w:rFonts w:ascii="Garamond" w:hAnsi="Garamond"/>
                <w:sz w:val="16"/>
                <w:szCs w:val="16"/>
              </w:rPr>
            </w:pPr>
            <w:r w:rsidRPr="007B7652">
              <w:rPr>
                <w:rFonts w:ascii="Garamond" w:hAnsi="Garamond"/>
                <w:sz w:val="16"/>
                <w:szCs w:val="16"/>
              </w:rPr>
              <w:t xml:space="preserve">4. </w:t>
            </w:r>
            <w:r w:rsidR="004719D2" w:rsidRPr="007B7652">
              <w:rPr>
                <w:rFonts w:ascii="Garamond" w:hAnsi="Garamond"/>
                <w:sz w:val="16"/>
                <w:szCs w:val="16"/>
              </w:rPr>
              <w:t xml:space="preserve">Përqindja e bashkive që përdorin </w:t>
            </w:r>
            <w:r w:rsidR="004719D2" w:rsidRPr="007B7652">
              <w:rPr>
                <w:rFonts w:ascii="Garamond" w:hAnsi="Garamond"/>
                <w:i/>
                <w:sz w:val="16"/>
                <w:szCs w:val="16"/>
              </w:rPr>
              <w:t>software</w:t>
            </w:r>
            <w:r w:rsidR="004719D2" w:rsidRPr="007B7652">
              <w:rPr>
                <w:rFonts w:ascii="Garamond" w:hAnsi="Garamond"/>
                <w:sz w:val="16"/>
                <w:szCs w:val="16"/>
              </w:rPr>
              <w:t>-in e ri SMBV</w:t>
            </w:r>
            <w:r w:rsidR="004719D2" w:rsidRPr="007B7652">
              <w:rPr>
                <w:rFonts w:ascii="Garamond" w:hAnsi="Garamond"/>
                <w:sz w:val="16"/>
                <w:szCs w:val="16"/>
              </w:rPr>
              <w:footnoteReference w:id="32"/>
            </w:r>
          </w:p>
        </w:tc>
        <w:tc>
          <w:tcPr>
            <w:tcW w:w="654" w:type="pct"/>
            <w:tcBorders>
              <w:top w:val="single" w:sz="4" w:space="0" w:color="auto"/>
              <w:left w:val="single" w:sz="4" w:space="0" w:color="auto"/>
              <w:bottom w:val="single" w:sz="4" w:space="0" w:color="auto"/>
              <w:right w:val="single" w:sz="4" w:space="0" w:color="auto"/>
            </w:tcBorders>
            <w:vAlign w:val="center"/>
          </w:tcPr>
          <w:p w14:paraId="2D1ABF74"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762F977C"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1AD361CA"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30%</w:t>
            </w:r>
          </w:p>
        </w:tc>
        <w:tc>
          <w:tcPr>
            <w:tcW w:w="655" w:type="pct"/>
            <w:tcBorders>
              <w:top w:val="single" w:sz="4" w:space="0" w:color="auto"/>
              <w:left w:val="single" w:sz="4" w:space="0" w:color="auto"/>
              <w:bottom w:val="single" w:sz="4" w:space="0" w:color="auto"/>
              <w:right w:val="single" w:sz="4" w:space="0" w:color="auto"/>
            </w:tcBorders>
            <w:vAlign w:val="center"/>
          </w:tcPr>
          <w:p w14:paraId="3A5B5208"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100%</w:t>
            </w:r>
          </w:p>
        </w:tc>
        <w:tc>
          <w:tcPr>
            <w:tcW w:w="655" w:type="pct"/>
            <w:tcBorders>
              <w:top w:val="single" w:sz="4" w:space="0" w:color="auto"/>
              <w:left w:val="single" w:sz="4" w:space="0" w:color="auto"/>
              <w:bottom w:val="single" w:sz="4" w:space="0" w:color="auto"/>
              <w:right w:val="single" w:sz="4" w:space="0" w:color="auto"/>
            </w:tcBorders>
            <w:vAlign w:val="center"/>
          </w:tcPr>
          <w:p w14:paraId="5C66D9F7"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100%</w:t>
            </w:r>
          </w:p>
        </w:tc>
      </w:tr>
      <w:tr w:rsidR="004719D2" w:rsidRPr="007B7652" w14:paraId="37833442"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4872F523" w14:textId="21851046" w:rsidR="004719D2" w:rsidRPr="007B7652" w:rsidRDefault="0022368C" w:rsidP="0022368C">
            <w:pPr>
              <w:rPr>
                <w:rFonts w:ascii="Garamond" w:hAnsi="Garamond"/>
                <w:sz w:val="16"/>
                <w:szCs w:val="16"/>
              </w:rPr>
            </w:pPr>
            <w:r w:rsidRPr="007B7652">
              <w:rPr>
                <w:rFonts w:ascii="Garamond" w:hAnsi="Garamond"/>
                <w:sz w:val="16"/>
                <w:szCs w:val="16"/>
              </w:rPr>
              <w:t xml:space="preserve">5. </w:t>
            </w:r>
            <w:r w:rsidR="004719D2" w:rsidRPr="007B7652">
              <w:rPr>
                <w:rFonts w:ascii="Garamond" w:hAnsi="Garamond"/>
                <w:sz w:val="16"/>
                <w:szCs w:val="16"/>
              </w:rPr>
              <w:t>Përqindja e bashkive që publikojnë planet e performancës për ofrimin e shërbimeve</w:t>
            </w:r>
            <w:r w:rsidR="004719D2" w:rsidRPr="007B7652">
              <w:rPr>
                <w:rFonts w:ascii="Garamond" w:hAnsi="Garamond"/>
                <w:sz w:val="16"/>
                <w:szCs w:val="16"/>
                <w:vertAlign w:val="superscript"/>
              </w:rPr>
              <w:footnoteReference w:id="33"/>
            </w:r>
          </w:p>
        </w:tc>
        <w:tc>
          <w:tcPr>
            <w:tcW w:w="654" w:type="pct"/>
            <w:tcBorders>
              <w:top w:val="single" w:sz="4" w:space="0" w:color="auto"/>
              <w:left w:val="single" w:sz="4" w:space="0" w:color="auto"/>
              <w:bottom w:val="single" w:sz="4" w:space="0" w:color="auto"/>
              <w:right w:val="single" w:sz="4" w:space="0" w:color="auto"/>
            </w:tcBorders>
            <w:vAlign w:val="center"/>
          </w:tcPr>
          <w:p w14:paraId="7D331E0C"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2D14A680"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0C4444F6"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32163748"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50%</w:t>
            </w:r>
          </w:p>
        </w:tc>
        <w:tc>
          <w:tcPr>
            <w:tcW w:w="655" w:type="pct"/>
            <w:tcBorders>
              <w:top w:val="single" w:sz="4" w:space="0" w:color="auto"/>
              <w:left w:val="single" w:sz="4" w:space="0" w:color="auto"/>
              <w:bottom w:val="single" w:sz="4" w:space="0" w:color="auto"/>
              <w:right w:val="single" w:sz="4" w:space="0" w:color="auto"/>
            </w:tcBorders>
            <w:vAlign w:val="center"/>
          </w:tcPr>
          <w:p w14:paraId="19539B8D"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70%</w:t>
            </w:r>
          </w:p>
        </w:tc>
      </w:tr>
      <w:tr w:rsidR="004719D2" w:rsidRPr="007B7652" w14:paraId="30BEA019"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3F789F1E" w14:textId="40C35BC9" w:rsidR="004719D2" w:rsidRPr="00317130" w:rsidRDefault="00317130" w:rsidP="00317130">
            <w:pPr>
              <w:tabs>
                <w:tab w:val="left" w:pos="221"/>
              </w:tabs>
              <w:rPr>
                <w:rFonts w:ascii="Garamond" w:hAnsi="Garamond"/>
                <w:color w:val="000000" w:themeColor="text1"/>
                <w:sz w:val="16"/>
                <w:szCs w:val="16"/>
              </w:rPr>
            </w:pPr>
            <w:r>
              <w:rPr>
                <w:rFonts w:ascii="Garamond" w:hAnsi="Garamond"/>
                <w:color w:val="000000" w:themeColor="text1"/>
                <w:sz w:val="16"/>
                <w:szCs w:val="16"/>
              </w:rPr>
              <w:t xml:space="preserve">6. </w:t>
            </w:r>
            <w:r w:rsidR="004719D2" w:rsidRPr="00317130">
              <w:rPr>
                <w:rFonts w:ascii="Garamond" w:hAnsi="Garamond"/>
                <w:color w:val="000000" w:themeColor="text1"/>
                <w:sz w:val="16"/>
                <w:szCs w:val="16"/>
              </w:rPr>
              <w:t>Përqindja e bashkive që publikojnë informacion mbi performancën e arritur nga ofrimi i shërbimeve.</w:t>
            </w:r>
            <w:r w:rsidR="004719D2" w:rsidRPr="007B7652">
              <w:rPr>
                <w:rStyle w:val="FootnoteReference"/>
                <w:rFonts w:ascii="Garamond" w:hAnsi="Garamond"/>
                <w:color w:val="000000" w:themeColor="text1"/>
                <w:sz w:val="16"/>
                <w:szCs w:val="16"/>
              </w:rPr>
              <w:footnoteReference w:id="34"/>
            </w:r>
          </w:p>
        </w:tc>
        <w:tc>
          <w:tcPr>
            <w:tcW w:w="654" w:type="pct"/>
            <w:tcBorders>
              <w:top w:val="single" w:sz="4" w:space="0" w:color="auto"/>
              <w:left w:val="single" w:sz="4" w:space="0" w:color="auto"/>
              <w:bottom w:val="single" w:sz="4" w:space="0" w:color="auto"/>
              <w:right w:val="single" w:sz="4" w:space="0" w:color="auto"/>
            </w:tcBorders>
            <w:vAlign w:val="center"/>
          </w:tcPr>
          <w:p w14:paraId="117D2542"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090B02E9"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067B6563"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vAlign w:val="center"/>
          </w:tcPr>
          <w:p w14:paraId="46ED380B"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50%</w:t>
            </w:r>
          </w:p>
        </w:tc>
        <w:tc>
          <w:tcPr>
            <w:tcW w:w="655" w:type="pct"/>
            <w:tcBorders>
              <w:top w:val="single" w:sz="4" w:space="0" w:color="auto"/>
              <w:left w:val="single" w:sz="4" w:space="0" w:color="auto"/>
              <w:bottom w:val="single" w:sz="4" w:space="0" w:color="auto"/>
              <w:right w:val="single" w:sz="4" w:space="0" w:color="auto"/>
            </w:tcBorders>
            <w:vAlign w:val="center"/>
          </w:tcPr>
          <w:p w14:paraId="158BD6DD"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70%</w:t>
            </w:r>
          </w:p>
        </w:tc>
      </w:tr>
      <w:tr w:rsidR="004719D2" w:rsidRPr="007B7652" w14:paraId="2FC866A4" w14:textId="77777777" w:rsidTr="007B7652">
        <w:tc>
          <w:tcPr>
            <w:tcW w:w="1727" w:type="pct"/>
            <w:tcBorders>
              <w:top w:val="single" w:sz="4" w:space="0" w:color="auto"/>
              <w:left w:val="single" w:sz="4" w:space="0" w:color="auto"/>
              <w:bottom w:val="single" w:sz="4" w:space="0" w:color="auto"/>
              <w:right w:val="single" w:sz="4" w:space="0" w:color="auto"/>
            </w:tcBorders>
            <w:vAlign w:val="center"/>
          </w:tcPr>
          <w:p w14:paraId="1C10A152" w14:textId="325635FE" w:rsidR="004719D2" w:rsidRPr="00317130" w:rsidRDefault="00317130" w:rsidP="00317130">
            <w:pPr>
              <w:tabs>
                <w:tab w:val="left" w:pos="221"/>
              </w:tabs>
              <w:rPr>
                <w:rFonts w:ascii="Garamond" w:hAnsi="Garamond"/>
                <w:color w:val="000000" w:themeColor="text1"/>
                <w:sz w:val="16"/>
                <w:szCs w:val="16"/>
              </w:rPr>
            </w:pPr>
            <w:r>
              <w:rPr>
                <w:rFonts w:ascii="Garamond" w:hAnsi="Garamond"/>
                <w:color w:val="000000" w:themeColor="text1"/>
                <w:sz w:val="16"/>
                <w:szCs w:val="16"/>
              </w:rPr>
              <w:t xml:space="preserve">7. </w:t>
            </w:r>
            <w:r w:rsidR="004719D2" w:rsidRPr="00317130">
              <w:rPr>
                <w:rFonts w:ascii="Garamond" w:hAnsi="Garamond"/>
                <w:color w:val="000000" w:themeColor="text1"/>
                <w:sz w:val="16"/>
                <w:szCs w:val="16"/>
              </w:rPr>
              <w:t xml:space="preserve">Prezantimi nga MF i </w:t>
            </w:r>
            <w:r w:rsidR="004719D2" w:rsidRPr="00317130">
              <w:rPr>
                <w:rFonts w:ascii="Garamond" w:hAnsi="Garamond"/>
                <w:i/>
                <w:color w:val="000000" w:themeColor="text1"/>
                <w:sz w:val="16"/>
                <w:szCs w:val="16"/>
              </w:rPr>
              <w:t>Software</w:t>
            </w:r>
            <w:r w:rsidR="004719D2" w:rsidRPr="00317130">
              <w:rPr>
                <w:rFonts w:ascii="Garamond" w:hAnsi="Garamond"/>
                <w:color w:val="000000" w:themeColor="text1"/>
                <w:sz w:val="16"/>
                <w:szCs w:val="16"/>
              </w:rPr>
              <w:t xml:space="preserve">-it të Menaxhimit të Buxhetit Vendor dhe </w:t>
            </w:r>
            <w:r w:rsidR="007B7652" w:rsidRPr="00317130">
              <w:rPr>
                <w:rFonts w:ascii="Garamond" w:hAnsi="Garamond"/>
                <w:i/>
                <w:color w:val="000000" w:themeColor="text1"/>
                <w:sz w:val="16"/>
                <w:szCs w:val="16"/>
              </w:rPr>
              <w:t>e</w:t>
            </w:r>
            <w:r w:rsidR="004719D2" w:rsidRPr="00317130">
              <w:rPr>
                <w:rFonts w:ascii="Garamond" w:hAnsi="Garamond"/>
                <w:i/>
                <w:color w:val="000000" w:themeColor="text1"/>
                <w:sz w:val="16"/>
                <w:szCs w:val="16"/>
              </w:rPr>
              <w:t>-Platformës</w:t>
            </w:r>
            <w:r w:rsidR="004719D2" w:rsidRPr="007B7652">
              <w:rPr>
                <w:rStyle w:val="FootnoteReference"/>
                <w:rFonts w:ascii="Garamond" w:hAnsi="Garamond"/>
                <w:color w:val="000000" w:themeColor="text1"/>
                <w:sz w:val="16"/>
                <w:szCs w:val="16"/>
              </w:rPr>
              <w:footnoteReference w:id="35"/>
            </w:r>
            <w:r w:rsidR="007B7652" w:rsidRPr="00317130">
              <w:rPr>
                <w:rFonts w:ascii="Garamond" w:hAnsi="Garamond"/>
                <w:color w:val="000000" w:themeColor="text1"/>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45099025"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color w:val="000000" w:themeColor="text1"/>
                <w:sz w:val="16"/>
                <w:szCs w:val="16"/>
              </w:rPr>
              <w:t>-</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EBAE9D"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i/>
                <w:color w:val="000000" w:themeColor="text1"/>
                <w:sz w:val="16"/>
                <w:szCs w:val="16"/>
              </w:rPr>
              <w:t>E-platforma</w:t>
            </w:r>
            <w:r w:rsidRPr="007B7652">
              <w:rPr>
                <w:rFonts w:ascii="Garamond" w:hAnsi="Garamond" w:cs="Arial"/>
                <w:color w:val="000000" w:themeColor="text1"/>
                <w:sz w:val="16"/>
                <w:szCs w:val="16"/>
              </w:rPr>
              <w:t xml:space="preserve"> e zhvilluar dhe e miratuar</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68856"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i/>
                <w:color w:val="000000" w:themeColor="text1"/>
                <w:sz w:val="16"/>
                <w:szCs w:val="16"/>
              </w:rPr>
              <w:t>E-platforma</w:t>
            </w:r>
            <w:r w:rsidRPr="007B7652">
              <w:rPr>
                <w:rFonts w:ascii="Garamond" w:hAnsi="Garamond" w:cs="Arial"/>
                <w:color w:val="000000" w:themeColor="text1"/>
                <w:sz w:val="16"/>
                <w:szCs w:val="16"/>
              </w:rPr>
              <w:t xml:space="preserve"> plotësisht funksionale dhe e përdorur </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93A23"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i/>
                <w:color w:val="000000" w:themeColor="text1"/>
                <w:sz w:val="16"/>
                <w:szCs w:val="16"/>
              </w:rPr>
              <w:t>E-platforma</w:t>
            </w:r>
            <w:r w:rsidRPr="007B7652">
              <w:rPr>
                <w:rFonts w:ascii="Garamond" w:hAnsi="Garamond" w:cs="Arial"/>
                <w:color w:val="000000" w:themeColor="text1"/>
                <w:sz w:val="16"/>
                <w:szCs w:val="16"/>
              </w:rPr>
              <w:t xml:space="preserve"> e mirëmbajtur</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823F6" w14:textId="77777777" w:rsidR="004719D2" w:rsidRPr="007B7652" w:rsidRDefault="004719D2" w:rsidP="00CF7CEC">
            <w:pPr>
              <w:pStyle w:val="EcorysBody"/>
              <w:spacing w:line="240" w:lineRule="auto"/>
              <w:jc w:val="center"/>
              <w:rPr>
                <w:rFonts w:ascii="Garamond" w:hAnsi="Garamond" w:cs="Arial"/>
                <w:color w:val="000000" w:themeColor="text1"/>
                <w:sz w:val="16"/>
                <w:szCs w:val="16"/>
              </w:rPr>
            </w:pPr>
            <w:r w:rsidRPr="007B7652">
              <w:rPr>
                <w:rFonts w:ascii="Garamond" w:hAnsi="Garamond" w:cs="Arial"/>
                <w:i/>
                <w:color w:val="000000" w:themeColor="text1"/>
                <w:sz w:val="16"/>
                <w:szCs w:val="16"/>
              </w:rPr>
              <w:t>E-platforma</w:t>
            </w:r>
            <w:r w:rsidRPr="007B7652">
              <w:rPr>
                <w:rFonts w:ascii="Garamond" w:hAnsi="Garamond" w:cs="Arial"/>
                <w:color w:val="000000" w:themeColor="text1"/>
                <w:sz w:val="16"/>
                <w:szCs w:val="16"/>
              </w:rPr>
              <w:t xml:space="preserve"> e mirëmbajtur</w:t>
            </w:r>
          </w:p>
        </w:tc>
      </w:tr>
    </w:tbl>
    <w:p w14:paraId="361665FD" w14:textId="77777777" w:rsidR="004719D2" w:rsidRPr="004A47DC" w:rsidRDefault="004719D2" w:rsidP="004719D2">
      <w:pPr>
        <w:rPr>
          <w:rFonts w:ascii="Garamond" w:hAnsi="Garamond"/>
          <w:color w:val="000000" w:themeColor="text1"/>
        </w:rPr>
      </w:pPr>
    </w:p>
    <w:p w14:paraId="5FC42627" w14:textId="0ADBD585" w:rsidR="004719D2" w:rsidRPr="004A47DC" w:rsidRDefault="00A63327" w:rsidP="00A63327">
      <w:pPr>
        <w:pStyle w:val="TEKSTIII"/>
        <w:rPr>
          <w:rStyle w:val="IntenseReference"/>
          <w:rFonts w:ascii="Garamond" w:hAnsi="Garamond"/>
          <w:b/>
          <w:i w:val="0"/>
          <w:color w:val="000000" w:themeColor="text1"/>
          <w:sz w:val="24"/>
          <w:szCs w:val="24"/>
        </w:rPr>
      </w:pPr>
      <w:bookmarkStart w:id="14" w:name="_Toc168918682"/>
      <w:r w:rsidRPr="004A47DC">
        <w:rPr>
          <w:rStyle w:val="IntenseReference"/>
          <w:rFonts w:ascii="Garamond" w:hAnsi="Garamond"/>
          <w:b/>
          <w:i w:val="0"/>
          <w:color w:val="000000" w:themeColor="text1"/>
          <w:sz w:val="24"/>
          <w:szCs w:val="24"/>
        </w:rPr>
        <w:t xml:space="preserve">3.6 </w:t>
      </w:r>
      <w:r w:rsidR="004719D2" w:rsidRPr="004A47DC">
        <w:rPr>
          <w:rStyle w:val="IntenseReference"/>
          <w:rFonts w:ascii="Garamond" w:hAnsi="Garamond"/>
          <w:b/>
          <w:i w:val="0"/>
          <w:color w:val="000000" w:themeColor="text1"/>
          <w:sz w:val="24"/>
          <w:szCs w:val="24"/>
        </w:rPr>
        <w:t>Komponenti 2.5</w:t>
      </w:r>
      <w:r w:rsidR="00992F84" w:rsidRPr="004A47DC">
        <w:rPr>
          <w:rStyle w:val="IntenseReference"/>
          <w:rFonts w:ascii="Garamond" w:hAnsi="Garamond"/>
          <w:b/>
          <w:i w:val="0"/>
          <w:color w:val="000000" w:themeColor="text1"/>
          <w:sz w:val="24"/>
          <w:szCs w:val="24"/>
        </w:rPr>
        <w:t>:</w:t>
      </w:r>
      <w:r w:rsidR="004719D2" w:rsidRPr="004A47DC">
        <w:rPr>
          <w:rStyle w:val="IntenseReference"/>
          <w:rFonts w:ascii="Garamond" w:hAnsi="Garamond"/>
          <w:b/>
          <w:i w:val="0"/>
          <w:color w:val="000000" w:themeColor="text1"/>
          <w:sz w:val="24"/>
          <w:szCs w:val="24"/>
        </w:rPr>
        <w:t xml:space="preserve"> Raportimi dhe </w:t>
      </w:r>
      <w:r w:rsidR="00992F84" w:rsidRPr="004A47DC">
        <w:rPr>
          <w:rStyle w:val="IntenseReference"/>
          <w:rFonts w:ascii="Garamond" w:hAnsi="Garamond"/>
          <w:b/>
          <w:i w:val="0"/>
          <w:color w:val="000000" w:themeColor="text1"/>
          <w:sz w:val="24"/>
          <w:szCs w:val="24"/>
        </w:rPr>
        <w:t>monitorimi i zbatimit të buxhetit</w:t>
      </w:r>
      <w:bookmarkEnd w:id="14"/>
    </w:p>
    <w:p w14:paraId="17868286" w14:textId="77777777" w:rsidR="004719D2" w:rsidRPr="004A47DC" w:rsidRDefault="004719D2" w:rsidP="00A63327">
      <w:pPr>
        <w:pStyle w:val="TEKSTIII"/>
        <w:rPr>
          <w:rStyle w:val="IntenseReference"/>
          <w:rFonts w:ascii="Garamond" w:hAnsi="Garamond"/>
          <w:b/>
          <w:i w:val="0"/>
          <w:color w:val="000000" w:themeColor="text1"/>
          <w:sz w:val="24"/>
          <w:szCs w:val="24"/>
        </w:rPr>
      </w:pPr>
      <w:r w:rsidRPr="004A47DC">
        <w:rPr>
          <w:rStyle w:val="IntenseReference"/>
          <w:rFonts w:ascii="Garamond" w:hAnsi="Garamond"/>
          <w:b/>
          <w:i w:val="0"/>
          <w:color w:val="000000" w:themeColor="text1"/>
          <w:sz w:val="24"/>
          <w:szCs w:val="24"/>
        </w:rPr>
        <w:t>Objektivi</w:t>
      </w:r>
    </w:p>
    <w:p w14:paraId="1E4A0BD3" w14:textId="77777777" w:rsidR="004719D2" w:rsidRPr="004A47DC" w:rsidRDefault="004719D2" w:rsidP="00A63327">
      <w:pPr>
        <w:pStyle w:val="TEKSTIII"/>
      </w:pPr>
      <w:r w:rsidRPr="004A47DC">
        <w:t>Objektivi për vitin 2030 është që të ketë një sistem gjithëpërfshirës dhe transparent të monitorimit dhe raportimit të buxhetit në nivel të institucioneve buxhetore dhe në nivel qendror që mbulon të gjitha aspektet e raportimit buxhetor.</w:t>
      </w:r>
    </w:p>
    <w:p w14:paraId="3A4D9A79" w14:textId="77777777" w:rsidR="004719D2" w:rsidRPr="004A47DC" w:rsidRDefault="004719D2" w:rsidP="00A63327">
      <w:pPr>
        <w:pStyle w:val="TEKSTIII"/>
        <w:rPr>
          <w:rStyle w:val="IntenseReference"/>
          <w:rFonts w:ascii="Garamond" w:hAnsi="Garamond"/>
          <w:b/>
          <w:i w:val="0"/>
          <w:color w:val="000000" w:themeColor="text1"/>
          <w:sz w:val="24"/>
          <w:szCs w:val="24"/>
        </w:rPr>
      </w:pPr>
      <w:r w:rsidRPr="004A47DC">
        <w:rPr>
          <w:rStyle w:val="IntenseReference"/>
          <w:rFonts w:ascii="Garamond" w:hAnsi="Garamond"/>
          <w:b/>
          <w:i w:val="0"/>
          <w:color w:val="000000" w:themeColor="text1"/>
          <w:sz w:val="24"/>
          <w:szCs w:val="24"/>
        </w:rPr>
        <w:t>Konteksti</w:t>
      </w:r>
    </w:p>
    <w:p w14:paraId="4E2BECF9" w14:textId="7CEF2806" w:rsidR="004719D2" w:rsidRPr="004A47DC" w:rsidRDefault="004719D2" w:rsidP="00A63327">
      <w:pPr>
        <w:pStyle w:val="TEKSTIII"/>
      </w:pPr>
      <w:r w:rsidRPr="004A47DC">
        <w:t>Kuadri ligjor i menaxhimit të buxhetit</w:t>
      </w:r>
      <w:r w:rsidRPr="004A47DC">
        <w:rPr>
          <w:rStyle w:val="FootnoteReference"/>
          <w:rFonts w:ascii="Garamond" w:hAnsi="Garamond"/>
          <w:color w:val="000000" w:themeColor="text1"/>
          <w:sz w:val="24"/>
          <w:szCs w:val="24"/>
        </w:rPr>
        <w:footnoteReference w:id="36"/>
      </w:r>
      <w:r w:rsidRPr="004A47DC">
        <w:t xml:space="preserve"> është konsoliduar, me disa përmirësime në monitorimin e performancës financiare të sektorit të qeverisjes qendrore që synon ndryshimin e shpeshtësisë së raportimit, përmbajtjen e tij dhe përcaktimin e roleve dhe përgjegjësive të palëve përkatëse. SIMFSH-ja, </w:t>
      </w:r>
      <w:r w:rsidR="00355A4A">
        <w:t>e</w:t>
      </w:r>
      <w:r w:rsidRPr="004A47DC">
        <w:t xml:space="preserve"> projektuar si një zgjerim i Sistemit Informativ Financiar Qeveritar (SIFQ) ekzistues, ka gjithashtu modulin e Monitorimit të Buxhetit dhe Portofolit të Projekteve, i cili është tashmë në përdorim. Prandaj, janë përmirësuar raportet e zbatimit të buxhetit gjatë vitit, raporti i </w:t>
      </w:r>
      <w:r w:rsidR="00355A4A" w:rsidRPr="004A47DC">
        <w:t xml:space="preserve">performancës makroekonomike, fiskale dhe buxhetore </w:t>
      </w:r>
      <w:r w:rsidRPr="004A47DC">
        <w:t>i mesvitit dhe raporti i fundvitit. Në vitin 2023 është nxjerrë një udhëzues i ri për monitorimin e buxhetit.</w:t>
      </w:r>
      <w:r w:rsidRPr="004A47DC">
        <w:rPr>
          <w:vertAlign w:val="superscript"/>
        </w:rPr>
        <w:footnoteReference w:id="37"/>
      </w:r>
      <w:r w:rsidRPr="004A47DC">
        <w:t xml:space="preserve"> Në përputhje me </w:t>
      </w:r>
      <w:r w:rsidR="00355A4A" w:rsidRPr="004A47DC">
        <w:t>ligjin organik të buxhetit,</w:t>
      </w:r>
      <w:r w:rsidRPr="004A47DC">
        <w:t xml:space="preserve"> </w:t>
      </w:r>
      <w:r w:rsidR="00355A4A" w:rsidRPr="004A47DC">
        <w:t xml:space="preserve">ministri </w:t>
      </w:r>
      <w:r w:rsidRPr="004A47DC">
        <w:t xml:space="preserve">i Financave nxjerr një udhëzues standard, i cili përmban udhëzime për procedurat, formatet dhe afatet që duhet të ndjekin të gjitha </w:t>
      </w:r>
      <w:r w:rsidR="00355A4A" w:rsidRPr="004A47DC">
        <w:t xml:space="preserve">njësitë e qeverisjes qendrore </w:t>
      </w:r>
      <w:r w:rsidRPr="004A47DC">
        <w:t>gjatë kryerjes së raporteve periodike të monitorimit të ekzekutimit të buxhetit. Në këto rrethana, udhëzimi i ri</w:t>
      </w:r>
      <w:r w:rsidR="00355A4A">
        <w:t>,</w:t>
      </w:r>
      <w:r w:rsidRPr="004A47DC">
        <w:t xml:space="preserve"> i nxjerrë në maj 2023</w:t>
      </w:r>
      <w:r w:rsidR="00355A4A">
        <w:t>,</w:t>
      </w:r>
      <w:r w:rsidRPr="004A47DC">
        <w:t xml:space="preserve"> synon të përmirësojë më tej procesin e monitorimit të kryer nga ML/IB-të, por nuk është në objektin e tij parashikimi i një </w:t>
      </w:r>
      <w:r w:rsidR="00CE6AE5" w:rsidRPr="004A47DC">
        <w:t>‘</w:t>
      </w:r>
      <w:r w:rsidR="00355A4A" w:rsidRPr="004A47DC">
        <w:t xml:space="preserve">Raporti </w:t>
      </w:r>
      <w:r w:rsidRPr="004A47DC">
        <w:t>të monitorimit të buxhetit agregat</w:t>
      </w:r>
      <w:r w:rsidR="00CE6AE5" w:rsidRPr="004A47DC">
        <w:t>’</w:t>
      </w:r>
      <w:r w:rsidRPr="004A47DC">
        <w:t>.</w:t>
      </w:r>
    </w:p>
    <w:p w14:paraId="062EDE35" w14:textId="7F6C796A" w:rsidR="004719D2" w:rsidRPr="004A47DC" w:rsidRDefault="004719D2" w:rsidP="00A63327">
      <w:pPr>
        <w:pStyle w:val="TEKSTIII"/>
      </w:pPr>
      <w:r w:rsidRPr="004A47DC">
        <w:t xml:space="preserve">Ky udhëzues i ri, përcakton të gjitha procedurat dhe afatet që duhen ndjekur nga të gjitha njësitë e qeverisjes qendrore gjatë monitorimit të zbatimit të buxhetit për performancën financiare dhe jofinanciare, produktet dhe objektivat e politikave të realizuara për çdo program. Anekset e reja të miratuara në kuadër të këtij udhëzimi, të cilat mund të gjenerohen përmes SMFSH-së, përmbajnë të dhëna për ecurinë e shpenzimeve buxhetore sipas klasifikimit të tyre ekonomik, performancën e produkteve që lidhen me </w:t>
      </w:r>
      <w:r w:rsidR="00355A4A" w:rsidRPr="004A47DC">
        <w:t xml:space="preserve">treguesit kyç të performancës </w:t>
      </w:r>
      <w:r w:rsidRPr="004A47DC">
        <w:t>së tyre për çdo program buxhetor.</w:t>
      </w:r>
    </w:p>
    <w:p w14:paraId="4F0F513F" w14:textId="77777777" w:rsidR="004719D2" w:rsidRPr="004A47DC" w:rsidRDefault="004719D2" w:rsidP="00A63327">
      <w:pPr>
        <w:ind w:firstLine="284"/>
        <w:jc w:val="both"/>
        <w:rPr>
          <w:rFonts w:ascii="Garamond" w:hAnsi="Garamond"/>
          <w:color w:val="000000" w:themeColor="text1"/>
        </w:rPr>
      </w:pPr>
      <w:r w:rsidRPr="004A47DC">
        <w:rPr>
          <w:rFonts w:ascii="Garamond" w:hAnsi="Garamond"/>
          <w:color w:val="000000" w:themeColor="text1"/>
        </w:rPr>
        <w:t>Monitorimi i objektivave për çdo politikë të programit buxhetor bazohet në treguesin përkatës të performancës, ndërsa monitorimi i produkteve bëhet për nga sasia dhe vlera. Pra, monitorimi është procesi që lidh realizimin e objektivave dhe produkteve me fondet përkatëse të planifikuara për arritjen e tyre. Procesi i monitorimit mund të bëhet dhe paraqitet vetëm në nivel programi për çdo ML/IB-të.</w:t>
      </w:r>
    </w:p>
    <w:p w14:paraId="19ACCE5B" w14:textId="77777777" w:rsidR="004719D2" w:rsidRPr="004A47DC" w:rsidRDefault="004719D2" w:rsidP="00A63327">
      <w:pPr>
        <w:ind w:firstLine="284"/>
        <w:jc w:val="both"/>
        <w:rPr>
          <w:rFonts w:ascii="Garamond" w:hAnsi="Garamond"/>
          <w:color w:val="000000" w:themeColor="text1"/>
        </w:rPr>
      </w:pPr>
      <w:r w:rsidRPr="004A47DC">
        <w:rPr>
          <w:rFonts w:ascii="Garamond" w:hAnsi="Garamond"/>
          <w:color w:val="000000" w:themeColor="text1"/>
        </w:rPr>
        <w:t>Ndërkohë, informacioni i përmbledhur i raporteve të monitorimit për ML/IB-të është pjesë e Raportit Vjetor të Zbatimit të Buxhetit, i cili paraqet ecurinë buxhetore financiare dhe jofinanciare të programeve të ML/IB-ve.</w:t>
      </w:r>
    </w:p>
    <w:p w14:paraId="15754530" w14:textId="77777777" w:rsidR="004719D2" w:rsidRPr="004A47DC" w:rsidRDefault="004719D2" w:rsidP="00A63327">
      <w:pPr>
        <w:ind w:firstLine="284"/>
        <w:jc w:val="both"/>
        <w:rPr>
          <w:rFonts w:ascii="Garamond" w:hAnsi="Garamond"/>
          <w:color w:val="000000" w:themeColor="text1"/>
        </w:rPr>
      </w:pPr>
      <w:r w:rsidRPr="004A47DC">
        <w:rPr>
          <w:rFonts w:ascii="Garamond" w:hAnsi="Garamond"/>
          <w:color w:val="000000" w:themeColor="text1"/>
        </w:rPr>
        <w:t>Për më tepër, dokumenti për Raportin Vjetor të Zbatimit të Buxhetit përmban një informacion dhe analizë të sintetizuar për ecurinë e shpenzimeve të përgjithshme, duke përfshirë ato sipas klasifikimit të tyre ekonomik dhe funksional.</w:t>
      </w:r>
    </w:p>
    <w:p w14:paraId="506ABF78" w14:textId="77777777" w:rsidR="004719D2" w:rsidRPr="004A47DC" w:rsidRDefault="004719D2" w:rsidP="00A63327">
      <w:pPr>
        <w:pStyle w:val="TEKSTIII"/>
        <w:rPr>
          <w:rStyle w:val="IntenseReference"/>
          <w:rFonts w:ascii="Garamond" w:hAnsi="Garamond"/>
          <w:b/>
          <w:i w:val="0"/>
          <w:color w:val="000000" w:themeColor="text1"/>
          <w:sz w:val="24"/>
          <w:szCs w:val="24"/>
        </w:rPr>
      </w:pPr>
      <w:r w:rsidRPr="004A47DC">
        <w:rPr>
          <w:rStyle w:val="IntenseReference"/>
          <w:rFonts w:ascii="Garamond" w:hAnsi="Garamond"/>
          <w:b/>
          <w:i w:val="0"/>
          <w:color w:val="000000" w:themeColor="text1"/>
          <w:sz w:val="24"/>
          <w:szCs w:val="24"/>
        </w:rPr>
        <w:t>Prioritetet</w:t>
      </w:r>
    </w:p>
    <w:p w14:paraId="2A4034FD" w14:textId="77777777" w:rsidR="004719D2" w:rsidRPr="004A47DC" w:rsidRDefault="004719D2" w:rsidP="00A63327">
      <w:pPr>
        <w:pStyle w:val="TEKSTIII"/>
      </w:pPr>
      <w:r w:rsidRPr="004A47DC">
        <w:t>Prioritetet deri në vitin 2026 janë:</w:t>
      </w:r>
    </w:p>
    <w:p w14:paraId="7C3D91F1" w14:textId="6CCC3FB7" w:rsidR="004719D2" w:rsidRPr="004A47DC" w:rsidRDefault="00A63327" w:rsidP="00A63327">
      <w:pPr>
        <w:pStyle w:val="TEKSTIII"/>
      </w:pPr>
      <w:r w:rsidRPr="004A47DC">
        <w:t>-</w:t>
      </w:r>
      <w:r w:rsidR="004B3C5A">
        <w:t xml:space="preserve"> </w:t>
      </w:r>
      <w:r w:rsidR="004719D2" w:rsidRPr="004A47DC">
        <w:t>Përmirësimi i monitorimit dhe raportimit të zbatimit të buxhetit nga institucionet buxhetore dhe në nivel të përmbledhur</w:t>
      </w:r>
      <w:r w:rsidR="004B3C5A">
        <w:t>,</w:t>
      </w:r>
      <w:r w:rsidR="004719D2" w:rsidRPr="004A47DC">
        <w:t xml:space="preserve"> duke prezantuar përgatitjen e raportit të zbatimit të buxhetit për qytetarët, dhe fillimi i </w:t>
      </w:r>
      <w:r w:rsidR="004719D2" w:rsidRPr="004A47DC">
        <w:rPr>
          <w:rStyle w:val="rynqvb"/>
          <w:color w:val="000000" w:themeColor="text1"/>
        </w:rPr>
        <w:t>përfshirjes së informacionit mbi reagimin gjinor dhe klimatik</w:t>
      </w:r>
      <w:r w:rsidR="004B3C5A">
        <w:rPr>
          <w:rStyle w:val="rynqvb"/>
          <w:color w:val="000000" w:themeColor="text1"/>
        </w:rPr>
        <w:t>;</w:t>
      </w:r>
    </w:p>
    <w:p w14:paraId="34442BBD" w14:textId="7070EBA0" w:rsidR="004B3C5A" w:rsidRPr="004A47DC" w:rsidRDefault="00A63327" w:rsidP="004B3C5A">
      <w:pPr>
        <w:pStyle w:val="TEKSTIII"/>
      </w:pPr>
      <w:r w:rsidRPr="004A47DC">
        <w:t xml:space="preserve">- </w:t>
      </w:r>
      <w:r w:rsidR="004719D2" w:rsidRPr="004A47DC">
        <w:t>Rritja e fushës së raportimit për zbatimin e të gjitha projekteve të investimeve publike</w:t>
      </w:r>
      <w:r w:rsidR="004B3C5A">
        <w:t>;</w:t>
      </w:r>
    </w:p>
    <w:p w14:paraId="754BA483" w14:textId="4A66850A" w:rsidR="004719D2" w:rsidRPr="004A47DC" w:rsidRDefault="00A63327" w:rsidP="00A63327">
      <w:pPr>
        <w:pStyle w:val="TEKSTIII"/>
      </w:pPr>
      <w:r w:rsidRPr="004A47DC">
        <w:t>-</w:t>
      </w:r>
      <w:r w:rsidR="004B3C5A">
        <w:t xml:space="preserve"> </w:t>
      </w:r>
      <w:r w:rsidR="004719D2" w:rsidRPr="004A47DC">
        <w:t>Përmirësimi i raportimit për të gjitha PPP-të dhe kontratat koncesionare.</w:t>
      </w:r>
    </w:p>
    <w:p w14:paraId="71F33737" w14:textId="77777777" w:rsidR="004719D2" w:rsidRPr="004A47DC" w:rsidRDefault="004719D2" w:rsidP="004719D2">
      <w:pPr>
        <w:jc w:val="both"/>
        <w:rPr>
          <w:rStyle w:val="IntenseReference"/>
          <w:rFonts w:ascii="Garamond" w:hAnsi="Garamond"/>
          <w:b/>
          <w:bCs/>
          <w:i w:val="0"/>
          <w:color w:val="000000" w:themeColor="text1"/>
          <w:sz w:val="24"/>
          <w:szCs w:val="24"/>
        </w:rPr>
      </w:pPr>
    </w:p>
    <w:p w14:paraId="1A9A1C1D" w14:textId="77777777" w:rsidR="004719D2" w:rsidRPr="004A47DC" w:rsidRDefault="004719D2" w:rsidP="004719D2">
      <w:pPr>
        <w:pStyle w:val="H5"/>
        <w:spacing w:after="0" w:line="240" w:lineRule="auto"/>
        <w:rPr>
          <w:rStyle w:val="IntenseReference"/>
          <w:rFonts w:ascii="Garamond" w:hAnsi="Garamond"/>
          <w:i w:val="0"/>
          <w:color w:val="000000" w:themeColor="text1"/>
          <w:sz w:val="24"/>
        </w:rPr>
      </w:pPr>
      <w:r w:rsidRPr="004A47DC">
        <w:rPr>
          <w:rStyle w:val="IntenseReference"/>
          <w:rFonts w:ascii="Garamond" w:hAnsi="Garamond"/>
          <w:i w:val="0"/>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574"/>
        <w:gridCol w:w="3567"/>
        <w:gridCol w:w="689"/>
        <w:gridCol w:w="854"/>
        <w:gridCol w:w="1377"/>
      </w:tblGrid>
      <w:tr w:rsidR="004719D2" w:rsidRPr="004A47DC" w14:paraId="79B6D4D0" w14:textId="77777777" w:rsidTr="00992F84">
        <w:trPr>
          <w:trHeight w:val="182"/>
          <w:tblHeader/>
        </w:trPr>
        <w:tc>
          <w:tcPr>
            <w:tcW w:w="14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354400"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9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7E8813"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36ECBD"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24CC1B"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7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B6D92F"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28A65DE5" w14:textId="77777777" w:rsidTr="00992F84">
        <w:trPr>
          <w:trHeight w:val="20"/>
        </w:trPr>
        <w:tc>
          <w:tcPr>
            <w:tcW w:w="1420" w:type="pct"/>
            <w:vMerge w:val="restart"/>
            <w:tcBorders>
              <w:top w:val="single" w:sz="4" w:space="0" w:color="auto"/>
              <w:left w:val="single" w:sz="4" w:space="0" w:color="auto"/>
              <w:bottom w:val="single" w:sz="4" w:space="0" w:color="auto"/>
              <w:right w:val="single" w:sz="4" w:space="0" w:color="auto"/>
            </w:tcBorders>
            <w:hideMark/>
          </w:tcPr>
          <w:p w14:paraId="760F2040" w14:textId="2ED8F441"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2.5.1 Përmirësimi i raportimit dhe monitorimit të zbatimit të buxhetit dhe prezantimi i raportit të </w:t>
            </w:r>
            <w:r w:rsidR="004B3C5A" w:rsidRPr="004A47DC">
              <w:rPr>
                <w:rFonts w:ascii="Garamond" w:hAnsi="Garamond" w:cs="Arial"/>
                <w:b/>
                <w:bCs/>
                <w:color w:val="000000" w:themeColor="text1"/>
                <w:sz w:val="16"/>
                <w:szCs w:val="16"/>
              </w:rPr>
              <w:t>zbatimit të buxhetit për qytetarët</w:t>
            </w:r>
            <w:r w:rsidRPr="004A47DC">
              <w:rPr>
                <w:rFonts w:ascii="Garamond" w:hAnsi="Garamond" w:cs="Arial"/>
                <w:b/>
                <w:bCs/>
                <w:color w:val="000000" w:themeColor="text1"/>
                <w:sz w:val="16"/>
                <w:szCs w:val="16"/>
              </w:rPr>
              <w:t>;</w:t>
            </w:r>
          </w:p>
        </w:tc>
        <w:tc>
          <w:tcPr>
            <w:tcW w:w="1968" w:type="pct"/>
            <w:tcBorders>
              <w:top w:val="single" w:sz="4" w:space="0" w:color="auto"/>
              <w:left w:val="single" w:sz="4" w:space="0" w:color="auto"/>
              <w:bottom w:val="single" w:sz="4" w:space="0" w:color="auto"/>
              <w:right w:val="single" w:sz="4" w:space="0" w:color="auto"/>
            </w:tcBorders>
            <w:vAlign w:val="center"/>
            <w:hideMark/>
          </w:tcPr>
          <w:p w14:paraId="3D553EA5" w14:textId="6BBAD352" w:rsidR="004719D2" w:rsidRPr="004A47DC" w:rsidRDefault="004B3C5A" w:rsidP="004B3C5A">
            <w:pPr>
              <w:pStyle w:val="T-number"/>
              <w:numPr>
                <w:ilvl w:val="0"/>
                <w:numId w:val="0"/>
              </w:numPr>
              <w:spacing w:line="240" w:lineRule="auto"/>
              <w:jc w:val="both"/>
              <w:rPr>
                <w:rFonts w:ascii="Garamond" w:hAnsi="Garamond"/>
                <w:color w:val="000000" w:themeColor="text1"/>
                <w:lang w:val="sq-AL"/>
              </w:rPr>
            </w:pPr>
            <w:r>
              <w:rPr>
                <w:rFonts w:ascii="Garamond" w:hAnsi="Garamond"/>
                <w:color w:val="000000" w:themeColor="text1"/>
                <w:lang w:val="sq-AL"/>
              </w:rPr>
              <w:t xml:space="preserve">1. </w:t>
            </w:r>
            <w:r w:rsidR="004719D2" w:rsidRPr="004A47DC">
              <w:rPr>
                <w:rFonts w:ascii="Garamond" w:hAnsi="Garamond"/>
                <w:color w:val="000000" w:themeColor="text1"/>
                <w:lang w:val="sq-AL"/>
              </w:rPr>
              <w:t>Rishikimi i përmbajtjes/formatit të tabelave të</w:t>
            </w:r>
            <w:r>
              <w:rPr>
                <w:rFonts w:ascii="Garamond" w:hAnsi="Garamond"/>
                <w:color w:val="000000" w:themeColor="text1"/>
                <w:lang w:val="sq-AL"/>
              </w:rPr>
              <w:t xml:space="preserve"> </w:t>
            </w:r>
            <w:r w:rsidR="004719D2" w:rsidRPr="004A47DC">
              <w:rPr>
                <w:rFonts w:ascii="Garamond" w:hAnsi="Garamond"/>
                <w:color w:val="000000" w:themeColor="text1"/>
                <w:lang w:val="sq-AL"/>
              </w:rPr>
              <w:t xml:space="preserve">raporteve vjetore të zbatimit të buxhetit, me evidentimin e vlerave plan/fakt në çdo tabelë. </w:t>
            </w:r>
          </w:p>
        </w:tc>
        <w:tc>
          <w:tcPr>
            <w:tcW w:w="380" w:type="pct"/>
            <w:tcBorders>
              <w:top w:val="single" w:sz="4" w:space="0" w:color="auto"/>
              <w:left w:val="single" w:sz="4" w:space="0" w:color="auto"/>
              <w:bottom w:val="single" w:sz="4" w:space="0" w:color="auto"/>
              <w:right w:val="single" w:sz="4" w:space="0" w:color="auto"/>
            </w:tcBorders>
            <w:vAlign w:val="center"/>
          </w:tcPr>
          <w:p w14:paraId="0A51227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65A4505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60" w:type="pct"/>
            <w:vMerge w:val="restart"/>
            <w:tcBorders>
              <w:top w:val="single" w:sz="4" w:space="0" w:color="auto"/>
              <w:left w:val="single" w:sz="4" w:space="0" w:color="auto"/>
              <w:bottom w:val="single" w:sz="4" w:space="0" w:color="auto"/>
              <w:right w:val="single" w:sz="4" w:space="0" w:color="auto"/>
            </w:tcBorders>
          </w:tcPr>
          <w:p w14:paraId="6BAA6E38"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04535408" w14:textId="3665C490"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DMB</w:t>
            </w:r>
            <w:r w:rsidR="004B3C5A">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 DPB</w:t>
            </w:r>
            <w:r w:rsidR="004B3C5A">
              <w:rPr>
                <w:rFonts w:ascii="Garamond" w:hAnsi="Garamond" w:cs="Arial"/>
                <w:color w:val="000000" w:themeColor="text1"/>
                <w:sz w:val="16"/>
                <w:szCs w:val="16"/>
              </w:rPr>
              <w:t>-ja</w:t>
            </w:r>
            <w:r w:rsidRPr="004A47DC">
              <w:rPr>
                <w:rFonts w:ascii="Garamond" w:hAnsi="Garamond" w:cs="Arial"/>
                <w:color w:val="000000" w:themeColor="text1"/>
                <w:sz w:val="16"/>
                <w:szCs w:val="16"/>
              </w:rPr>
              <w:t>, DPTH</w:t>
            </w:r>
            <w:r w:rsidR="004B3C5A">
              <w:rPr>
                <w:rFonts w:ascii="Garamond" w:hAnsi="Garamond" w:cs="Arial"/>
                <w:color w:val="000000" w:themeColor="text1"/>
                <w:sz w:val="16"/>
                <w:szCs w:val="16"/>
              </w:rPr>
              <w:t>-ja</w:t>
            </w:r>
          </w:p>
          <w:p w14:paraId="0BCB69C9"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15A60450"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1D001EB2" w14:textId="7337CEFC" w:rsidR="004719D2" w:rsidRPr="004A47DC" w:rsidRDefault="004719D2" w:rsidP="00CF7CEC">
            <w:pPr>
              <w:pStyle w:val="EcorysBody"/>
              <w:spacing w:line="240" w:lineRule="auto"/>
              <w:rPr>
                <w:rFonts w:ascii="Garamond" w:hAnsi="Garamond"/>
                <w:color w:val="000000" w:themeColor="text1"/>
                <w:sz w:val="16"/>
                <w:szCs w:val="16"/>
              </w:rPr>
            </w:pPr>
            <w:r w:rsidRPr="004A47DC">
              <w:rPr>
                <w:rFonts w:ascii="Garamond" w:hAnsi="Garamond" w:cs="Arial"/>
                <w:color w:val="000000" w:themeColor="text1"/>
                <w:sz w:val="16"/>
                <w:szCs w:val="16"/>
              </w:rPr>
              <w:t>BE</w:t>
            </w:r>
            <w:r w:rsidR="004B3C5A">
              <w:rPr>
                <w:rFonts w:ascii="Garamond" w:hAnsi="Garamond" w:cs="Arial"/>
                <w:color w:val="000000" w:themeColor="text1"/>
                <w:sz w:val="16"/>
                <w:szCs w:val="16"/>
              </w:rPr>
              <w:t>-ja</w:t>
            </w:r>
            <w:r w:rsidRPr="004A47DC">
              <w:rPr>
                <w:rStyle w:val="FootnoteReference"/>
                <w:rFonts w:ascii="Garamond" w:hAnsi="Garamond" w:cs="Arial"/>
                <w:color w:val="000000" w:themeColor="text1"/>
                <w:sz w:val="16"/>
                <w:szCs w:val="16"/>
              </w:rPr>
              <w:footnoteReference w:id="38"/>
            </w:r>
          </w:p>
        </w:tc>
      </w:tr>
      <w:tr w:rsidR="004719D2" w:rsidRPr="004A47DC" w14:paraId="467312B9" w14:textId="77777777" w:rsidTr="00992F84">
        <w:trPr>
          <w:trHeight w:val="20"/>
        </w:trPr>
        <w:tc>
          <w:tcPr>
            <w:tcW w:w="1420" w:type="pct"/>
            <w:vMerge/>
            <w:tcBorders>
              <w:left w:val="single" w:sz="4" w:space="0" w:color="auto"/>
              <w:bottom w:val="single" w:sz="4" w:space="0" w:color="auto"/>
              <w:right w:val="single" w:sz="4" w:space="0" w:color="auto"/>
            </w:tcBorders>
            <w:vAlign w:val="center"/>
            <w:hideMark/>
          </w:tcPr>
          <w:p w14:paraId="116CDBC2" w14:textId="77777777" w:rsidR="004719D2" w:rsidRPr="004A47DC" w:rsidRDefault="004719D2" w:rsidP="00CF7CEC">
            <w:pPr>
              <w:rPr>
                <w:rFonts w:ascii="Garamond" w:hAnsi="Garamond"/>
                <w:b/>
                <w:bCs/>
                <w:color w:val="000000" w:themeColor="text1"/>
                <w:sz w:val="16"/>
                <w:szCs w:val="16"/>
              </w:rPr>
            </w:pPr>
          </w:p>
        </w:tc>
        <w:tc>
          <w:tcPr>
            <w:tcW w:w="1968" w:type="pct"/>
            <w:tcBorders>
              <w:top w:val="single" w:sz="4" w:space="0" w:color="auto"/>
              <w:left w:val="single" w:sz="4" w:space="0" w:color="auto"/>
              <w:right w:val="single" w:sz="4" w:space="0" w:color="auto"/>
            </w:tcBorders>
            <w:shd w:val="clear" w:color="auto" w:fill="FFFFFF" w:themeFill="background1"/>
            <w:vAlign w:val="center"/>
            <w:hideMark/>
          </w:tcPr>
          <w:p w14:paraId="1837527C" w14:textId="12391D0F" w:rsidR="004719D2" w:rsidRPr="004A47DC" w:rsidRDefault="004B3C5A" w:rsidP="004B3C5A">
            <w:pPr>
              <w:pStyle w:val="T-number"/>
              <w:numPr>
                <w:ilvl w:val="0"/>
                <w:numId w:val="0"/>
              </w:numPr>
              <w:spacing w:line="240" w:lineRule="auto"/>
              <w:jc w:val="both"/>
              <w:rPr>
                <w:rFonts w:ascii="Garamond" w:hAnsi="Garamond"/>
                <w:color w:val="000000" w:themeColor="text1"/>
                <w:lang w:val="sq-AL"/>
              </w:rPr>
            </w:pPr>
            <w:r>
              <w:rPr>
                <w:rFonts w:ascii="Garamond" w:hAnsi="Garamond"/>
                <w:color w:val="000000" w:themeColor="text1"/>
                <w:lang w:val="sq-AL"/>
              </w:rPr>
              <w:t xml:space="preserve">2. </w:t>
            </w:r>
            <w:r w:rsidR="004719D2" w:rsidRPr="004A47DC">
              <w:rPr>
                <w:rFonts w:ascii="Garamond" w:hAnsi="Garamond"/>
                <w:color w:val="000000" w:themeColor="text1"/>
                <w:lang w:val="sq-AL"/>
              </w:rPr>
              <w:t xml:space="preserve">Publikimi i Raportit periodik të Zbatimit të Buxhetit për Qytetarët. </w:t>
            </w:r>
          </w:p>
        </w:tc>
        <w:tc>
          <w:tcPr>
            <w:tcW w:w="380" w:type="pct"/>
            <w:tcBorders>
              <w:top w:val="single" w:sz="4" w:space="0" w:color="auto"/>
              <w:left w:val="single" w:sz="4" w:space="0" w:color="auto"/>
              <w:right w:val="single" w:sz="4" w:space="0" w:color="auto"/>
            </w:tcBorders>
            <w:shd w:val="clear" w:color="auto" w:fill="FFFFFF" w:themeFill="background1"/>
            <w:vAlign w:val="center"/>
          </w:tcPr>
          <w:p w14:paraId="1D640A9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471" w:type="pct"/>
            <w:tcBorders>
              <w:top w:val="single" w:sz="4" w:space="0" w:color="auto"/>
              <w:left w:val="single" w:sz="4" w:space="0" w:color="auto"/>
              <w:right w:val="single" w:sz="4" w:space="0" w:color="auto"/>
            </w:tcBorders>
            <w:shd w:val="clear" w:color="auto" w:fill="FFFFFF" w:themeFill="background1"/>
            <w:vAlign w:val="center"/>
          </w:tcPr>
          <w:p w14:paraId="21F6BE1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Çdo vit</w:t>
            </w:r>
          </w:p>
        </w:tc>
        <w:tc>
          <w:tcPr>
            <w:tcW w:w="760" w:type="pct"/>
            <w:vMerge/>
            <w:tcBorders>
              <w:left w:val="single" w:sz="4" w:space="0" w:color="auto"/>
              <w:bottom w:val="single" w:sz="4" w:space="0" w:color="auto"/>
              <w:right w:val="single" w:sz="4" w:space="0" w:color="auto"/>
            </w:tcBorders>
            <w:vAlign w:val="center"/>
            <w:hideMark/>
          </w:tcPr>
          <w:p w14:paraId="11E62DAD" w14:textId="77777777" w:rsidR="004719D2" w:rsidRPr="004A47DC" w:rsidRDefault="004719D2" w:rsidP="00CF7CEC">
            <w:pPr>
              <w:rPr>
                <w:rFonts w:ascii="Garamond" w:hAnsi="Garamond"/>
                <w:color w:val="000000" w:themeColor="text1"/>
                <w:sz w:val="16"/>
                <w:szCs w:val="16"/>
              </w:rPr>
            </w:pPr>
          </w:p>
        </w:tc>
      </w:tr>
      <w:tr w:rsidR="004719D2" w:rsidRPr="004A47DC" w14:paraId="4AAF17AF" w14:textId="77777777" w:rsidTr="00992F84">
        <w:trPr>
          <w:trHeight w:val="32"/>
        </w:trPr>
        <w:tc>
          <w:tcPr>
            <w:tcW w:w="1420" w:type="pct"/>
            <w:vMerge w:val="restart"/>
            <w:tcBorders>
              <w:top w:val="single" w:sz="4" w:space="0" w:color="auto"/>
              <w:left w:val="single" w:sz="4" w:space="0" w:color="auto"/>
              <w:bottom w:val="single" w:sz="4" w:space="0" w:color="auto"/>
              <w:right w:val="single" w:sz="4" w:space="0" w:color="auto"/>
            </w:tcBorders>
            <w:hideMark/>
          </w:tcPr>
          <w:p w14:paraId="47A22AFC" w14:textId="4A64436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2.5.2 Përmirësimi i monitorimit dhe raportimit për </w:t>
            </w:r>
            <w:r w:rsidR="004B3C5A" w:rsidRPr="004A47DC">
              <w:rPr>
                <w:rFonts w:ascii="Garamond" w:hAnsi="Garamond" w:cs="Arial"/>
                <w:b/>
                <w:bCs/>
                <w:color w:val="000000" w:themeColor="text1"/>
                <w:sz w:val="16"/>
                <w:szCs w:val="16"/>
              </w:rPr>
              <w:t>projektet e investimeve publike</w:t>
            </w:r>
          </w:p>
        </w:tc>
        <w:tc>
          <w:tcPr>
            <w:tcW w:w="1968" w:type="pct"/>
            <w:tcBorders>
              <w:top w:val="single" w:sz="4" w:space="0" w:color="auto"/>
              <w:left w:val="single" w:sz="4" w:space="0" w:color="auto"/>
              <w:bottom w:val="single" w:sz="4" w:space="0" w:color="auto"/>
              <w:right w:val="single" w:sz="4" w:space="0" w:color="auto"/>
            </w:tcBorders>
            <w:vAlign w:val="center"/>
            <w:hideMark/>
          </w:tcPr>
          <w:p w14:paraId="3357CEFA" w14:textId="4A3396A5" w:rsidR="004719D2" w:rsidRPr="004A47DC" w:rsidRDefault="004B3C5A" w:rsidP="004B3C5A">
            <w:pPr>
              <w:pStyle w:val="EcorysBody"/>
              <w:spacing w:line="240" w:lineRule="auto"/>
              <w:jc w:val="both"/>
              <w:rPr>
                <w:rFonts w:ascii="Garamond" w:hAnsi="Garamond" w:cs="Arial"/>
                <w:color w:val="000000" w:themeColor="text1"/>
                <w:sz w:val="16"/>
                <w:szCs w:val="16"/>
              </w:rPr>
            </w:pPr>
            <w:r>
              <w:rPr>
                <w:rFonts w:ascii="Garamond" w:hAnsi="Garamond" w:cs="Arial"/>
                <w:color w:val="000000" w:themeColor="text1"/>
                <w:sz w:val="16"/>
                <w:szCs w:val="16"/>
              </w:rPr>
              <w:t xml:space="preserve">1. </w:t>
            </w:r>
            <w:r w:rsidR="004719D2" w:rsidRPr="004A47DC">
              <w:rPr>
                <w:rFonts w:ascii="Garamond" w:hAnsi="Garamond" w:cs="Arial"/>
                <w:color w:val="000000" w:themeColor="text1"/>
                <w:sz w:val="16"/>
                <w:szCs w:val="16"/>
              </w:rPr>
              <w:t>Zbatimi i procedurës së monitorimit të MIP-së të miratuar rishtazi dhe përmirësimi i procedurave nëse është e nevojshme</w:t>
            </w:r>
          </w:p>
        </w:tc>
        <w:tc>
          <w:tcPr>
            <w:tcW w:w="380" w:type="pct"/>
            <w:tcBorders>
              <w:top w:val="single" w:sz="4" w:space="0" w:color="auto"/>
              <w:left w:val="single" w:sz="4" w:space="0" w:color="auto"/>
              <w:bottom w:val="single" w:sz="4" w:space="0" w:color="auto"/>
              <w:right w:val="single" w:sz="4" w:space="0" w:color="auto"/>
            </w:tcBorders>
            <w:vAlign w:val="center"/>
          </w:tcPr>
          <w:p w14:paraId="4AAC26F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tcBorders>
              <w:top w:val="single" w:sz="4" w:space="0" w:color="auto"/>
              <w:left w:val="single" w:sz="4" w:space="0" w:color="auto"/>
              <w:bottom w:val="single" w:sz="4" w:space="0" w:color="auto"/>
              <w:right w:val="single" w:sz="4" w:space="0" w:color="auto"/>
            </w:tcBorders>
            <w:vAlign w:val="center"/>
          </w:tcPr>
          <w:p w14:paraId="495F728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60" w:type="pct"/>
            <w:vMerge w:val="restart"/>
            <w:tcBorders>
              <w:top w:val="single" w:sz="4" w:space="0" w:color="auto"/>
              <w:left w:val="single" w:sz="4" w:space="0" w:color="auto"/>
              <w:bottom w:val="single" w:sz="4" w:space="0" w:color="auto"/>
              <w:right w:val="single" w:sz="4" w:space="0" w:color="auto"/>
            </w:tcBorders>
          </w:tcPr>
          <w:p w14:paraId="6DBA542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203A45B7" w14:textId="7250C36E"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DMIP</w:t>
            </w:r>
            <w:r w:rsidR="004B3C5A">
              <w:rPr>
                <w:rFonts w:ascii="Garamond" w:hAnsi="Garamond"/>
                <w:color w:val="000000" w:themeColor="text1"/>
                <w:sz w:val="16"/>
                <w:szCs w:val="16"/>
              </w:rPr>
              <w:t>-ja</w:t>
            </w:r>
            <w:r w:rsidRPr="004A47DC">
              <w:rPr>
                <w:rFonts w:ascii="Garamond" w:hAnsi="Garamond"/>
                <w:color w:val="000000" w:themeColor="text1"/>
                <w:sz w:val="16"/>
                <w:szCs w:val="16"/>
              </w:rPr>
              <w:t xml:space="preserve"> (lider), </w:t>
            </w:r>
            <w:r w:rsidR="004B3C5A" w:rsidRPr="004A47DC">
              <w:rPr>
                <w:rFonts w:ascii="Garamond" w:hAnsi="Garamond"/>
                <w:color w:val="000000" w:themeColor="text1"/>
                <w:sz w:val="16"/>
                <w:szCs w:val="16"/>
              </w:rPr>
              <w:t>institucionet buxhetore</w:t>
            </w:r>
            <w:r w:rsidRPr="004A47DC">
              <w:rPr>
                <w:rFonts w:ascii="Garamond" w:hAnsi="Garamond"/>
                <w:color w:val="000000" w:themeColor="text1"/>
                <w:sz w:val="16"/>
                <w:szCs w:val="16"/>
              </w:rPr>
              <w:t xml:space="preserve">, </w:t>
            </w:r>
          </w:p>
          <w:p w14:paraId="76913B25"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C96E717"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042C1F85"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Banka Botërore</w:t>
            </w:r>
          </w:p>
          <w:p w14:paraId="2BC1F3B4" w14:textId="77777777" w:rsidR="004719D2" w:rsidRPr="004A47DC" w:rsidRDefault="004719D2" w:rsidP="00CF7CEC">
            <w:pPr>
              <w:rPr>
                <w:rFonts w:ascii="Garamond" w:hAnsi="Garamond"/>
                <w:color w:val="000000" w:themeColor="text1"/>
                <w:sz w:val="16"/>
                <w:szCs w:val="16"/>
              </w:rPr>
            </w:pPr>
          </w:p>
        </w:tc>
      </w:tr>
      <w:tr w:rsidR="004719D2" w:rsidRPr="004A47DC" w14:paraId="082202C2" w14:textId="77777777" w:rsidTr="00992F84">
        <w:trPr>
          <w:trHeight w:val="32"/>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3A2C5F81" w14:textId="77777777" w:rsidR="004719D2" w:rsidRPr="004A47DC" w:rsidRDefault="004719D2" w:rsidP="00CF7CEC">
            <w:pPr>
              <w:rPr>
                <w:rFonts w:ascii="Garamond" w:hAnsi="Garamond"/>
                <w:b/>
                <w:bCs/>
                <w:color w:val="000000" w:themeColor="text1"/>
                <w:sz w:val="16"/>
                <w:szCs w:val="16"/>
              </w:rPr>
            </w:pPr>
          </w:p>
        </w:tc>
        <w:tc>
          <w:tcPr>
            <w:tcW w:w="1968" w:type="pct"/>
            <w:tcBorders>
              <w:top w:val="single" w:sz="4" w:space="0" w:color="auto"/>
              <w:left w:val="single" w:sz="4" w:space="0" w:color="auto"/>
              <w:bottom w:val="single" w:sz="4" w:space="0" w:color="auto"/>
              <w:right w:val="single" w:sz="4" w:space="0" w:color="auto"/>
            </w:tcBorders>
            <w:vAlign w:val="center"/>
            <w:hideMark/>
          </w:tcPr>
          <w:p w14:paraId="5358A3EA" w14:textId="530BB022" w:rsidR="004719D2" w:rsidRPr="004A47DC" w:rsidRDefault="004B3C5A" w:rsidP="004B3C5A">
            <w:pPr>
              <w:pStyle w:val="EcorysBody"/>
              <w:spacing w:line="240" w:lineRule="auto"/>
              <w:jc w:val="both"/>
              <w:rPr>
                <w:rFonts w:ascii="Garamond" w:hAnsi="Garamond" w:cs="Arial"/>
                <w:color w:val="000000" w:themeColor="text1"/>
                <w:sz w:val="16"/>
                <w:szCs w:val="16"/>
              </w:rPr>
            </w:pPr>
            <w:r>
              <w:rPr>
                <w:rFonts w:ascii="Garamond" w:hAnsi="Garamond" w:cs="Arial"/>
                <w:color w:val="000000" w:themeColor="text1"/>
                <w:sz w:val="16"/>
                <w:szCs w:val="16"/>
              </w:rPr>
              <w:t xml:space="preserve">2. </w:t>
            </w:r>
            <w:r w:rsidR="004719D2" w:rsidRPr="004A47DC">
              <w:rPr>
                <w:rFonts w:ascii="Garamond" w:hAnsi="Garamond" w:cs="Arial"/>
                <w:color w:val="000000" w:themeColor="text1"/>
                <w:sz w:val="16"/>
                <w:szCs w:val="16"/>
              </w:rPr>
              <w:t xml:space="preserve">Përshtatja e SIMFSH-së për të pasqyruar ndryshimet në lidhje me procedurat e MIP-së të miratuara rishtazi. </w:t>
            </w:r>
          </w:p>
        </w:tc>
        <w:tc>
          <w:tcPr>
            <w:tcW w:w="380" w:type="pct"/>
            <w:tcBorders>
              <w:top w:val="single" w:sz="4" w:space="0" w:color="auto"/>
              <w:left w:val="single" w:sz="4" w:space="0" w:color="auto"/>
              <w:bottom w:val="single" w:sz="4" w:space="0" w:color="auto"/>
              <w:right w:val="single" w:sz="4" w:space="0" w:color="auto"/>
            </w:tcBorders>
            <w:vAlign w:val="center"/>
          </w:tcPr>
          <w:p w14:paraId="0A952FD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1859DB5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A3FAECE" w14:textId="77777777" w:rsidR="004719D2" w:rsidRPr="004A47DC" w:rsidRDefault="004719D2" w:rsidP="00CF7CEC">
            <w:pPr>
              <w:rPr>
                <w:rFonts w:ascii="Garamond" w:hAnsi="Garamond"/>
                <w:color w:val="000000" w:themeColor="text1"/>
                <w:sz w:val="16"/>
                <w:szCs w:val="16"/>
              </w:rPr>
            </w:pPr>
          </w:p>
        </w:tc>
      </w:tr>
      <w:tr w:rsidR="004719D2" w:rsidRPr="004A47DC" w14:paraId="3EAA1089" w14:textId="77777777" w:rsidTr="00992F84">
        <w:trPr>
          <w:trHeight w:val="20"/>
        </w:trPr>
        <w:tc>
          <w:tcPr>
            <w:tcW w:w="1420" w:type="pct"/>
            <w:vMerge/>
            <w:tcBorders>
              <w:top w:val="single" w:sz="4" w:space="0" w:color="auto"/>
              <w:left w:val="single" w:sz="4" w:space="0" w:color="auto"/>
              <w:bottom w:val="single" w:sz="4" w:space="0" w:color="auto"/>
              <w:right w:val="single" w:sz="4" w:space="0" w:color="auto"/>
            </w:tcBorders>
            <w:vAlign w:val="center"/>
            <w:hideMark/>
          </w:tcPr>
          <w:p w14:paraId="1BD091DD" w14:textId="77777777" w:rsidR="004719D2" w:rsidRPr="004A47DC" w:rsidRDefault="004719D2" w:rsidP="00CF7CEC">
            <w:pPr>
              <w:rPr>
                <w:rFonts w:ascii="Garamond" w:hAnsi="Garamond"/>
                <w:b/>
                <w:bCs/>
                <w:color w:val="000000" w:themeColor="text1"/>
                <w:sz w:val="16"/>
                <w:szCs w:val="16"/>
              </w:rPr>
            </w:pPr>
          </w:p>
        </w:tc>
        <w:tc>
          <w:tcPr>
            <w:tcW w:w="1968" w:type="pct"/>
            <w:tcBorders>
              <w:top w:val="single" w:sz="4" w:space="0" w:color="auto"/>
              <w:left w:val="single" w:sz="4" w:space="0" w:color="auto"/>
              <w:bottom w:val="single" w:sz="4" w:space="0" w:color="auto"/>
              <w:right w:val="single" w:sz="4" w:space="0" w:color="auto"/>
            </w:tcBorders>
            <w:vAlign w:val="center"/>
            <w:hideMark/>
          </w:tcPr>
          <w:p w14:paraId="2B788668" w14:textId="1A3D2BBA" w:rsidR="004719D2" w:rsidRPr="004B3C5A" w:rsidRDefault="004B3C5A" w:rsidP="004B3C5A">
            <w:pPr>
              <w:rPr>
                <w:rFonts w:ascii="Garamond" w:hAnsi="Garamond"/>
                <w:sz w:val="16"/>
                <w:szCs w:val="16"/>
              </w:rPr>
            </w:pPr>
            <w:r>
              <w:rPr>
                <w:rFonts w:ascii="Garamond" w:hAnsi="Garamond"/>
                <w:sz w:val="16"/>
                <w:szCs w:val="16"/>
              </w:rPr>
              <w:t xml:space="preserve">3. </w:t>
            </w:r>
            <w:r w:rsidR="004719D2" w:rsidRPr="004B3C5A">
              <w:rPr>
                <w:rFonts w:ascii="Garamond" w:hAnsi="Garamond"/>
                <w:sz w:val="16"/>
                <w:szCs w:val="16"/>
              </w:rPr>
              <w:t xml:space="preserve">Planifikimi dhe ofrimi i aktiviteteve trajnuese për monitorimin dhe raportimin e </w:t>
            </w:r>
            <w:r w:rsidR="00E801D1" w:rsidRPr="004B3C5A">
              <w:rPr>
                <w:rFonts w:ascii="Garamond" w:hAnsi="Garamond"/>
                <w:sz w:val="16"/>
                <w:szCs w:val="16"/>
              </w:rPr>
              <w:t>projekteve të investimeve publike</w:t>
            </w:r>
            <w:r w:rsidR="00E801D1">
              <w:rPr>
                <w:rFonts w:ascii="Garamond" w:hAnsi="Garamond"/>
                <w:sz w:val="16"/>
                <w:szCs w:val="16"/>
              </w:rPr>
              <w:t>.</w:t>
            </w:r>
          </w:p>
        </w:tc>
        <w:tc>
          <w:tcPr>
            <w:tcW w:w="380" w:type="pct"/>
            <w:tcBorders>
              <w:top w:val="single" w:sz="4" w:space="0" w:color="auto"/>
              <w:left w:val="single" w:sz="4" w:space="0" w:color="auto"/>
              <w:bottom w:val="single" w:sz="4" w:space="0" w:color="auto"/>
              <w:right w:val="single" w:sz="4" w:space="0" w:color="auto"/>
            </w:tcBorders>
            <w:vAlign w:val="center"/>
          </w:tcPr>
          <w:p w14:paraId="49C9035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471" w:type="pct"/>
            <w:tcBorders>
              <w:top w:val="single" w:sz="4" w:space="0" w:color="auto"/>
              <w:left w:val="single" w:sz="4" w:space="0" w:color="auto"/>
              <w:bottom w:val="single" w:sz="4" w:space="0" w:color="auto"/>
              <w:right w:val="single" w:sz="4" w:space="0" w:color="auto"/>
            </w:tcBorders>
            <w:vAlign w:val="center"/>
          </w:tcPr>
          <w:p w14:paraId="3F913BD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60" w:type="pct"/>
            <w:vMerge/>
            <w:tcBorders>
              <w:top w:val="single" w:sz="4" w:space="0" w:color="auto"/>
              <w:left w:val="single" w:sz="4" w:space="0" w:color="auto"/>
              <w:bottom w:val="single" w:sz="4" w:space="0" w:color="auto"/>
              <w:right w:val="single" w:sz="4" w:space="0" w:color="auto"/>
            </w:tcBorders>
            <w:vAlign w:val="center"/>
            <w:hideMark/>
          </w:tcPr>
          <w:p w14:paraId="41B10217" w14:textId="77777777" w:rsidR="004719D2" w:rsidRPr="004A47DC" w:rsidRDefault="004719D2" w:rsidP="00CF7CEC">
            <w:pPr>
              <w:rPr>
                <w:rFonts w:ascii="Garamond" w:hAnsi="Garamond"/>
                <w:color w:val="000000" w:themeColor="text1"/>
                <w:sz w:val="16"/>
                <w:szCs w:val="16"/>
              </w:rPr>
            </w:pPr>
          </w:p>
        </w:tc>
      </w:tr>
      <w:tr w:rsidR="004719D2" w:rsidRPr="004A47DC" w14:paraId="019F4632" w14:textId="77777777" w:rsidTr="00992F84">
        <w:trPr>
          <w:trHeight w:val="20"/>
        </w:trPr>
        <w:tc>
          <w:tcPr>
            <w:tcW w:w="1420" w:type="pct"/>
            <w:vMerge w:val="restart"/>
            <w:tcBorders>
              <w:top w:val="single" w:sz="4" w:space="0" w:color="auto"/>
              <w:left w:val="single" w:sz="4" w:space="0" w:color="auto"/>
              <w:right w:val="single" w:sz="4" w:space="0" w:color="auto"/>
            </w:tcBorders>
          </w:tcPr>
          <w:p w14:paraId="1D492BF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Masa 2.5.3 Përmirësimi i monitorimit dhe raportimit për PPP-të dhe kontratat koncesionare</w:t>
            </w:r>
          </w:p>
        </w:tc>
        <w:tc>
          <w:tcPr>
            <w:tcW w:w="1968" w:type="pct"/>
            <w:tcBorders>
              <w:top w:val="single" w:sz="4" w:space="0" w:color="auto"/>
              <w:left w:val="single" w:sz="4" w:space="0" w:color="auto"/>
              <w:bottom w:val="single" w:sz="4" w:space="0" w:color="auto"/>
              <w:right w:val="single" w:sz="4" w:space="0" w:color="auto"/>
            </w:tcBorders>
          </w:tcPr>
          <w:p w14:paraId="1B29690C" w14:textId="7ED3B113" w:rsidR="004719D2" w:rsidRPr="004B3C5A" w:rsidRDefault="004B3C5A" w:rsidP="004B3C5A">
            <w:pPr>
              <w:rPr>
                <w:rFonts w:ascii="Garamond" w:hAnsi="Garamond"/>
                <w:sz w:val="16"/>
                <w:szCs w:val="16"/>
              </w:rPr>
            </w:pPr>
            <w:r>
              <w:rPr>
                <w:rFonts w:ascii="Garamond" w:hAnsi="Garamond"/>
                <w:sz w:val="16"/>
                <w:szCs w:val="16"/>
              </w:rPr>
              <w:t xml:space="preserve">1. </w:t>
            </w:r>
            <w:r w:rsidR="004719D2" w:rsidRPr="004B3C5A">
              <w:rPr>
                <w:rFonts w:ascii="Garamond" w:hAnsi="Garamond"/>
                <w:sz w:val="16"/>
                <w:szCs w:val="16"/>
              </w:rPr>
              <w:t>Përditësimi i legjislacionit për PPP-të</w:t>
            </w:r>
            <w:r w:rsidR="004719D2" w:rsidRPr="00E801D1">
              <w:rPr>
                <w:rFonts w:ascii="Garamond" w:hAnsi="Garamond"/>
                <w:sz w:val="16"/>
                <w:szCs w:val="16"/>
                <w:vertAlign w:val="superscript"/>
              </w:rPr>
              <w:footnoteReference w:id="39"/>
            </w:r>
            <w:r w:rsidR="00E801D1">
              <w:rPr>
                <w:rFonts w:ascii="Garamond" w:hAnsi="Garamond"/>
                <w:sz w:val="16"/>
                <w:szCs w:val="16"/>
              </w:rPr>
              <w:t xml:space="preserve"> </w:t>
            </w:r>
            <w:r w:rsidR="004719D2" w:rsidRPr="004B3C5A">
              <w:rPr>
                <w:rFonts w:ascii="Garamond" w:hAnsi="Garamond"/>
                <w:sz w:val="16"/>
                <w:szCs w:val="16"/>
              </w:rPr>
              <w:t>dhe akteve nënligjore përkatëse</w:t>
            </w:r>
            <w:r w:rsidR="004719D2" w:rsidRPr="00E801D1">
              <w:rPr>
                <w:rFonts w:ascii="Garamond" w:hAnsi="Garamond"/>
                <w:sz w:val="16"/>
                <w:szCs w:val="16"/>
                <w:vertAlign w:val="superscript"/>
              </w:rPr>
              <w:footnoteReference w:id="40"/>
            </w:r>
            <w:r w:rsidR="004719D2" w:rsidRPr="004B3C5A">
              <w:rPr>
                <w:rFonts w:ascii="Garamond" w:hAnsi="Garamond"/>
                <w:sz w:val="16"/>
                <w:szCs w:val="16"/>
              </w:rPr>
              <w:t xml:space="preserve"> për të siguruar monitorim dhe raportim adekuat në nivel kontratash dhe portofoli/programi</w:t>
            </w:r>
            <w:r w:rsidR="00E801D1">
              <w:rPr>
                <w:rFonts w:ascii="Garamond" w:hAnsi="Garamond"/>
                <w:sz w:val="16"/>
                <w:szCs w:val="16"/>
              </w:rPr>
              <w:t>.</w:t>
            </w:r>
          </w:p>
        </w:tc>
        <w:tc>
          <w:tcPr>
            <w:tcW w:w="380" w:type="pct"/>
            <w:tcBorders>
              <w:top w:val="single" w:sz="4" w:space="0" w:color="auto"/>
              <w:left w:val="single" w:sz="4" w:space="0" w:color="auto"/>
              <w:bottom w:val="single" w:sz="4" w:space="0" w:color="auto"/>
              <w:right w:val="single" w:sz="4" w:space="0" w:color="auto"/>
            </w:tcBorders>
            <w:vAlign w:val="center"/>
          </w:tcPr>
          <w:p w14:paraId="1EAFA69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471" w:type="pct"/>
            <w:tcBorders>
              <w:top w:val="single" w:sz="4" w:space="0" w:color="auto"/>
              <w:left w:val="single" w:sz="4" w:space="0" w:color="auto"/>
              <w:bottom w:val="single" w:sz="4" w:space="0" w:color="auto"/>
              <w:right w:val="single" w:sz="4" w:space="0" w:color="auto"/>
            </w:tcBorders>
            <w:vAlign w:val="center"/>
          </w:tcPr>
          <w:p w14:paraId="5395947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760" w:type="pct"/>
            <w:vMerge w:val="restart"/>
            <w:tcBorders>
              <w:top w:val="single" w:sz="4" w:space="0" w:color="auto"/>
              <w:left w:val="single" w:sz="4" w:space="0" w:color="auto"/>
              <w:right w:val="single" w:sz="4" w:space="0" w:color="auto"/>
            </w:tcBorders>
          </w:tcPr>
          <w:p w14:paraId="2C6C7A62"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589FD871" w14:textId="6DF58CFF"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DK</w:t>
            </w:r>
            <w:r w:rsidR="00E801D1">
              <w:rPr>
                <w:rFonts w:ascii="Garamond" w:hAnsi="Garamond"/>
                <w:color w:val="000000" w:themeColor="text1"/>
                <w:sz w:val="16"/>
                <w:szCs w:val="16"/>
              </w:rPr>
              <w:t>-ja</w:t>
            </w:r>
            <w:r w:rsidRPr="004A47DC">
              <w:rPr>
                <w:rFonts w:ascii="Garamond" w:hAnsi="Garamond"/>
                <w:color w:val="000000" w:themeColor="text1"/>
                <w:sz w:val="16"/>
                <w:szCs w:val="16"/>
              </w:rPr>
              <w:t xml:space="preserve"> (lider), ATRAKO, DMIP</w:t>
            </w:r>
            <w:r w:rsidR="00E801D1">
              <w:rPr>
                <w:rFonts w:ascii="Garamond" w:hAnsi="Garamond"/>
                <w:color w:val="000000" w:themeColor="text1"/>
                <w:sz w:val="16"/>
                <w:szCs w:val="16"/>
              </w:rPr>
              <w:t>-ja</w:t>
            </w:r>
            <w:r w:rsidRPr="004A47DC">
              <w:rPr>
                <w:rFonts w:ascii="Garamond" w:hAnsi="Garamond"/>
                <w:color w:val="000000" w:themeColor="text1"/>
                <w:sz w:val="16"/>
                <w:szCs w:val="16"/>
              </w:rPr>
              <w:t xml:space="preserve">, </w:t>
            </w:r>
          </w:p>
          <w:p w14:paraId="073F54E6" w14:textId="77777777" w:rsidR="004719D2" w:rsidRPr="004A47DC" w:rsidRDefault="004719D2" w:rsidP="00CF7CEC">
            <w:pPr>
              <w:rPr>
                <w:rFonts w:ascii="Garamond" w:hAnsi="Garamond"/>
                <w:color w:val="000000" w:themeColor="text1"/>
                <w:sz w:val="16"/>
                <w:szCs w:val="16"/>
              </w:rPr>
            </w:pPr>
          </w:p>
          <w:p w14:paraId="23A8B9F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1AF344B3" w14:textId="213B13EA"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FMN</w:t>
            </w:r>
            <w:r w:rsidR="00E801D1">
              <w:rPr>
                <w:rFonts w:ascii="Garamond" w:hAnsi="Garamond"/>
                <w:color w:val="000000" w:themeColor="text1"/>
                <w:sz w:val="16"/>
                <w:szCs w:val="16"/>
              </w:rPr>
              <w:t>-ja</w:t>
            </w:r>
            <w:r w:rsidRPr="004A47DC">
              <w:rPr>
                <w:rFonts w:ascii="Garamond" w:hAnsi="Garamond"/>
                <w:color w:val="000000" w:themeColor="text1"/>
                <w:sz w:val="16"/>
                <w:szCs w:val="16"/>
              </w:rPr>
              <w:t>, BE</w:t>
            </w:r>
            <w:r w:rsidR="00E801D1">
              <w:rPr>
                <w:rFonts w:ascii="Garamond" w:hAnsi="Garamond"/>
                <w:color w:val="000000" w:themeColor="text1"/>
                <w:sz w:val="16"/>
                <w:szCs w:val="16"/>
              </w:rPr>
              <w:t>-ja</w:t>
            </w:r>
            <w:r w:rsidR="00E801D1" w:rsidRPr="004A47DC">
              <w:rPr>
                <w:rStyle w:val="FootnoteReference"/>
                <w:rFonts w:ascii="Garamond" w:hAnsi="Garamond"/>
                <w:color w:val="000000" w:themeColor="text1"/>
                <w:sz w:val="16"/>
                <w:szCs w:val="16"/>
              </w:rPr>
              <w:t xml:space="preserve"> </w:t>
            </w:r>
            <w:r w:rsidRPr="004A47DC">
              <w:rPr>
                <w:rStyle w:val="FootnoteReference"/>
                <w:rFonts w:ascii="Garamond" w:hAnsi="Garamond"/>
                <w:color w:val="000000" w:themeColor="text1"/>
                <w:sz w:val="16"/>
                <w:szCs w:val="16"/>
              </w:rPr>
              <w:footnoteReference w:id="41"/>
            </w:r>
          </w:p>
        </w:tc>
      </w:tr>
      <w:tr w:rsidR="004719D2" w:rsidRPr="004A47DC" w14:paraId="5E2E95F6" w14:textId="77777777" w:rsidTr="00992F84">
        <w:trPr>
          <w:trHeight w:val="20"/>
        </w:trPr>
        <w:tc>
          <w:tcPr>
            <w:tcW w:w="1420" w:type="pct"/>
            <w:vMerge/>
            <w:tcBorders>
              <w:left w:val="single" w:sz="4" w:space="0" w:color="auto"/>
              <w:right w:val="single" w:sz="4" w:space="0" w:color="auto"/>
            </w:tcBorders>
            <w:vAlign w:val="center"/>
          </w:tcPr>
          <w:p w14:paraId="5654A45C" w14:textId="77777777" w:rsidR="004719D2" w:rsidRPr="004A47DC" w:rsidRDefault="004719D2" w:rsidP="00CF7CEC">
            <w:pPr>
              <w:rPr>
                <w:rFonts w:ascii="Garamond" w:hAnsi="Garamond"/>
                <w:b/>
                <w:bCs/>
                <w:color w:val="000000" w:themeColor="text1"/>
                <w:sz w:val="16"/>
                <w:szCs w:val="16"/>
              </w:rPr>
            </w:pPr>
          </w:p>
        </w:tc>
        <w:tc>
          <w:tcPr>
            <w:tcW w:w="1968" w:type="pct"/>
            <w:tcBorders>
              <w:top w:val="single" w:sz="4" w:space="0" w:color="auto"/>
              <w:left w:val="single" w:sz="4" w:space="0" w:color="auto"/>
              <w:bottom w:val="single" w:sz="4" w:space="0" w:color="auto"/>
              <w:right w:val="single" w:sz="4" w:space="0" w:color="auto"/>
            </w:tcBorders>
            <w:vAlign w:val="center"/>
          </w:tcPr>
          <w:p w14:paraId="0832401B" w14:textId="5EDDD225" w:rsidR="004719D2" w:rsidRPr="004B3C5A" w:rsidRDefault="004B3C5A" w:rsidP="004B3C5A">
            <w:pPr>
              <w:rPr>
                <w:rFonts w:ascii="Garamond" w:hAnsi="Garamond"/>
                <w:sz w:val="16"/>
                <w:szCs w:val="16"/>
              </w:rPr>
            </w:pPr>
            <w:r>
              <w:rPr>
                <w:rFonts w:ascii="Garamond" w:hAnsi="Garamond"/>
                <w:sz w:val="16"/>
                <w:szCs w:val="16"/>
              </w:rPr>
              <w:t xml:space="preserve">2. </w:t>
            </w:r>
            <w:r w:rsidR="004719D2" w:rsidRPr="004B3C5A">
              <w:rPr>
                <w:rFonts w:ascii="Garamond" w:hAnsi="Garamond"/>
                <w:sz w:val="16"/>
                <w:szCs w:val="16"/>
              </w:rPr>
              <w:t>Zhvillimi i një sistemi informacioni të dedikuar për monitorimin dhe raportimin për PPP-të dhe kontratat koncesionare</w:t>
            </w:r>
            <w:r w:rsidR="00E801D1">
              <w:rPr>
                <w:rFonts w:ascii="Garamond" w:hAnsi="Garamond"/>
                <w:sz w:val="16"/>
                <w:szCs w:val="16"/>
              </w:rPr>
              <w:t>,</w:t>
            </w:r>
            <w:r w:rsidR="004719D2" w:rsidRPr="004B3C5A">
              <w:rPr>
                <w:rFonts w:ascii="Garamond" w:hAnsi="Garamond"/>
                <w:sz w:val="16"/>
                <w:szCs w:val="16"/>
              </w:rPr>
              <w:t xml:space="preserve"> dhe përgatitja për ndërlidhjet e nevojshme me sistemet e tjera. </w:t>
            </w:r>
          </w:p>
        </w:tc>
        <w:tc>
          <w:tcPr>
            <w:tcW w:w="380" w:type="pct"/>
            <w:tcBorders>
              <w:top w:val="single" w:sz="4" w:space="0" w:color="auto"/>
              <w:left w:val="single" w:sz="4" w:space="0" w:color="auto"/>
              <w:bottom w:val="single" w:sz="4" w:space="0" w:color="auto"/>
              <w:right w:val="single" w:sz="4" w:space="0" w:color="auto"/>
            </w:tcBorders>
            <w:vAlign w:val="center"/>
          </w:tcPr>
          <w:p w14:paraId="0AD2133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471" w:type="pct"/>
            <w:tcBorders>
              <w:top w:val="single" w:sz="4" w:space="0" w:color="auto"/>
              <w:left w:val="single" w:sz="4" w:space="0" w:color="auto"/>
              <w:bottom w:val="single" w:sz="4" w:space="0" w:color="auto"/>
              <w:right w:val="single" w:sz="4" w:space="0" w:color="auto"/>
            </w:tcBorders>
            <w:vAlign w:val="center"/>
          </w:tcPr>
          <w:p w14:paraId="383802C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60" w:type="pct"/>
            <w:vMerge/>
            <w:tcBorders>
              <w:left w:val="single" w:sz="4" w:space="0" w:color="auto"/>
              <w:right w:val="single" w:sz="4" w:space="0" w:color="auto"/>
            </w:tcBorders>
            <w:vAlign w:val="center"/>
          </w:tcPr>
          <w:p w14:paraId="57CFE91B" w14:textId="77777777" w:rsidR="004719D2" w:rsidRPr="004A47DC" w:rsidRDefault="004719D2" w:rsidP="00CF7CEC">
            <w:pPr>
              <w:rPr>
                <w:rFonts w:ascii="Garamond" w:hAnsi="Garamond"/>
                <w:color w:val="000000" w:themeColor="text1"/>
                <w:sz w:val="16"/>
                <w:szCs w:val="16"/>
              </w:rPr>
            </w:pPr>
          </w:p>
        </w:tc>
      </w:tr>
      <w:tr w:rsidR="004719D2" w:rsidRPr="004A47DC" w14:paraId="1880C9C8" w14:textId="77777777" w:rsidTr="00992F84">
        <w:trPr>
          <w:trHeight w:val="20"/>
        </w:trPr>
        <w:tc>
          <w:tcPr>
            <w:tcW w:w="1420" w:type="pct"/>
            <w:vMerge/>
            <w:tcBorders>
              <w:left w:val="single" w:sz="4" w:space="0" w:color="auto"/>
              <w:bottom w:val="single" w:sz="4" w:space="0" w:color="auto"/>
              <w:right w:val="single" w:sz="4" w:space="0" w:color="auto"/>
            </w:tcBorders>
            <w:vAlign w:val="center"/>
          </w:tcPr>
          <w:p w14:paraId="3C3BE073" w14:textId="77777777" w:rsidR="004719D2" w:rsidRPr="004A47DC" w:rsidRDefault="004719D2" w:rsidP="00CF7CEC">
            <w:pPr>
              <w:rPr>
                <w:rFonts w:ascii="Garamond" w:hAnsi="Garamond"/>
                <w:b/>
                <w:bCs/>
                <w:color w:val="000000" w:themeColor="text1"/>
                <w:sz w:val="16"/>
                <w:szCs w:val="16"/>
              </w:rPr>
            </w:pPr>
          </w:p>
        </w:tc>
        <w:tc>
          <w:tcPr>
            <w:tcW w:w="1968" w:type="pct"/>
            <w:tcBorders>
              <w:top w:val="single" w:sz="4" w:space="0" w:color="auto"/>
              <w:left w:val="single" w:sz="4" w:space="0" w:color="auto"/>
              <w:bottom w:val="single" w:sz="4" w:space="0" w:color="auto"/>
              <w:right w:val="single" w:sz="4" w:space="0" w:color="auto"/>
            </w:tcBorders>
            <w:vAlign w:val="center"/>
          </w:tcPr>
          <w:p w14:paraId="601E6CB3" w14:textId="37C341EF" w:rsidR="004719D2" w:rsidRPr="004B3C5A" w:rsidRDefault="004B3C5A" w:rsidP="004B3C5A">
            <w:pPr>
              <w:rPr>
                <w:rFonts w:ascii="Garamond" w:hAnsi="Garamond"/>
                <w:sz w:val="16"/>
                <w:szCs w:val="16"/>
              </w:rPr>
            </w:pPr>
            <w:r>
              <w:rPr>
                <w:rFonts w:ascii="Garamond" w:hAnsi="Garamond"/>
                <w:sz w:val="16"/>
                <w:szCs w:val="16"/>
              </w:rPr>
              <w:t xml:space="preserve">3. </w:t>
            </w:r>
            <w:r w:rsidR="004719D2" w:rsidRPr="004B3C5A">
              <w:rPr>
                <w:rFonts w:ascii="Garamond" w:hAnsi="Garamond"/>
                <w:sz w:val="16"/>
                <w:szCs w:val="16"/>
              </w:rPr>
              <w:t>Planifikimi dhe ofrimi i aktiviteteve trajnuese për nëpunësit civilë përgjegjës</w:t>
            </w:r>
            <w:r w:rsidR="00E801D1">
              <w:rPr>
                <w:rFonts w:ascii="Garamond" w:hAnsi="Garamond"/>
                <w:sz w:val="16"/>
                <w:szCs w:val="16"/>
              </w:rPr>
              <w:t>,</w:t>
            </w:r>
            <w:r w:rsidR="004719D2" w:rsidRPr="004B3C5A">
              <w:rPr>
                <w:rFonts w:ascii="Garamond" w:hAnsi="Garamond"/>
                <w:sz w:val="16"/>
                <w:szCs w:val="16"/>
              </w:rPr>
              <w:t xml:space="preserve"> për monitorimin dhe raportimin e PPP-ve dhe kontratave koncesionare. </w:t>
            </w:r>
          </w:p>
        </w:tc>
        <w:tc>
          <w:tcPr>
            <w:tcW w:w="380" w:type="pct"/>
            <w:tcBorders>
              <w:top w:val="single" w:sz="4" w:space="0" w:color="auto"/>
              <w:left w:val="single" w:sz="4" w:space="0" w:color="auto"/>
              <w:bottom w:val="single" w:sz="4" w:space="0" w:color="auto"/>
              <w:right w:val="single" w:sz="4" w:space="0" w:color="auto"/>
            </w:tcBorders>
            <w:vAlign w:val="center"/>
          </w:tcPr>
          <w:p w14:paraId="0A3CEF7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tcBorders>
              <w:top w:val="single" w:sz="4" w:space="0" w:color="auto"/>
              <w:left w:val="single" w:sz="4" w:space="0" w:color="auto"/>
              <w:bottom w:val="single" w:sz="4" w:space="0" w:color="auto"/>
              <w:right w:val="single" w:sz="4" w:space="0" w:color="auto"/>
            </w:tcBorders>
            <w:vAlign w:val="center"/>
          </w:tcPr>
          <w:p w14:paraId="5EBB52F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60" w:type="pct"/>
            <w:vMerge/>
            <w:tcBorders>
              <w:left w:val="single" w:sz="4" w:space="0" w:color="auto"/>
              <w:bottom w:val="single" w:sz="4" w:space="0" w:color="auto"/>
              <w:right w:val="single" w:sz="4" w:space="0" w:color="auto"/>
            </w:tcBorders>
            <w:vAlign w:val="center"/>
          </w:tcPr>
          <w:p w14:paraId="5369AF8E" w14:textId="77777777" w:rsidR="004719D2" w:rsidRPr="004A47DC" w:rsidRDefault="004719D2" w:rsidP="00CF7CEC">
            <w:pPr>
              <w:rPr>
                <w:rFonts w:ascii="Garamond" w:hAnsi="Garamond"/>
                <w:color w:val="000000" w:themeColor="text1"/>
                <w:sz w:val="16"/>
                <w:szCs w:val="16"/>
              </w:rPr>
            </w:pPr>
          </w:p>
        </w:tc>
      </w:tr>
    </w:tbl>
    <w:p w14:paraId="1FC9C66A" w14:textId="77777777" w:rsidR="004719D2" w:rsidRPr="004A47DC" w:rsidRDefault="004719D2" w:rsidP="004719D2">
      <w:pPr>
        <w:pStyle w:val="H5"/>
        <w:spacing w:after="0" w:line="240" w:lineRule="auto"/>
        <w:rPr>
          <w:rStyle w:val="IntenseReference"/>
          <w:rFonts w:ascii="Garamond" w:hAnsi="Garamond"/>
          <w:i w:val="0"/>
          <w:color w:val="000000" w:themeColor="text1"/>
        </w:rPr>
      </w:pPr>
    </w:p>
    <w:p w14:paraId="1ACD924C" w14:textId="77777777" w:rsidR="004719D2" w:rsidRPr="004A47DC" w:rsidRDefault="004719D2" w:rsidP="004719D2">
      <w:pPr>
        <w:pStyle w:val="H5"/>
        <w:spacing w:after="0" w:line="240" w:lineRule="auto"/>
        <w:rPr>
          <w:rStyle w:val="IntenseReference"/>
          <w:rFonts w:ascii="Garamond" w:hAnsi="Garamond"/>
          <w:i w:val="0"/>
          <w:color w:val="000000" w:themeColor="text1"/>
          <w:sz w:val="24"/>
        </w:rPr>
      </w:pPr>
      <w:r w:rsidRPr="004A47DC">
        <w:rPr>
          <w:rStyle w:val="IntenseReference"/>
          <w:rFonts w:ascii="Garamond" w:hAnsi="Garamond"/>
          <w:i w:val="0"/>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41B822E9" w14:textId="77777777" w:rsidTr="00992F84">
        <w:trPr>
          <w:cantSplit/>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723384" w14:textId="77777777" w:rsidR="004719D2" w:rsidRPr="004A47DC" w:rsidRDefault="004719D2" w:rsidP="00992F84">
            <w:pPr>
              <w:pStyle w:val="T-bold"/>
              <w:spacing w:line="240" w:lineRule="auto"/>
              <w:jc w:val="center"/>
              <w:rPr>
                <w:rFonts w:ascii="Garamond" w:hAnsi="Garamond"/>
                <w:color w:val="000000" w:themeColor="text1"/>
              </w:rPr>
            </w:pPr>
            <w:bookmarkStart w:id="15" w:name="_Hlk150325807"/>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2F3ADA"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F1863F"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37B816E2" w14:textId="77777777" w:rsidTr="00992F84">
        <w:trPr>
          <w:cantSplit/>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50202095" w14:textId="77777777" w:rsidR="004719D2" w:rsidRPr="004A47DC" w:rsidRDefault="004719D2" w:rsidP="00992F84">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7B8EC918" w14:textId="77777777" w:rsidR="004719D2" w:rsidRPr="004A47DC" w:rsidRDefault="004719D2" w:rsidP="00992F84">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C59D2C"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2B79C6"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EB8422"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38F913" w14:textId="77777777" w:rsidR="004719D2" w:rsidRPr="004A47DC" w:rsidRDefault="004719D2" w:rsidP="00992F84">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4A6CF1C6" w14:textId="77777777" w:rsidTr="00992F84">
        <w:tc>
          <w:tcPr>
            <w:tcW w:w="1727" w:type="pct"/>
            <w:tcBorders>
              <w:top w:val="single" w:sz="4" w:space="0" w:color="auto"/>
              <w:left w:val="single" w:sz="4" w:space="0" w:color="auto"/>
              <w:bottom w:val="single" w:sz="4" w:space="0" w:color="auto"/>
              <w:right w:val="single" w:sz="4" w:space="0" w:color="auto"/>
            </w:tcBorders>
          </w:tcPr>
          <w:p w14:paraId="2C52B2CC" w14:textId="624F10B0" w:rsidR="004719D2" w:rsidRPr="00E801D1" w:rsidRDefault="00E801D1" w:rsidP="00E801D1">
            <w:pPr>
              <w:rPr>
                <w:rFonts w:ascii="Garamond" w:hAnsi="Garamond"/>
                <w:sz w:val="16"/>
                <w:szCs w:val="16"/>
              </w:rPr>
            </w:pPr>
            <w:r>
              <w:rPr>
                <w:rFonts w:ascii="Garamond" w:hAnsi="Garamond"/>
                <w:sz w:val="16"/>
                <w:szCs w:val="16"/>
              </w:rPr>
              <w:t xml:space="preserve">1. </w:t>
            </w:r>
            <w:r w:rsidR="004719D2" w:rsidRPr="00E801D1">
              <w:rPr>
                <w:rFonts w:ascii="Garamond" w:hAnsi="Garamond"/>
                <w:sz w:val="16"/>
                <w:szCs w:val="16"/>
              </w:rPr>
              <w:t xml:space="preserve">Treguesi i Performancës PEFA 28 </w:t>
            </w:r>
            <w:r w:rsidR="00E33A13" w:rsidRPr="00E801D1">
              <w:rPr>
                <w:rFonts w:ascii="Garamond" w:hAnsi="Garamond"/>
                <w:sz w:val="16"/>
                <w:szCs w:val="16"/>
              </w:rPr>
              <w:t>“</w:t>
            </w:r>
            <w:r w:rsidR="004719D2" w:rsidRPr="00E801D1">
              <w:rPr>
                <w:rFonts w:ascii="Garamond" w:hAnsi="Garamond"/>
                <w:sz w:val="16"/>
                <w:szCs w:val="16"/>
              </w:rPr>
              <w:t>Raportet e buxhetit gjatë vitit</w:t>
            </w:r>
            <w:r w:rsidR="00E33A13" w:rsidRPr="00E801D1">
              <w:rPr>
                <w:rFonts w:ascii="Garamond" w:hAnsi="Garamond"/>
                <w:sz w:val="16"/>
                <w:szCs w:val="16"/>
              </w:rPr>
              <w:t>”</w:t>
            </w:r>
          </w:p>
        </w:tc>
        <w:tc>
          <w:tcPr>
            <w:tcW w:w="654" w:type="pct"/>
            <w:tcBorders>
              <w:top w:val="single" w:sz="4" w:space="0" w:color="auto"/>
              <w:left w:val="single" w:sz="4" w:space="0" w:color="auto"/>
              <w:bottom w:val="single" w:sz="4" w:space="0" w:color="auto"/>
              <w:right w:val="single" w:sz="4" w:space="0" w:color="auto"/>
            </w:tcBorders>
            <w:vAlign w:val="center"/>
          </w:tcPr>
          <w:p w14:paraId="7BA1F5A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D+ </w:t>
            </w:r>
          </w:p>
          <w:p w14:paraId="0F59F4B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(2017)</w:t>
            </w:r>
          </w:p>
        </w:tc>
        <w:tc>
          <w:tcPr>
            <w:tcW w:w="655" w:type="pct"/>
            <w:tcBorders>
              <w:top w:val="single" w:sz="4" w:space="0" w:color="auto"/>
              <w:left w:val="single" w:sz="4" w:space="0" w:color="auto"/>
              <w:bottom w:val="single" w:sz="4" w:space="0" w:color="auto"/>
              <w:right w:val="single" w:sz="4" w:space="0" w:color="auto"/>
            </w:tcBorders>
            <w:vAlign w:val="center"/>
          </w:tcPr>
          <w:p w14:paraId="090CE8D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4F4E59D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B</w:t>
            </w:r>
          </w:p>
        </w:tc>
        <w:tc>
          <w:tcPr>
            <w:tcW w:w="655" w:type="pct"/>
            <w:tcBorders>
              <w:top w:val="single" w:sz="4" w:space="0" w:color="auto"/>
              <w:left w:val="single" w:sz="4" w:space="0" w:color="auto"/>
              <w:bottom w:val="single" w:sz="4" w:space="0" w:color="auto"/>
              <w:right w:val="single" w:sz="4" w:space="0" w:color="auto"/>
            </w:tcBorders>
            <w:vAlign w:val="center"/>
          </w:tcPr>
          <w:p w14:paraId="0BD8D0F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B+</w:t>
            </w:r>
          </w:p>
        </w:tc>
        <w:tc>
          <w:tcPr>
            <w:tcW w:w="655" w:type="pct"/>
            <w:tcBorders>
              <w:top w:val="single" w:sz="4" w:space="0" w:color="auto"/>
              <w:left w:val="single" w:sz="4" w:space="0" w:color="auto"/>
              <w:bottom w:val="single" w:sz="4" w:space="0" w:color="auto"/>
              <w:right w:val="single" w:sz="4" w:space="0" w:color="auto"/>
            </w:tcBorders>
            <w:vAlign w:val="center"/>
          </w:tcPr>
          <w:p w14:paraId="17D4668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A</w:t>
            </w:r>
          </w:p>
        </w:tc>
      </w:tr>
      <w:tr w:rsidR="004719D2" w:rsidRPr="004A47DC" w14:paraId="23663912" w14:textId="77777777" w:rsidTr="00992F84">
        <w:tc>
          <w:tcPr>
            <w:tcW w:w="1727" w:type="pct"/>
            <w:tcBorders>
              <w:top w:val="single" w:sz="4" w:space="0" w:color="auto"/>
              <w:left w:val="single" w:sz="4" w:space="0" w:color="auto"/>
              <w:bottom w:val="single" w:sz="4" w:space="0" w:color="auto"/>
              <w:right w:val="single" w:sz="4" w:space="0" w:color="auto"/>
            </w:tcBorders>
          </w:tcPr>
          <w:p w14:paraId="50841863" w14:textId="0842F385" w:rsidR="004719D2" w:rsidRPr="00E801D1" w:rsidRDefault="00E801D1" w:rsidP="00E801D1">
            <w:pPr>
              <w:rPr>
                <w:rFonts w:ascii="Garamond" w:hAnsi="Garamond"/>
                <w:color w:val="000000" w:themeColor="text1"/>
                <w:sz w:val="16"/>
                <w:szCs w:val="16"/>
              </w:rPr>
            </w:pPr>
            <w:r>
              <w:rPr>
                <w:rFonts w:ascii="Garamond" w:hAnsi="Garamond"/>
                <w:color w:val="000000" w:themeColor="text1"/>
                <w:sz w:val="16"/>
                <w:szCs w:val="16"/>
              </w:rPr>
              <w:t xml:space="preserve">2. </w:t>
            </w:r>
            <w:r w:rsidR="004719D2" w:rsidRPr="00E801D1">
              <w:rPr>
                <w:rFonts w:ascii="Garamond" w:hAnsi="Garamond"/>
                <w:color w:val="000000" w:themeColor="text1"/>
                <w:sz w:val="16"/>
                <w:szCs w:val="16"/>
              </w:rPr>
              <w:t>Publikimi i raporteve të zbatimit të buxhetit për qytetarët</w:t>
            </w:r>
          </w:p>
        </w:tc>
        <w:tc>
          <w:tcPr>
            <w:tcW w:w="654" w:type="pct"/>
            <w:tcBorders>
              <w:top w:val="single" w:sz="4" w:space="0" w:color="auto"/>
              <w:left w:val="single" w:sz="4" w:space="0" w:color="auto"/>
              <w:bottom w:val="single" w:sz="4" w:space="0" w:color="auto"/>
              <w:right w:val="single" w:sz="4" w:space="0" w:color="auto"/>
            </w:tcBorders>
            <w:vAlign w:val="center"/>
          </w:tcPr>
          <w:p w14:paraId="76A8778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37FEC05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432600A8" w14:textId="77777777" w:rsidR="004719D2" w:rsidRPr="004A47DC" w:rsidDel="00927AAF"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Miratimi i formateve</w:t>
            </w:r>
          </w:p>
        </w:tc>
        <w:tc>
          <w:tcPr>
            <w:tcW w:w="655" w:type="pct"/>
            <w:tcBorders>
              <w:top w:val="single" w:sz="4" w:space="0" w:color="auto"/>
              <w:left w:val="single" w:sz="4" w:space="0" w:color="auto"/>
              <w:bottom w:val="single" w:sz="4" w:space="0" w:color="auto"/>
              <w:right w:val="single" w:sz="4" w:space="0" w:color="auto"/>
            </w:tcBorders>
            <w:vAlign w:val="center"/>
          </w:tcPr>
          <w:p w14:paraId="23F3FD35" w14:textId="77777777" w:rsidR="004719D2" w:rsidRPr="004A47DC" w:rsidDel="0016565B"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Publikimi i raportit</w:t>
            </w:r>
          </w:p>
        </w:tc>
        <w:tc>
          <w:tcPr>
            <w:tcW w:w="655" w:type="pct"/>
            <w:tcBorders>
              <w:top w:val="single" w:sz="4" w:space="0" w:color="auto"/>
              <w:left w:val="single" w:sz="4" w:space="0" w:color="auto"/>
              <w:bottom w:val="single" w:sz="4" w:space="0" w:color="auto"/>
              <w:right w:val="single" w:sz="4" w:space="0" w:color="auto"/>
            </w:tcBorders>
            <w:vAlign w:val="center"/>
          </w:tcPr>
          <w:p w14:paraId="62459B5D" w14:textId="77777777" w:rsidR="004719D2" w:rsidRPr="004A47DC" w:rsidRDefault="004719D2" w:rsidP="00CF7CEC">
            <w:pPr>
              <w:pStyle w:val="T-normal"/>
              <w:spacing w:line="240" w:lineRule="auto"/>
              <w:jc w:val="center"/>
              <w:rPr>
                <w:rFonts w:ascii="Garamond" w:hAnsi="Garamond"/>
                <w:color w:val="000000" w:themeColor="text1"/>
                <w:lang w:val="sq-AL"/>
              </w:rPr>
            </w:pPr>
          </w:p>
        </w:tc>
      </w:tr>
      <w:tr w:rsidR="004719D2" w:rsidRPr="004A47DC" w14:paraId="286D0E63" w14:textId="77777777" w:rsidTr="00992F84">
        <w:trPr>
          <w:trHeight w:val="736"/>
        </w:trPr>
        <w:tc>
          <w:tcPr>
            <w:tcW w:w="1727" w:type="pct"/>
            <w:tcBorders>
              <w:top w:val="single" w:sz="4" w:space="0" w:color="auto"/>
              <w:left w:val="single" w:sz="4" w:space="0" w:color="auto"/>
              <w:bottom w:val="single" w:sz="4" w:space="0" w:color="auto"/>
              <w:right w:val="single" w:sz="4" w:space="0" w:color="auto"/>
            </w:tcBorders>
          </w:tcPr>
          <w:p w14:paraId="23A82BCD" w14:textId="3D9C0A73" w:rsidR="004719D2" w:rsidRPr="00E801D1" w:rsidRDefault="00E801D1" w:rsidP="00E801D1">
            <w:pPr>
              <w:rPr>
                <w:rFonts w:ascii="Garamond" w:hAnsi="Garamond"/>
                <w:color w:val="000000" w:themeColor="text1"/>
                <w:sz w:val="16"/>
                <w:szCs w:val="16"/>
              </w:rPr>
            </w:pPr>
            <w:r>
              <w:rPr>
                <w:rFonts w:ascii="Garamond" w:hAnsi="Garamond"/>
                <w:color w:val="000000" w:themeColor="text1"/>
                <w:sz w:val="16"/>
                <w:szCs w:val="16"/>
              </w:rPr>
              <w:t xml:space="preserve">3. </w:t>
            </w:r>
            <w:r w:rsidR="004719D2" w:rsidRPr="00E801D1">
              <w:rPr>
                <w:rFonts w:ascii="Garamond" w:hAnsi="Garamond"/>
                <w:color w:val="000000" w:themeColor="text1"/>
                <w:sz w:val="16"/>
                <w:szCs w:val="16"/>
              </w:rPr>
              <w:t>Zhvillimi i një sistemi informacioni të dedikuar për monitorimin dhe raportimin e PPP-ve dhe kontratave koncesionare</w:t>
            </w:r>
          </w:p>
        </w:tc>
        <w:tc>
          <w:tcPr>
            <w:tcW w:w="654" w:type="pct"/>
            <w:tcBorders>
              <w:top w:val="single" w:sz="4" w:space="0" w:color="auto"/>
              <w:left w:val="single" w:sz="4" w:space="0" w:color="auto"/>
              <w:bottom w:val="single" w:sz="4" w:space="0" w:color="auto"/>
              <w:right w:val="single" w:sz="4" w:space="0" w:color="auto"/>
            </w:tcBorders>
            <w:vAlign w:val="center"/>
          </w:tcPr>
          <w:p w14:paraId="05A51D2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2A5C5E8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34A3101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6EAD6B9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Kontraktimi i sistemit të informacionit</w:t>
            </w:r>
          </w:p>
        </w:tc>
        <w:tc>
          <w:tcPr>
            <w:tcW w:w="655" w:type="pct"/>
            <w:tcBorders>
              <w:top w:val="single" w:sz="4" w:space="0" w:color="auto"/>
              <w:left w:val="single" w:sz="4" w:space="0" w:color="auto"/>
              <w:bottom w:val="single" w:sz="4" w:space="0" w:color="auto"/>
              <w:right w:val="single" w:sz="4" w:space="0" w:color="auto"/>
            </w:tcBorders>
            <w:vAlign w:val="center"/>
          </w:tcPr>
          <w:p w14:paraId="0E0672C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Zhvillimi dhe vendosja e sistemit të informacionit</w:t>
            </w:r>
          </w:p>
        </w:tc>
      </w:tr>
      <w:tr w:rsidR="004719D2" w:rsidRPr="004A47DC" w14:paraId="15E3A23E" w14:textId="77777777" w:rsidTr="00992F84">
        <w:trPr>
          <w:trHeight w:val="736"/>
        </w:trPr>
        <w:tc>
          <w:tcPr>
            <w:tcW w:w="1727" w:type="pct"/>
            <w:tcBorders>
              <w:top w:val="single" w:sz="4" w:space="0" w:color="auto"/>
              <w:left w:val="single" w:sz="4" w:space="0" w:color="auto"/>
              <w:bottom w:val="single" w:sz="4" w:space="0" w:color="auto"/>
              <w:right w:val="single" w:sz="4" w:space="0" w:color="auto"/>
            </w:tcBorders>
          </w:tcPr>
          <w:p w14:paraId="7ACDAF3F" w14:textId="2649AD0E" w:rsidR="004719D2" w:rsidRPr="00E801D1" w:rsidRDefault="00E801D1" w:rsidP="00E801D1">
            <w:pPr>
              <w:rPr>
                <w:rFonts w:ascii="Garamond" w:hAnsi="Garamond"/>
                <w:color w:val="000000" w:themeColor="text1"/>
                <w:sz w:val="16"/>
                <w:szCs w:val="16"/>
              </w:rPr>
            </w:pPr>
            <w:r>
              <w:rPr>
                <w:rFonts w:ascii="Garamond" w:hAnsi="Garamond"/>
                <w:color w:val="000000" w:themeColor="text1"/>
                <w:sz w:val="16"/>
                <w:szCs w:val="16"/>
              </w:rPr>
              <w:t xml:space="preserve">4. </w:t>
            </w:r>
            <w:r w:rsidR="004719D2" w:rsidRPr="00E801D1">
              <w:rPr>
                <w:rFonts w:ascii="Garamond" w:hAnsi="Garamond"/>
                <w:color w:val="000000" w:themeColor="text1"/>
                <w:sz w:val="16"/>
                <w:szCs w:val="16"/>
              </w:rPr>
              <w:t>Numri i kontratave PPP të mbuluara në raportin vjetor të përmbledhur për PPP-të dhe kontratat koncesionare</w:t>
            </w:r>
          </w:p>
        </w:tc>
        <w:tc>
          <w:tcPr>
            <w:tcW w:w="654" w:type="pct"/>
            <w:tcBorders>
              <w:top w:val="single" w:sz="4" w:space="0" w:color="auto"/>
              <w:left w:val="single" w:sz="4" w:space="0" w:color="auto"/>
              <w:bottom w:val="single" w:sz="4" w:space="0" w:color="auto"/>
              <w:right w:val="single" w:sz="4" w:space="0" w:color="auto"/>
            </w:tcBorders>
            <w:vAlign w:val="center"/>
          </w:tcPr>
          <w:p w14:paraId="3FC9086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1E55709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4ECD9B7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100</w:t>
            </w:r>
          </w:p>
        </w:tc>
        <w:tc>
          <w:tcPr>
            <w:tcW w:w="655" w:type="pct"/>
            <w:tcBorders>
              <w:top w:val="single" w:sz="4" w:space="0" w:color="auto"/>
              <w:left w:val="single" w:sz="4" w:space="0" w:color="auto"/>
              <w:bottom w:val="single" w:sz="4" w:space="0" w:color="auto"/>
              <w:right w:val="single" w:sz="4" w:space="0" w:color="auto"/>
            </w:tcBorders>
            <w:vAlign w:val="center"/>
          </w:tcPr>
          <w:p w14:paraId="40D1DDB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150</w:t>
            </w:r>
          </w:p>
        </w:tc>
        <w:tc>
          <w:tcPr>
            <w:tcW w:w="655" w:type="pct"/>
            <w:tcBorders>
              <w:top w:val="single" w:sz="4" w:space="0" w:color="auto"/>
              <w:left w:val="single" w:sz="4" w:space="0" w:color="auto"/>
              <w:bottom w:val="single" w:sz="4" w:space="0" w:color="auto"/>
              <w:right w:val="single" w:sz="4" w:space="0" w:color="auto"/>
            </w:tcBorders>
            <w:vAlign w:val="center"/>
          </w:tcPr>
          <w:p w14:paraId="4E33021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200</w:t>
            </w:r>
          </w:p>
        </w:tc>
      </w:tr>
    </w:tbl>
    <w:p w14:paraId="58D3EA5B" w14:textId="77777777" w:rsidR="004719D2" w:rsidRPr="004A47DC" w:rsidRDefault="004719D2" w:rsidP="00DF2DD0">
      <w:pPr>
        <w:ind w:firstLine="284"/>
        <w:rPr>
          <w:rFonts w:ascii="Garamond" w:hAnsi="Garamond"/>
          <w:color w:val="000000" w:themeColor="text1"/>
        </w:rPr>
      </w:pPr>
    </w:p>
    <w:p w14:paraId="2C047C16" w14:textId="4A456FAD" w:rsidR="004719D2" w:rsidRPr="004A47DC" w:rsidRDefault="00533EFC" w:rsidP="00DF2DD0">
      <w:pPr>
        <w:ind w:firstLine="284"/>
        <w:rPr>
          <w:rFonts w:ascii="Garamond" w:hAnsi="Garamond"/>
          <w:b/>
        </w:rPr>
      </w:pPr>
      <w:r w:rsidRPr="004A47DC">
        <w:rPr>
          <w:rFonts w:ascii="Garamond" w:hAnsi="Garamond"/>
          <w:b/>
        </w:rPr>
        <w:t xml:space="preserve">4. </w:t>
      </w:r>
      <w:bookmarkStart w:id="16" w:name="_Toc168918683"/>
      <w:r w:rsidR="004719D2" w:rsidRPr="004A47DC">
        <w:rPr>
          <w:rFonts w:ascii="Garamond" w:hAnsi="Garamond"/>
          <w:b/>
        </w:rPr>
        <w:t xml:space="preserve">Shtylla 3: Menaxhimi dhe </w:t>
      </w:r>
      <w:r w:rsidR="00610D03" w:rsidRPr="004A47DC">
        <w:rPr>
          <w:rFonts w:ascii="Garamond" w:hAnsi="Garamond"/>
          <w:b/>
        </w:rPr>
        <w:t xml:space="preserve">Mobilizimi </w:t>
      </w:r>
      <w:r w:rsidR="004719D2" w:rsidRPr="004A47DC">
        <w:rPr>
          <w:rFonts w:ascii="Garamond" w:hAnsi="Garamond"/>
          <w:b/>
        </w:rPr>
        <w:t xml:space="preserve">i të </w:t>
      </w:r>
      <w:r w:rsidR="00610D03" w:rsidRPr="004A47DC">
        <w:rPr>
          <w:rFonts w:ascii="Garamond" w:hAnsi="Garamond"/>
          <w:b/>
        </w:rPr>
        <w:t>Ardhurave</w:t>
      </w:r>
      <w:bookmarkEnd w:id="16"/>
    </w:p>
    <w:p w14:paraId="391DC41A" w14:textId="5D3E7EEB" w:rsidR="004719D2" w:rsidRPr="004A47DC" w:rsidRDefault="00533EFC" w:rsidP="00DF2DD0">
      <w:pPr>
        <w:ind w:firstLine="284"/>
        <w:jc w:val="both"/>
        <w:rPr>
          <w:rFonts w:ascii="Garamond" w:hAnsi="Garamond"/>
          <w:b/>
        </w:rPr>
      </w:pPr>
      <w:bookmarkStart w:id="17" w:name="_Toc168918684"/>
      <w:r w:rsidRPr="004A47DC">
        <w:rPr>
          <w:rFonts w:ascii="Garamond" w:hAnsi="Garamond"/>
          <w:b/>
        </w:rPr>
        <w:t xml:space="preserve">4.1 </w:t>
      </w:r>
      <w:r w:rsidR="004719D2" w:rsidRPr="004A47DC">
        <w:rPr>
          <w:rFonts w:ascii="Garamond" w:hAnsi="Garamond"/>
          <w:b/>
        </w:rPr>
        <w:t>Hyrje</w:t>
      </w:r>
      <w:bookmarkEnd w:id="17"/>
    </w:p>
    <w:p w14:paraId="7ADF0616" w14:textId="293E9C2E" w:rsidR="004719D2" w:rsidRPr="004A47DC" w:rsidRDefault="004719D2" w:rsidP="00000D49">
      <w:pPr>
        <w:ind w:firstLine="284"/>
        <w:jc w:val="both"/>
        <w:rPr>
          <w:rFonts w:ascii="Garamond" w:hAnsi="Garamond"/>
        </w:rPr>
      </w:pPr>
      <w:r w:rsidRPr="004A47DC">
        <w:rPr>
          <w:rFonts w:ascii="Garamond" w:hAnsi="Garamond"/>
        </w:rPr>
        <w:t xml:space="preserve">Objektivi specifik 3 </w:t>
      </w:r>
      <w:r w:rsidR="00E33A13" w:rsidRPr="004A47DC">
        <w:rPr>
          <w:rFonts w:ascii="Garamond" w:hAnsi="Garamond"/>
        </w:rPr>
        <w:t>“</w:t>
      </w:r>
      <w:r w:rsidRPr="004A47DC">
        <w:rPr>
          <w:rFonts w:ascii="Garamond" w:hAnsi="Garamond"/>
        </w:rPr>
        <w:t>Përmirësimi i sistemeve të menaxhimit doganor dhe të të ardhurave</w:t>
      </w:r>
      <w:r w:rsidR="0042778C">
        <w:rPr>
          <w:rFonts w:ascii="Garamond" w:hAnsi="Garamond"/>
        </w:rPr>
        <w:t>,</w:t>
      </w:r>
      <w:r w:rsidRPr="004A47DC">
        <w:rPr>
          <w:rFonts w:ascii="Garamond" w:hAnsi="Garamond"/>
        </w:rPr>
        <w:t xml:space="preserve"> me synim rritjen e të ardhurave dhe përmirësimin e ofrimit të shërbimeve</w:t>
      </w:r>
      <w:r w:rsidR="00E33A13" w:rsidRPr="004A47DC">
        <w:rPr>
          <w:rFonts w:ascii="Garamond" w:hAnsi="Garamond"/>
        </w:rPr>
        <w:t>”</w:t>
      </w:r>
      <w:r w:rsidRPr="004A47DC">
        <w:rPr>
          <w:rFonts w:ascii="Garamond" w:hAnsi="Garamond"/>
        </w:rPr>
        <w:t xml:space="preserve"> mbulon komponentët</w:t>
      </w:r>
      <w:r w:rsidR="0042778C">
        <w:rPr>
          <w:rFonts w:ascii="Garamond" w:hAnsi="Garamond"/>
        </w:rPr>
        <w:t>:</w:t>
      </w:r>
      <w:r w:rsidRPr="004A47DC">
        <w:rPr>
          <w:rFonts w:ascii="Garamond" w:hAnsi="Garamond"/>
        </w:rPr>
        <w:t xml:space="preserve"> </w:t>
      </w:r>
      <w:r w:rsidR="00F81BE4" w:rsidRPr="004A47DC">
        <w:rPr>
          <w:rFonts w:ascii="Garamond" w:hAnsi="Garamond"/>
        </w:rPr>
        <w:t>menaxhimi i taksave</w:t>
      </w:r>
      <w:r w:rsidRPr="004A47DC">
        <w:rPr>
          <w:rFonts w:ascii="Garamond" w:hAnsi="Garamond"/>
        </w:rPr>
        <w:t xml:space="preserve">, </w:t>
      </w:r>
      <w:r w:rsidR="00F81BE4" w:rsidRPr="004A47DC">
        <w:rPr>
          <w:rFonts w:ascii="Garamond" w:hAnsi="Garamond"/>
        </w:rPr>
        <w:t>menaxhimi i taksës së pasurisë (kadastra fiskale) dhe menaxhimi doganor</w:t>
      </w:r>
      <w:r w:rsidRPr="004A47DC">
        <w:rPr>
          <w:rFonts w:ascii="Garamond" w:hAnsi="Garamond"/>
        </w:rPr>
        <w:t xml:space="preserve">. </w:t>
      </w:r>
    </w:p>
    <w:p w14:paraId="0D19B69B" w14:textId="0306A129" w:rsidR="00B6662C" w:rsidRPr="004A47DC" w:rsidRDefault="00B6662C" w:rsidP="00B6662C">
      <w:pPr>
        <w:tabs>
          <w:tab w:val="left" w:pos="9016"/>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3.1</w:t>
      </w:r>
      <w:r w:rsidR="0042778C">
        <w:rPr>
          <w:rFonts w:ascii="Garamond" w:hAnsi="Garamond" w:cs="Garamond"/>
          <w:b/>
          <w:bCs/>
          <w:lang w:eastAsia="sq-AL"/>
        </w:rPr>
        <w:t>:</w:t>
      </w:r>
      <w:r w:rsidRPr="004A47DC">
        <w:rPr>
          <w:rFonts w:ascii="Garamond" w:hAnsi="Garamond" w:cs="Garamond"/>
          <w:b/>
          <w:bCs/>
          <w:lang w:eastAsia="sq-AL"/>
        </w:rPr>
        <w:t xml:space="preserve"> Menaxhimi i taksave</w:t>
      </w:r>
    </w:p>
    <w:p w14:paraId="5BC8A61F" w14:textId="1EEFE7E4" w:rsidR="00B6662C" w:rsidRPr="004A47DC" w:rsidRDefault="00B6662C" w:rsidP="00B6662C">
      <w:pPr>
        <w:tabs>
          <w:tab w:val="left" w:pos="9016"/>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Rritja e mobilizimit të të ardhurave</w:t>
      </w:r>
      <w:r w:rsidR="0042778C">
        <w:rPr>
          <w:rFonts w:ascii="Garamond" w:hAnsi="Garamond" w:cs="Garamond"/>
          <w:lang w:eastAsia="sq-AL"/>
        </w:rPr>
        <w:t>,</w:t>
      </w:r>
      <w:r w:rsidRPr="004A47DC">
        <w:rPr>
          <w:rFonts w:ascii="Garamond" w:hAnsi="Garamond" w:cs="Garamond"/>
          <w:lang w:eastAsia="sq-AL"/>
        </w:rPr>
        <w:t xml:space="preserve"> me qëllim krijimin e një hapësire fiskale për investime dhe zhvillim të qëndrueshëm</w:t>
      </w:r>
      <w:r w:rsidR="0042778C">
        <w:rPr>
          <w:rFonts w:ascii="Garamond" w:hAnsi="Garamond" w:cs="Garamond"/>
          <w:lang w:eastAsia="sq-AL"/>
        </w:rPr>
        <w:t>,</w:t>
      </w:r>
      <w:r w:rsidRPr="004A47DC">
        <w:rPr>
          <w:rFonts w:ascii="Garamond" w:hAnsi="Garamond" w:cs="Garamond"/>
          <w:lang w:eastAsia="sq-AL"/>
        </w:rPr>
        <w:t xml:space="preserve"> nëpërmjet një kombinimi të reformave të politikave tatimore dhe modernizimit të sistemeve administrative; sigurimin e përputhjes me rregulloret e BE-së dhe përmirësimin e ofrimit të shërbimeve për taksapaguesit.</w:t>
      </w:r>
      <w:r w:rsidR="00B2411C" w:rsidRPr="004A47DC">
        <w:rPr>
          <w:rFonts w:ascii="Garamond" w:hAnsi="Garamond" w:cs="Garamond"/>
          <w:lang w:eastAsia="sq-AL"/>
        </w:rPr>
        <w:t xml:space="preserve"> </w:t>
      </w:r>
    </w:p>
    <w:p w14:paraId="1697AD89" w14:textId="6217EC1D"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r w:rsidRPr="004A47DC">
        <w:rPr>
          <w:rFonts w:ascii="Garamond" w:hAnsi="Garamond" w:cs="Symbol"/>
          <w:color w:val="0070C0"/>
          <w:lang w:eastAsia="sq-AL"/>
        </w:rPr>
        <w:t>·</w:t>
      </w:r>
    </w:p>
    <w:p w14:paraId="2ECED12A" w14:textId="5CE77CC1"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3.1.1 Miratimi i Strategjisë Afatmesme të të Ardhurave 2024-2027;</w:t>
      </w:r>
    </w:p>
    <w:p w14:paraId="27072835" w14:textId="6B66AC28"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3.1.2 Rritja e kapaciteteve institucionale për të analizuar dhe zhvilluar politikat tatimore dhe për të menaxhuar reformat tatimore;</w:t>
      </w:r>
    </w:p>
    <w:p w14:paraId="48128900" w14:textId="0CE7A147"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3.1.3 Zhvillimi dhe zbatimi i iniciativave për të reduktuar hendekun e pajtueshmërisë me TVSH-në;</w:t>
      </w:r>
    </w:p>
    <w:p w14:paraId="54C8E3E1" w14:textId="2AC07D8D"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3.1.4 Zhvillimi dhe zbatimi i një qasjeje të integruar për të reduktuar punën e padeklaruar;</w:t>
      </w:r>
    </w:p>
    <w:p w14:paraId="23802075" w14:textId="429E0010"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3.1.5 Sigurimi i taksimit të çdo pasurie të pajustifikuar brenda dhe jashtë vendit</w:t>
      </w:r>
      <w:r w:rsidR="0042778C">
        <w:rPr>
          <w:rFonts w:ascii="Garamond" w:hAnsi="Garamond" w:cs="Garamond"/>
          <w:color w:val="000000"/>
          <w:lang w:eastAsia="sq-AL"/>
        </w:rPr>
        <w:t>;</w:t>
      </w:r>
    </w:p>
    <w:p w14:paraId="4A3CF171" w14:textId="42752B1F" w:rsidR="00B6662C" w:rsidRPr="004A47DC" w:rsidRDefault="00B6662C" w:rsidP="00B6662C">
      <w:pPr>
        <w:tabs>
          <w:tab w:val="left" w:pos="9016"/>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3.1.6 Përmirësimi i ofrimit të shërbimeve për taksapaguesit</w:t>
      </w:r>
      <w:r w:rsidR="0042778C">
        <w:rPr>
          <w:rFonts w:ascii="Garamond" w:hAnsi="Garamond" w:cs="Garamond"/>
          <w:color w:val="000000"/>
          <w:lang w:eastAsia="sq-AL"/>
        </w:rPr>
        <w:t>.</w:t>
      </w:r>
    </w:p>
    <w:p w14:paraId="7599B2F7" w14:textId="24041EC7" w:rsidR="00B6662C" w:rsidRPr="004A47DC" w:rsidRDefault="00B6662C" w:rsidP="00B6662C">
      <w:pPr>
        <w:tabs>
          <w:tab w:val="left" w:pos="9016"/>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3.2</w:t>
      </w:r>
      <w:r w:rsidR="0042778C">
        <w:rPr>
          <w:rFonts w:ascii="Garamond" w:hAnsi="Garamond" w:cs="Garamond"/>
          <w:b/>
          <w:bCs/>
          <w:lang w:eastAsia="sq-AL"/>
        </w:rPr>
        <w:t>:</w:t>
      </w:r>
      <w:r w:rsidRPr="004A47DC">
        <w:rPr>
          <w:rFonts w:ascii="Garamond" w:hAnsi="Garamond" w:cs="Garamond"/>
          <w:b/>
          <w:bCs/>
          <w:lang w:eastAsia="sq-AL"/>
        </w:rPr>
        <w:t xml:space="preserve"> Menaxhimi i taksës së pasurisë</w:t>
      </w:r>
    </w:p>
    <w:p w14:paraId="54ECF7DE" w14:textId="77777777" w:rsidR="00BE5C3B" w:rsidRDefault="00B6662C" w:rsidP="00B6662C">
      <w:pPr>
        <w:tabs>
          <w:tab w:val="left" w:pos="9016"/>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krijimi i një kadastre fiskale plotësisht funksionale dhe një sistemi efektiv të mbledhjes së taksës së pasurisë</w:t>
      </w:r>
      <w:r w:rsidR="00BE5C3B">
        <w:rPr>
          <w:rFonts w:ascii="Garamond" w:hAnsi="Garamond" w:cs="Garamond"/>
          <w:lang w:eastAsia="sq-AL"/>
        </w:rPr>
        <w:t>,</w:t>
      </w:r>
      <w:r w:rsidRPr="004A47DC">
        <w:rPr>
          <w:rFonts w:ascii="Garamond" w:hAnsi="Garamond" w:cs="Garamond"/>
          <w:lang w:eastAsia="sq-AL"/>
        </w:rPr>
        <w:t xml:space="preserve"> që synon të gjitha pronat në të gjitha bashkitë e vendit</w:t>
      </w:r>
      <w:r w:rsidR="00BE5C3B">
        <w:rPr>
          <w:rFonts w:ascii="Garamond" w:hAnsi="Garamond" w:cs="Garamond"/>
          <w:lang w:eastAsia="sq-AL"/>
        </w:rPr>
        <w:t>,</w:t>
      </w:r>
      <w:r w:rsidRPr="004A47DC">
        <w:rPr>
          <w:rFonts w:ascii="Garamond" w:hAnsi="Garamond" w:cs="Garamond"/>
          <w:lang w:eastAsia="sq-AL"/>
        </w:rPr>
        <w:t xml:space="preserve"> me qëllim sjelljen e të ardhurave shtesë për qeveritë vendore. </w:t>
      </w:r>
    </w:p>
    <w:p w14:paraId="03DC0779" w14:textId="5559D993"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Masat për vitet 2023</w:t>
      </w:r>
      <w:r w:rsidR="00BD4D84" w:rsidRPr="004A47DC">
        <w:rPr>
          <w:rFonts w:ascii="Garamond" w:hAnsi="Garamond" w:cs="Garamond"/>
          <w:lang w:eastAsia="sq-AL"/>
        </w:rPr>
        <w:t>–</w:t>
      </w:r>
      <w:r w:rsidRPr="004A47DC">
        <w:rPr>
          <w:rFonts w:ascii="Garamond" w:hAnsi="Garamond" w:cs="Garamond"/>
          <w:lang w:eastAsia="sq-AL"/>
        </w:rPr>
        <w:t>2030:</w:t>
      </w:r>
    </w:p>
    <w:p w14:paraId="2C9F6213" w14:textId="21EDDDFC" w:rsidR="00B6662C" w:rsidRPr="004A47DC" w:rsidRDefault="00B6662C" w:rsidP="00B6662C">
      <w:pPr>
        <w:tabs>
          <w:tab w:val="left" w:pos="9016"/>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3.2.1</w:t>
      </w:r>
      <w:r w:rsidR="00B2411C" w:rsidRPr="004A47DC">
        <w:rPr>
          <w:rFonts w:ascii="Garamond" w:hAnsi="Garamond" w:cs="Garamond"/>
          <w:color w:val="000000"/>
          <w:lang w:eastAsia="sq-AL"/>
        </w:rPr>
        <w:t xml:space="preserve"> </w:t>
      </w:r>
      <w:r w:rsidRPr="004A47DC">
        <w:rPr>
          <w:rFonts w:ascii="Garamond" w:hAnsi="Garamond" w:cs="Garamond"/>
          <w:color w:val="000000"/>
          <w:lang w:eastAsia="sq-AL"/>
        </w:rPr>
        <w:t>Përmirësimi i kadastrës fiskale dhe sistemit të mbledhjes së taksës së pasurisë</w:t>
      </w:r>
      <w:r w:rsidR="00BE5C3B">
        <w:rPr>
          <w:rFonts w:ascii="Garamond" w:hAnsi="Garamond" w:cs="Garamond"/>
          <w:color w:val="000000"/>
          <w:lang w:eastAsia="sq-AL"/>
        </w:rPr>
        <w:t>.</w:t>
      </w:r>
    </w:p>
    <w:p w14:paraId="168D6949" w14:textId="07B8CEED" w:rsidR="00B6662C" w:rsidRPr="004A47DC" w:rsidRDefault="00B6662C" w:rsidP="00B6662C">
      <w:pPr>
        <w:tabs>
          <w:tab w:val="left" w:pos="9016"/>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3.3</w:t>
      </w:r>
      <w:r w:rsidR="00BE5C3B">
        <w:rPr>
          <w:rFonts w:ascii="Garamond" w:hAnsi="Garamond" w:cs="Garamond"/>
          <w:b/>
          <w:bCs/>
          <w:lang w:eastAsia="sq-AL"/>
        </w:rPr>
        <w:t>:</w:t>
      </w:r>
      <w:r w:rsidRPr="004A47DC">
        <w:rPr>
          <w:rFonts w:ascii="Garamond" w:hAnsi="Garamond" w:cs="Garamond"/>
          <w:b/>
          <w:bCs/>
          <w:lang w:eastAsia="sq-AL"/>
        </w:rPr>
        <w:t xml:space="preserve"> Menaxhimi </w:t>
      </w:r>
      <w:r w:rsidR="004D48B6">
        <w:rPr>
          <w:rFonts w:ascii="Garamond" w:hAnsi="Garamond" w:cs="Garamond"/>
          <w:b/>
          <w:bCs/>
          <w:lang w:eastAsia="sq-AL"/>
        </w:rPr>
        <w:t>d</w:t>
      </w:r>
      <w:r w:rsidRPr="004A47DC">
        <w:rPr>
          <w:rFonts w:ascii="Garamond" w:hAnsi="Garamond" w:cs="Garamond"/>
          <w:b/>
          <w:bCs/>
          <w:lang w:eastAsia="sq-AL"/>
        </w:rPr>
        <w:t>oganor</w:t>
      </w:r>
    </w:p>
    <w:p w14:paraId="39D6A2E4" w14:textId="77777777" w:rsidR="00BE5C3B" w:rsidRDefault="00B6662C" w:rsidP="00B6662C">
      <w:pPr>
        <w:tabs>
          <w:tab w:val="left" w:pos="9016"/>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Një Administratë Doganore efektive e cila ofron shërbime të përmirësuara për qytetarët dhe bizneset dhe funksionon në përputhje me standardet dhe legjislacionin e BE-së.</w:t>
      </w:r>
      <w:r w:rsidR="00BE5C3B">
        <w:rPr>
          <w:rFonts w:ascii="Garamond" w:hAnsi="Garamond" w:cs="Garamond"/>
          <w:lang w:eastAsia="sq-AL"/>
        </w:rPr>
        <w:t xml:space="preserve"> </w:t>
      </w:r>
    </w:p>
    <w:p w14:paraId="6856A6FF" w14:textId="35A5EF35"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w:t>
      </w:r>
      <w:r w:rsidR="00DB1D7E" w:rsidRPr="004A47DC">
        <w:rPr>
          <w:rFonts w:ascii="Garamond" w:hAnsi="Garamond" w:cs="Garamond"/>
          <w:lang w:eastAsia="sq-AL"/>
        </w:rPr>
        <w:t>2023–2026</w:t>
      </w:r>
      <w:r w:rsidRPr="004A47DC">
        <w:rPr>
          <w:rFonts w:ascii="Garamond" w:hAnsi="Garamond" w:cs="Garamond"/>
          <w:lang w:eastAsia="sq-AL"/>
        </w:rPr>
        <w:t>:</w:t>
      </w:r>
    </w:p>
    <w:p w14:paraId="1E3F9274" w14:textId="63BD1F1E"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3.3.1 Modernizimi i proceseve të biznesit dhe menaxhimit të riskut të Administratës Doganore</w:t>
      </w:r>
      <w:r w:rsidR="00BE5C3B">
        <w:rPr>
          <w:rFonts w:ascii="Garamond" w:hAnsi="Garamond" w:cs="Symbol"/>
          <w:color w:val="0070C0"/>
          <w:lang w:eastAsia="sq-AL"/>
        </w:rPr>
        <w:t>;</w:t>
      </w:r>
    </w:p>
    <w:p w14:paraId="08B2E446" w14:textId="3D3052AE"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3.3.2 Zhvillimi i kuadrit të integritetit dhe luftës kundër informalitetit dhe korrupsionit</w:t>
      </w:r>
      <w:r w:rsidR="00BE5C3B">
        <w:rPr>
          <w:rFonts w:ascii="Garamond" w:hAnsi="Garamond" w:cs="Symbol"/>
          <w:color w:val="0070C0"/>
          <w:lang w:eastAsia="sq-AL"/>
        </w:rPr>
        <w:t>;</w:t>
      </w:r>
    </w:p>
    <w:p w14:paraId="6573F63D" w14:textId="00D7A4FB"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3.3.3 Rritja e numrit të Operatorëve Ekonomikë të Autorizuar</w:t>
      </w:r>
      <w:r w:rsidR="00BE5C3B">
        <w:rPr>
          <w:rFonts w:ascii="Garamond" w:hAnsi="Garamond" w:cs="Symbol"/>
          <w:color w:val="0070C0"/>
          <w:lang w:eastAsia="sq-AL"/>
        </w:rPr>
        <w:t>;</w:t>
      </w:r>
    </w:p>
    <w:p w14:paraId="0584D0DF" w14:textId="599EC7C1" w:rsidR="00B6662C" w:rsidRPr="004A47DC" w:rsidRDefault="00B6662C" w:rsidP="00B6662C">
      <w:pPr>
        <w:tabs>
          <w:tab w:val="left" w:pos="9016"/>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 xml:space="preserve">3.3.4 Zbatimi i </w:t>
      </w:r>
      <w:r w:rsidR="00E33A13" w:rsidRPr="004A47DC">
        <w:rPr>
          <w:rFonts w:ascii="Garamond" w:hAnsi="Garamond" w:cs="Garamond"/>
          <w:color w:val="000000"/>
          <w:lang w:eastAsia="sq-AL"/>
        </w:rPr>
        <w:t>“</w:t>
      </w:r>
      <w:r w:rsidR="00BE5C3B" w:rsidRPr="004A47DC">
        <w:rPr>
          <w:rFonts w:ascii="Garamond" w:hAnsi="Garamond" w:cs="Garamond"/>
          <w:color w:val="000000"/>
          <w:lang w:eastAsia="sq-AL"/>
        </w:rPr>
        <w:t xml:space="preserve">Dritares </w:t>
      </w:r>
      <w:r w:rsidRPr="004A47DC">
        <w:rPr>
          <w:rFonts w:ascii="Garamond" w:hAnsi="Garamond" w:cs="Garamond"/>
          <w:color w:val="000000"/>
          <w:lang w:eastAsia="sq-AL"/>
        </w:rPr>
        <w:t>së vetme kombëtare</w:t>
      </w:r>
      <w:r w:rsidR="00E33A13" w:rsidRPr="004A47DC">
        <w:rPr>
          <w:rFonts w:ascii="Garamond" w:hAnsi="Garamond" w:cs="Garamond"/>
          <w:color w:val="000000"/>
          <w:lang w:eastAsia="sq-AL"/>
        </w:rPr>
        <w:t>”</w:t>
      </w:r>
      <w:r w:rsidR="00BE5C3B">
        <w:rPr>
          <w:rFonts w:ascii="Garamond" w:hAnsi="Garamond" w:cs="Symbol"/>
          <w:color w:val="0070C0"/>
          <w:lang w:eastAsia="sq-AL"/>
        </w:rPr>
        <w:t>;</w:t>
      </w:r>
    </w:p>
    <w:p w14:paraId="3A10F438" w14:textId="3C50D0E4" w:rsidR="00DF2DD0" w:rsidRPr="00BE5C3B" w:rsidRDefault="00B6662C" w:rsidP="00BE5C3B">
      <w:pPr>
        <w:tabs>
          <w:tab w:val="left" w:pos="9016"/>
        </w:tabs>
        <w:autoSpaceDE w:val="0"/>
        <w:autoSpaceDN w:val="0"/>
        <w:adjustRightInd w:val="0"/>
        <w:ind w:firstLine="284"/>
        <w:jc w:val="both"/>
        <w:rPr>
          <w:rFonts w:ascii="Garamond" w:hAnsi="Garamond" w:cs="Garamond"/>
          <w:lang w:eastAsia="sq-AL"/>
        </w:rPr>
      </w:pPr>
      <w:r w:rsidRPr="004A47DC">
        <w:rPr>
          <w:rFonts w:ascii="Garamond" w:hAnsi="Garamond" w:cs="Garamond"/>
          <w:color w:val="000000"/>
          <w:lang w:eastAsia="sq-AL"/>
        </w:rPr>
        <w:t>3.3.5 Përmirësimi i përdorimit të Sistemit të Ri të Kompjuterizuar të Transitit</w:t>
      </w:r>
      <w:r w:rsidR="00BE5C3B">
        <w:rPr>
          <w:rFonts w:ascii="Garamond" w:hAnsi="Garamond" w:cs="Garamond"/>
          <w:color w:val="000000"/>
          <w:lang w:eastAsia="sq-AL"/>
        </w:rPr>
        <w:t>.</w:t>
      </w:r>
    </w:p>
    <w:p w14:paraId="2618F20D" w14:textId="7FF14C38" w:rsidR="004719D2" w:rsidRPr="004A47DC" w:rsidRDefault="009F6B08" w:rsidP="009F6B08">
      <w:pPr>
        <w:ind w:firstLine="284"/>
        <w:jc w:val="both"/>
        <w:rPr>
          <w:rFonts w:ascii="Garamond" w:hAnsi="Garamond"/>
          <w:b/>
        </w:rPr>
      </w:pPr>
      <w:bookmarkStart w:id="18" w:name="_Toc12883787"/>
      <w:bookmarkStart w:id="19" w:name="_Toc22732953"/>
      <w:bookmarkStart w:id="20" w:name="_Toc151048294"/>
      <w:bookmarkStart w:id="21" w:name="_Toc168918685"/>
      <w:bookmarkEnd w:id="15"/>
      <w:r w:rsidRPr="004A47DC">
        <w:rPr>
          <w:rFonts w:ascii="Garamond" w:hAnsi="Garamond"/>
          <w:b/>
        </w:rPr>
        <w:t xml:space="preserve">4.2 </w:t>
      </w:r>
      <w:r w:rsidR="004719D2" w:rsidRPr="004A47DC">
        <w:rPr>
          <w:rFonts w:ascii="Garamond" w:hAnsi="Garamond"/>
          <w:b/>
        </w:rPr>
        <w:t>Komponenti 3.1</w:t>
      </w:r>
      <w:r w:rsidR="00BD4D84" w:rsidRPr="004A47DC">
        <w:rPr>
          <w:rFonts w:ascii="Garamond" w:hAnsi="Garamond"/>
          <w:b/>
        </w:rPr>
        <w:t>:</w:t>
      </w:r>
      <w:r w:rsidR="004719D2" w:rsidRPr="004A47DC">
        <w:rPr>
          <w:rFonts w:ascii="Garamond" w:hAnsi="Garamond"/>
          <w:b/>
        </w:rPr>
        <w:t xml:space="preserve"> </w:t>
      </w:r>
      <w:bookmarkEnd w:id="18"/>
      <w:bookmarkEnd w:id="19"/>
      <w:bookmarkEnd w:id="20"/>
      <w:r w:rsidR="004719D2" w:rsidRPr="004A47DC">
        <w:rPr>
          <w:rFonts w:ascii="Garamond" w:hAnsi="Garamond"/>
          <w:b/>
        </w:rPr>
        <w:t>Menaxhimi i taksave</w:t>
      </w:r>
      <w:bookmarkEnd w:id="21"/>
    </w:p>
    <w:p w14:paraId="0401E460" w14:textId="77777777" w:rsidR="004719D2" w:rsidRPr="004A47DC" w:rsidRDefault="004719D2" w:rsidP="009F6B08">
      <w:pPr>
        <w:ind w:firstLine="284"/>
        <w:jc w:val="both"/>
        <w:rPr>
          <w:rFonts w:ascii="Garamond" w:hAnsi="Garamond"/>
          <w:b/>
        </w:rPr>
      </w:pPr>
      <w:r w:rsidRPr="004A47DC">
        <w:rPr>
          <w:rFonts w:ascii="Garamond" w:hAnsi="Garamond"/>
          <w:b/>
        </w:rPr>
        <w:t>Objektivi</w:t>
      </w:r>
    </w:p>
    <w:p w14:paraId="57A2F643" w14:textId="43E34B93" w:rsidR="004719D2" w:rsidRPr="004A47DC" w:rsidRDefault="004719D2" w:rsidP="009F6B08">
      <w:pPr>
        <w:ind w:firstLine="284"/>
        <w:jc w:val="both"/>
        <w:rPr>
          <w:rFonts w:ascii="Garamond" w:hAnsi="Garamond"/>
        </w:rPr>
      </w:pPr>
      <w:r w:rsidRPr="004A47DC">
        <w:rPr>
          <w:rFonts w:ascii="Garamond" w:hAnsi="Garamond"/>
        </w:rPr>
        <w:t>Synimi për vitin 2030 është rritja e mobilizimit të të ardhurave</w:t>
      </w:r>
      <w:r w:rsidR="00BE5C3B">
        <w:rPr>
          <w:rFonts w:ascii="Garamond" w:hAnsi="Garamond"/>
        </w:rPr>
        <w:t>,</w:t>
      </w:r>
      <w:r w:rsidRPr="004A47DC">
        <w:rPr>
          <w:rFonts w:ascii="Garamond" w:hAnsi="Garamond"/>
        </w:rPr>
        <w:t xml:space="preserve"> me synimin për të krijuar hapësirë fiskale për investime dhe zhvillim të qëndrueshëm</w:t>
      </w:r>
      <w:r w:rsidR="00BE5C3B">
        <w:rPr>
          <w:rFonts w:ascii="Garamond" w:hAnsi="Garamond"/>
        </w:rPr>
        <w:t>,</w:t>
      </w:r>
      <w:r w:rsidRPr="004A47DC">
        <w:rPr>
          <w:rFonts w:ascii="Garamond" w:hAnsi="Garamond"/>
        </w:rPr>
        <w:t xml:space="preserve"> nëpërmjet një kombinimi të reformave të politikave tatimore dhe modernizimit të sistemeve administrative; për të siguruar përputhjen me rregulloret e BE-së dhe për të përmirësuar ofrimin e shërbimeve për taksapaguesit. Synimi është që në vitin 2027 do arrihet objektivi i të ardhurave tatimore në masën 27.7% e PBB-së ose +2.5% mbi 2019 si viti bazë.</w:t>
      </w:r>
    </w:p>
    <w:p w14:paraId="04A4C428" w14:textId="77777777" w:rsidR="004719D2" w:rsidRPr="004A47DC" w:rsidRDefault="004719D2" w:rsidP="009F6B08">
      <w:pPr>
        <w:ind w:firstLine="284"/>
        <w:jc w:val="both"/>
        <w:rPr>
          <w:rFonts w:ascii="Garamond" w:hAnsi="Garamond"/>
          <w:b/>
        </w:rPr>
      </w:pPr>
      <w:r w:rsidRPr="004A47DC">
        <w:rPr>
          <w:rFonts w:ascii="Garamond" w:hAnsi="Garamond"/>
          <w:b/>
        </w:rPr>
        <w:t>Konteksti</w:t>
      </w:r>
    </w:p>
    <w:p w14:paraId="4005EF99" w14:textId="134DDAD5" w:rsidR="004719D2" w:rsidRPr="004A47DC" w:rsidRDefault="004719D2" w:rsidP="009F6B08">
      <w:pPr>
        <w:ind w:firstLine="284"/>
        <w:jc w:val="both"/>
        <w:rPr>
          <w:rFonts w:ascii="Garamond" w:hAnsi="Garamond"/>
        </w:rPr>
      </w:pPr>
      <w:r w:rsidRPr="004A47DC">
        <w:rPr>
          <w:rFonts w:ascii="Garamond" w:hAnsi="Garamond"/>
        </w:rPr>
        <w:t>Gjatë viteve të fundit, Drejtoria e Përgjithshme e Tatimeve (DPT) ka zbatuar disa reforma në fushën e menaxhimit të të ardhurave. Këto përfshijnë përmirësime në menaxhimin e pajtueshmërisë së riskut, investimet në sistemet e teknologjisë së informacionit, strukturat organizative dhe transparencën për taksapaguesit</w:t>
      </w:r>
      <w:r w:rsidR="00BE5C3B">
        <w:rPr>
          <w:rFonts w:ascii="Garamond" w:hAnsi="Garamond"/>
        </w:rPr>
        <w:t>,</w:t>
      </w:r>
      <w:r w:rsidRPr="004A47DC">
        <w:rPr>
          <w:rFonts w:ascii="Garamond" w:hAnsi="Garamond"/>
        </w:rPr>
        <w:t xml:space="preserve"> përmes fushatave ndërgjegjësuese, faqeve miqësore të internetit të përdoruesve dhe qendrave të thirrjeve. Formalizimi i ekonomisë ka qenë një fokus kyç dhe nismat e fundit nënvizojnë angazhimin për të rritur aftësitë e autoritetit tatimor. Për të forcuar pajtueshmërinë midis individëve me pasuri të lartë, është krijuar rishtazi një departament i specializuar në DPT. Gjithashtu</w:t>
      </w:r>
      <w:r w:rsidR="00BE5C3B">
        <w:rPr>
          <w:rFonts w:ascii="Garamond" w:hAnsi="Garamond"/>
        </w:rPr>
        <w:t>,</w:t>
      </w:r>
      <w:r w:rsidRPr="004A47DC">
        <w:rPr>
          <w:rFonts w:ascii="Garamond" w:hAnsi="Garamond"/>
        </w:rPr>
        <w:t xml:space="preserve"> në vitin 2022 u finalizua një iniciativë fiskalizimi, që synonte </w:t>
      </w:r>
      <w:r w:rsidR="001415B2" w:rsidRPr="004A47DC">
        <w:rPr>
          <w:rFonts w:ascii="Garamond" w:hAnsi="Garamond"/>
        </w:rPr>
        <w:t>t</w:t>
      </w:r>
      <w:r w:rsidR="00CE6AE5" w:rsidRPr="004A47DC">
        <w:rPr>
          <w:rFonts w:ascii="Garamond" w:hAnsi="Garamond"/>
        </w:rPr>
        <w:t>’</w:t>
      </w:r>
      <w:r w:rsidR="001415B2" w:rsidRPr="004A47DC">
        <w:rPr>
          <w:rFonts w:ascii="Garamond" w:hAnsi="Garamond"/>
        </w:rPr>
        <w:t xml:space="preserve">i </w:t>
      </w:r>
      <w:r w:rsidRPr="004A47DC">
        <w:rPr>
          <w:rFonts w:ascii="Garamond" w:hAnsi="Garamond"/>
        </w:rPr>
        <w:t>jepte DPT-së të dhëna të detyrueshme në kohë reale. Kjo përfshin integrimin e një sistemi të TI-së që kap informacionin e arkës dhe të faturave elektronike. Me synimin rritjen e mobilizimit të të ardhurave dhe përmirësimin e ofrimit të shërbimeve, MF</w:t>
      </w:r>
      <w:r w:rsidR="00BE5C3B">
        <w:rPr>
          <w:rFonts w:ascii="Garamond" w:hAnsi="Garamond"/>
        </w:rPr>
        <w:t>-ja</w:t>
      </w:r>
      <w:r w:rsidRPr="004A47DC">
        <w:rPr>
          <w:rFonts w:ascii="Garamond" w:hAnsi="Garamond"/>
        </w:rPr>
        <w:t xml:space="preserve"> ka zhvilluar dhe zbatuar më shumë se 70% të masave dhe aktiviteteve në politikat tatimore</w:t>
      </w:r>
      <w:r w:rsidR="00BE5C3B">
        <w:rPr>
          <w:rFonts w:ascii="Garamond" w:hAnsi="Garamond"/>
        </w:rPr>
        <w:t>,</w:t>
      </w:r>
      <w:r w:rsidRPr="004A47DC">
        <w:rPr>
          <w:rFonts w:ascii="Garamond" w:hAnsi="Garamond"/>
        </w:rPr>
        <w:t xml:space="preserve"> dhe reformat e administrimit të të ardhurave pjesë të Strategjisë Afatmesme të të Ardhurave 2022</w:t>
      </w:r>
      <w:r w:rsidR="00D70BDE" w:rsidRPr="004A47DC">
        <w:rPr>
          <w:rFonts w:ascii="Garamond" w:hAnsi="Garamond"/>
        </w:rPr>
        <w:t>–</w:t>
      </w:r>
      <w:r w:rsidRPr="004A47DC">
        <w:rPr>
          <w:rFonts w:ascii="Garamond" w:hAnsi="Garamond"/>
        </w:rPr>
        <w:t>2026.</w:t>
      </w:r>
      <w:r w:rsidRPr="004A47DC">
        <w:rPr>
          <w:rFonts w:ascii="Garamond" w:hAnsi="Garamond"/>
          <w:vertAlign w:val="superscript"/>
        </w:rPr>
        <w:footnoteReference w:id="42"/>
      </w:r>
      <w:r w:rsidRPr="004A47DC">
        <w:rPr>
          <w:rFonts w:ascii="Garamond" w:hAnsi="Garamond"/>
          <w:vertAlign w:val="superscript"/>
        </w:rPr>
        <w:t xml:space="preserve"> </w:t>
      </w:r>
    </w:p>
    <w:p w14:paraId="3DF89073" w14:textId="77777777" w:rsidR="004719D2" w:rsidRPr="004A47DC" w:rsidRDefault="004719D2" w:rsidP="009F6B08">
      <w:pPr>
        <w:ind w:firstLine="284"/>
        <w:jc w:val="both"/>
        <w:rPr>
          <w:rFonts w:ascii="Garamond" w:hAnsi="Garamond"/>
          <w:b/>
        </w:rPr>
      </w:pPr>
      <w:r w:rsidRPr="004A47DC">
        <w:rPr>
          <w:rFonts w:ascii="Garamond" w:hAnsi="Garamond"/>
          <w:b/>
        </w:rPr>
        <w:t>Prioritetet</w:t>
      </w:r>
    </w:p>
    <w:p w14:paraId="03CA6399" w14:textId="5BA88FE0" w:rsidR="004719D2" w:rsidRPr="004A47DC" w:rsidRDefault="004719D2" w:rsidP="009F6B08">
      <w:pPr>
        <w:ind w:firstLine="284"/>
        <w:jc w:val="both"/>
        <w:rPr>
          <w:rFonts w:ascii="Garamond" w:hAnsi="Garamond"/>
        </w:rPr>
      </w:pPr>
      <w:r w:rsidRPr="004A47DC">
        <w:rPr>
          <w:rFonts w:ascii="Garamond" w:hAnsi="Garamond"/>
        </w:rPr>
        <w:t xml:space="preserve">Në përputhje me Strategjinë Afatmesme të të Ardhurave (SAA), prioritetet për periudhën </w:t>
      </w:r>
      <w:r w:rsidR="00DB1D7E" w:rsidRPr="004A47DC">
        <w:rPr>
          <w:rFonts w:ascii="Garamond" w:hAnsi="Garamond"/>
        </w:rPr>
        <w:t>2023–2026</w:t>
      </w:r>
      <w:r w:rsidRPr="004A47DC">
        <w:rPr>
          <w:rFonts w:ascii="Garamond" w:hAnsi="Garamond"/>
        </w:rPr>
        <w:t xml:space="preserve"> janë:</w:t>
      </w:r>
    </w:p>
    <w:p w14:paraId="065B9391" w14:textId="6BD6D147"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Miratimi forma</w:t>
      </w:r>
      <w:r w:rsidR="00BE5C3B">
        <w:rPr>
          <w:rFonts w:ascii="Garamond" w:hAnsi="Garamond"/>
        </w:rPr>
        <w:t>l</w:t>
      </w:r>
      <w:r w:rsidR="004719D2" w:rsidRPr="004A47DC">
        <w:rPr>
          <w:rFonts w:ascii="Garamond" w:hAnsi="Garamond"/>
        </w:rPr>
        <w:t xml:space="preserve"> i Strategjisë Afatmesme të të Ardhurave (SAA 2024</w:t>
      </w:r>
      <w:r w:rsidR="00D70BDE" w:rsidRPr="004A47DC">
        <w:rPr>
          <w:rFonts w:ascii="Garamond" w:hAnsi="Garamond"/>
        </w:rPr>
        <w:t>–</w:t>
      </w:r>
      <w:r w:rsidR="004719D2" w:rsidRPr="004A47DC">
        <w:rPr>
          <w:rFonts w:ascii="Garamond" w:hAnsi="Garamond"/>
        </w:rPr>
        <w:t>2027;</w:t>
      </w:r>
    </w:p>
    <w:p w14:paraId="0238D0E2" w14:textId="6D6D175A"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Përmirësimi i kapaciteteve institucionale për të analizuar dhe zhvilluar politikat tatimore dhe për të menaxhuar reformat tatimore</w:t>
      </w:r>
      <w:r w:rsidR="00D70BDE" w:rsidRPr="004A47DC">
        <w:rPr>
          <w:rFonts w:ascii="Garamond" w:hAnsi="Garamond"/>
        </w:rPr>
        <w:t>;</w:t>
      </w:r>
    </w:p>
    <w:p w14:paraId="58B23236" w14:textId="48CF243B"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Ndërmarrja e veprimeve që synojnë reduktimin e hendekut të pajtueshmërisë me TVSH-në;</w:t>
      </w:r>
    </w:p>
    <w:p w14:paraId="473D1FBB" w14:textId="574D3AA1"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Reduktimi i punës së padeklaruar dhe reduktimi i ekonomisë së parasë në dorë;</w:t>
      </w:r>
    </w:p>
    <w:p w14:paraId="0EF718CF" w14:textId="16D3D2DE"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Rritja e taksimit të pasurisë së pajustifikuar brenda dhe jashtë vendit;</w:t>
      </w:r>
    </w:p>
    <w:p w14:paraId="387F88CD" w14:textId="4725F925"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Reduktimi i evazionit fiskal;</w:t>
      </w:r>
    </w:p>
    <w:p w14:paraId="0FB004E1" w14:textId="1142B4FD" w:rsidR="004719D2" w:rsidRPr="004A47DC" w:rsidRDefault="009F6B08" w:rsidP="009F6B08">
      <w:pPr>
        <w:ind w:firstLine="284"/>
        <w:jc w:val="both"/>
        <w:rPr>
          <w:rFonts w:ascii="Garamond" w:hAnsi="Garamond"/>
        </w:rPr>
      </w:pPr>
      <w:r w:rsidRPr="004A47DC">
        <w:rPr>
          <w:rFonts w:ascii="Garamond" w:hAnsi="Garamond"/>
        </w:rPr>
        <w:t xml:space="preserve">- </w:t>
      </w:r>
      <w:r w:rsidR="004719D2" w:rsidRPr="004A47DC">
        <w:rPr>
          <w:rFonts w:ascii="Garamond" w:hAnsi="Garamond"/>
        </w:rPr>
        <w:t>Ulja e kostos së pajtueshmërisë dhe përmirësimi i ofrimit të shërbimeve nëpërmjet zhvillimit të kapaciteteve institucionale të administratës tatimore.</w:t>
      </w:r>
    </w:p>
    <w:p w14:paraId="6EB7EE7F" w14:textId="77777777" w:rsidR="004719D2" w:rsidRPr="004A47DC" w:rsidRDefault="004719D2" w:rsidP="004719D2">
      <w:pPr>
        <w:autoSpaceDE w:val="0"/>
        <w:autoSpaceDN w:val="0"/>
        <w:adjustRightInd w:val="0"/>
        <w:rPr>
          <w:rFonts w:ascii="Garamond" w:hAnsi="Garamond" w:cs="Segoe UI"/>
          <w:color w:val="000000" w:themeColor="text1"/>
          <w:sz w:val="20"/>
          <w:szCs w:val="20"/>
        </w:rPr>
      </w:pPr>
    </w:p>
    <w:p w14:paraId="5082D8A8" w14:textId="77777777" w:rsidR="0078279A" w:rsidRDefault="0078279A" w:rsidP="004719D2">
      <w:pPr>
        <w:pStyle w:val="H5"/>
        <w:spacing w:after="0" w:line="240" w:lineRule="auto"/>
        <w:rPr>
          <w:rFonts w:ascii="Garamond" w:hAnsi="Garamond"/>
          <w:color w:val="000000" w:themeColor="text1"/>
          <w:sz w:val="24"/>
        </w:rPr>
      </w:pPr>
    </w:p>
    <w:p w14:paraId="21457846" w14:textId="7FDCB118"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Masat dhe aktivitetet</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594"/>
        <w:gridCol w:w="4147"/>
        <w:gridCol w:w="595"/>
        <w:gridCol w:w="706"/>
        <w:gridCol w:w="1019"/>
      </w:tblGrid>
      <w:tr w:rsidR="004719D2" w:rsidRPr="004A47DC" w14:paraId="60C71150" w14:textId="77777777" w:rsidTr="00D70BDE">
        <w:trPr>
          <w:trHeight w:val="182"/>
          <w:tblHeader/>
        </w:trPr>
        <w:tc>
          <w:tcPr>
            <w:tcW w:w="0" w:type="auto"/>
            <w:shd w:val="clear" w:color="auto" w:fill="auto"/>
            <w:vAlign w:val="center"/>
          </w:tcPr>
          <w:p w14:paraId="0123CBE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0" w:type="auto"/>
            <w:shd w:val="clear" w:color="auto" w:fill="auto"/>
            <w:vAlign w:val="center"/>
          </w:tcPr>
          <w:p w14:paraId="555238C7"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0" w:type="auto"/>
            <w:shd w:val="clear" w:color="auto" w:fill="auto"/>
            <w:vAlign w:val="center"/>
          </w:tcPr>
          <w:p w14:paraId="4E591EA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0" w:type="auto"/>
            <w:shd w:val="clear" w:color="auto" w:fill="auto"/>
            <w:vAlign w:val="center"/>
          </w:tcPr>
          <w:p w14:paraId="4BF9FBB5"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0" w:type="auto"/>
            <w:shd w:val="clear" w:color="auto" w:fill="auto"/>
            <w:vAlign w:val="center"/>
          </w:tcPr>
          <w:p w14:paraId="503A1F14"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48CD1166" w14:textId="77777777" w:rsidTr="00D70BDE">
        <w:trPr>
          <w:trHeight w:val="20"/>
        </w:trPr>
        <w:tc>
          <w:tcPr>
            <w:tcW w:w="0" w:type="auto"/>
            <w:vMerge w:val="restart"/>
            <w:shd w:val="clear" w:color="auto" w:fill="auto"/>
          </w:tcPr>
          <w:p w14:paraId="4FF01C1A" w14:textId="6563292B"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3.1.1 Miratimi i Strategjisë Afatmesme të të Ardhurave 2024</w:t>
            </w:r>
            <w:r w:rsidR="00D70BDE" w:rsidRPr="004A47DC">
              <w:rPr>
                <w:rFonts w:ascii="Garamond" w:hAnsi="Garamond"/>
                <w:color w:val="000000" w:themeColor="text1"/>
              </w:rPr>
              <w:t>–</w:t>
            </w:r>
            <w:r w:rsidRPr="004A47DC">
              <w:rPr>
                <w:rFonts w:ascii="Garamond" w:hAnsi="Garamond"/>
                <w:color w:val="000000" w:themeColor="text1"/>
              </w:rPr>
              <w:t>2027</w:t>
            </w:r>
          </w:p>
        </w:tc>
        <w:tc>
          <w:tcPr>
            <w:tcW w:w="0" w:type="auto"/>
            <w:shd w:val="clear" w:color="auto" w:fill="auto"/>
            <w:vAlign w:val="center"/>
          </w:tcPr>
          <w:p w14:paraId="4972FCD1" w14:textId="69F01B95" w:rsidR="004719D2" w:rsidRPr="004A47DC" w:rsidRDefault="004719D2" w:rsidP="00732B6D">
            <w:pPr>
              <w:pStyle w:val="T-number"/>
              <w:numPr>
                <w:ilvl w:val="0"/>
                <w:numId w:val="29"/>
              </w:numPr>
              <w:spacing w:line="240" w:lineRule="auto"/>
              <w:ind w:left="194" w:hanging="194"/>
              <w:rPr>
                <w:rFonts w:ascii="Garamond" w:hAnsi="Garamond"/>
                <w:color w:val="000000" w:themeColor="text1"/>
                <w:lang w:val="sq-AL"/>
              </w:rPr>
            </w:pPr>
            <w:r w:rsidRPr="004A47DC">
              <w:rPr>
                <w:rFonts w:ascii="Garamond" w:hAnsi="Garamond"/>
                <w:color w:val="000000" w:themeColor="text1"/>
                <w:lang w:val="sq-AL"/>
              </w:rPr>
              <w:t>Krijimi i Grupit të Punës për draftimin e SAA</w:t>
            </w:r>
            <w:r w:rsidR="000A0A75">
              <w:rPr>
                <w:rFonts w:ascii="Garamond" w:hAnsi="Garamond"/>
                <w:color w:val="000000" w:themeColor="text1"/>
                <w:lang w:val="sq-AL"/>
              </w:rPr>
              <w:t>-së.</w:t>
            </w:r>
          </w:p>
        </w:tc>
        <w:tc>
          <w:tcPr>
            <w:tcW w:w="0" w:type="auto"/>
            <w:shd w:val="clear" w:color="auto" w:fill="auto"/>
            <w:vAlign w:val="center"/>
          </w:tcPr>
          <w:p w14:paraId="5B59C2EE"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0" w:type="auto"/>
            <w:shd w:val="clear" w:color="auto" w:fill="auto"/>
            <w:vAlign w:val="center"/>
          </w:tcPr>
          <w:p w14:paraId="1D97F89C"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vMerge w:val="restart"/>
            <w:shd w:val="clear" w:color="auto" w:fill="auto"/>
          </w:tcPr>
          <w:p w14:paraId="6A292B79" w14:textId="77777777" w:rsidR="004719D2" w:rsidRPr="000A0A75" w:rsidRDefault="004719D2" w:rsidP="00CF7CEC">
            <w:pPr>
              <w:rPr>
                <w:rFonts w:ascii="Garamond" w:hAnsi="Garamond"/>
                <w:bCs/>
                <w:color w:val="000000" w:themeColor="text1"/>
                <w:sz w:val="16"/>
                <w:szCs w:val="16"/>
              </w:rPr>
            </w:pPr>
            <w:r w:rsidRPr="000A0A75">
              <w:rPr>
                <w:rFonts w:ascii="Garamond" w:hAnsi="Garamond"/>
                <w:bCs/>
                <w:color w:val="000000" w:themeColor="text1"/>
                <w:sz w:val="16"/>
                <w:szCs w:val="16"/>
              </w:rPr>
              <w:t>MF/ DPT/DPD</w:t>
            </w:r>
          </w:p>
          <w:p w14:paraId="4875A0A4" w14:textId="77777777" w:rsidR="004719D2" w:rsidRPr="004A47DC" w:rsidRDefault="004719D2" w:rsidP="00CF7CEC">
            <w:pPr>
              <w:rPr>
                <w:rFonts w:ascii="Garamond" w:hAnsi="Garamond"/>
                <w:b/>
                <w:bCs/>
                <w:color w:val="000000" w:themeColor="text1"/>
                <w:sz w:val="16"/>
                <w:szCs w:val="16"/>
              </w:rPr>
            </w:pPr>
          </w:p>
          <w:p w14:paraId="63A08BB1"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211BF685" w14:textId="3DCF7159" w:rsidR="004719D2" w:rsidRPr="000A0A75" w:rsidRDefault="004719D2" w:rsidP="00CF7CEC">
            <w:pPr>
              <w:rPr>
                <w:rFonts w:ascii="Garamond" w:hAnsi="Garamond"/>
                <w:color w:val="000000" w:themeColor="text1"/>
                <w:sz w:val="16"/>
                <w:szCs w:val="16"/>
              </w:rPr>
            </w:pPr>
            <w:r w:rsidRPr="000A0A75">
              <w:rPr>
                <w:rFonts w:ascii="Garamond" w:hAnsi="Garamond"/>
                <w:bCs/>
                <w:color w:val="000000" w:themeColor="text1"/>
                <w:sz w:val="16"/>
                <w:szCs w:val="16"/>
              </w:rPr>
              <w:t>FMN</w:t>
            </w:r>
            <w:r w:rsidR="000A0A75">
              <w:rPr>
                <w:rFonts w:ascii="Garamond" w:hAnsi="Garamond"/>
                <w:bCs/>
                <w:color w:val="000000" w:themeColor="text1"/>
                <w:sz w:val="16"/>
                <w:szCs w:val="16"/>
              </w:rPr>
              <w:t>-ja</w:t>
            </w:r>
          </w:p>
        </w:tc>
      </w:tr>
      <w:tr w:rsidR="004719D2" w:rsidRPr="004A47DC" w14:paraId="65948AFC" w14:textId="77777777" w:rsidTr="00D70BDE">
        <w:trPr>
          <w:trHeight w:val="455"/>
        </w:trPr>
        <w:tc>
          <w:tcPr>
            <w:tcW w:w="0" w:type="auto"/>
            <w:vMerge/>
            <w:shd w:val="clear" w:color="auto" w:fill="auto"/>
          </w:tcPr>
          <w:p w14:paraId="7E216206" w14:textId="77777777" w:rsidR="004719D2" w:rsidRPr="004A47DC" w:rsidRDefault="004719D2" w:rsidP="00CF7CEC">
            <w:pPr>
              <w:pStyle w:val="T-bold"/>
              <w:spacing w:line="240" w:lineRule="auto"/>
              <w:rPr>
                <w:rFonts w:ascii="Garamond" w:hAnsi="Garamond"/>
                <w:color w:val="000000" w:themeColor="text1"/>
              </w:rPr>
            </w:pPr>
          </w:p>
        </w:tc>
        <w:tc>
          <w:tcPr>
            <w:tcW w:w="0" w:type="auto"/>
            <w:shd w:val="clear" w:color="auto" w:fill="auto"/>
            <w:vAlign w:val="center"/>
          </w:tcPr>
          <w:p w14:paraId="61BA7691" w14:textId="4D0DA38F" w:rsidR="004719D2" w:rsidRPr="004A47DC" w:rsidRDefault="004719D2" w:rsidP="00732B6D">
            <w:pPr>
              <w:pStyle w:val="T-number"/>
              <w:numPr>
                <w:ilvl w:val="0"/>
                <w:numId w:val="29"/>
              </w:numPr>
              <w:spacing w:line="240" w:lineRule="auto"/>
              <w:ind w:left="194" w:hanging="194"/>
              <w:rPr>
                <w:rFonts w:ascii="Garamond" w:hAnsi="Garamond"/>
                <w:color w:val="000000" w:themeColor="text1"/>
                <w:lang w:val="sq-AL"/>
              </w:rPr>
            </w:pPr>
            <w:r w:rsidRPr="004A47DC">
              <w:rPr>
                <w:rFonts w:ascii="Garamond" w:hAnsi="Garamond"/>
                <w:color w:val="000000" w:themeColor="text1"/>
                <w:lang w:val="sq-AL"/>
              </w:rPr>
              <w:t>Miratimi zyrtar i SAA</w:t>
            </w:r>
            <w:r w:rsidR="000A0A75">
              <w:rPr>
                <w:rFonts w:ascii="Garamond" w:hAnsi="Garamond"/>
                <w:color w:val="000000" w:themeColor="text1"/>
                <w:lang w:val="sq-AL"/>
              </w:rPr>
              <w:t>-së.</w:t>
            </w:r>
          </w:p>
        </w:tc>
        <w:tc>
          <w:tcPr>
            <w:tcW w:w="0" w:type="auto"/>
            <w:shd w:val="clear" w:color="auto" w:fill="auto"/>
            <w:vAlign w:val="center"/>
          </w:tcPr>
          <w:p w14:paraId="4963723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p w14:paraId="07218425" w14:textId="77777777" w:rsidR="004719D2" w:rsidRPr="004A47DC" w:rsidRDefault="004719D2" w:rsidP="00CF7CEC">
            <w:pPr>
              <w:jc w:val="center"/>
              <w:rPr>
                <w:rFonts w:ascii="Garamond" w:hAnsi="Garamond"/>
                <w:color w:val="000000" w:themeColor="text1"/>
                <w:sz w:val="16"/>
                <w:szCs w:val="16"/>
              </w:rPr>
            </w:pPr>
          </w:p>
        </w:tc>
        <w:tc>
          <w:tcPr>
            <w:tcW w:w="0" w:type="auto"/>
            <w:shd w:val="clear" w:color="auto" w:fill="auto"/>
            <w:vAlign w:val="center"/>
          </w:tcPr>
          <w:p w14:paraId="2BD742F4"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T4.2024</w:t>
            </w:r>
          </w:p>
        </w:tc>
        <w:tc>
          <w:tcPr>
            <w:tcW w:w="0" w:type="auto"/>
            <w:vMerge/>
            <w:shd w:val="clear" w:color="auto" w:fill="auto"/>
          </w:tcPr>
          <w:p w14:paraId="7C30575D" w14:textId="77777777" w:rsidR="004719D2" w:rsidRPr="004A47DC" w:rsidRDefault="004719D2" w:rsidP="00CF7CEC">
            <w:pPr>
              <w:rPr>
                <w:rFonts w:ascii="Garamond" w:hAnsi="Garamond"/>
                <w:b/>
                <w:bCs/>
                <w:color w:val="000000" w:themeColor="text1"/>
                <w:sz w:val="16"/>
                <w:szCs w:val="16"/>
              </w:rPr>
            </w:pPr>
          </w:p>
        </w:tc>
      </w:tr>
      <w:tr w:rsidR="004719D2" w:rsidRPr="004A47DC" w14:paraId="12331774" w14:textId="77777777" w:rsidTr="00D70BDE">
        <w:trPr>
          <w:trHeight w:val="20"/>
        </w:trPr>
        <w:tc>
          <w:tcPr>
            <w:tcW w:w="0" w:type="auto"/>
            <w:shd w:val="clear" w:color="auto" w:fill="auto"/>
          </w:tcPr>
          <w:p w14:paraId="0EA4DDA9"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3.1.2 Rritja e kapaciteteve institucionale për të analizuar dhe zhvilluar politikat tatimore dhe për të menaxhuar reformat tatimore </w:t>
            </w:r>
          </w:p>
        </w:tc>
        <w:tc>
          <w:tcPr>
            <w:tcW w:w="0" w:type="auto"/>
            <w:vAlign w:val="center"/>
          </w:tcPr>
          <w:p w14:paraId="65D85663" w14:textId="77777777" w:rsidR="004719D2" w:rsidRPr="004A47DC" w:rsidRDefault="004719D2" w:rsidP="00732B6D">
            <w:pPr>
              <w:pStyle w:val="T-number"/>
              <w:numPr>
                <w:ilvl w:val="0"/>
                <w:numId w:val="28"/>
              </w:numPr>
              <w:spacing w:line="240" w:lineRule="auto"/>
              <w:ind w:left="194" w:hanging="194"/>
              <w:rPr>
                <w:rFonts w:ascii="Garamond" w:hAnsi="Garamond"/>
                <w:color w:val="000000" w:themeColor="text1"/>
                <w:lang w:val="sq-AL"/>
              </w:rPr>
            </w:pPr>
            <w:r w:rsidRPr="004A47DC">
              <w:rPr>
                <w:rFonts w:ascii="Garamond" w:hAnsi="Garamond"/>
                <w:color w:val="000000" w:themeColor="text1"/>
                <w:lang w:val="sq-AL"/>
              </w:rPr>
              <w:t xml:space="preserve">Zhvillimi dhe </w:t>
            </w:r>
            <w:r w:rsidRPr="004A47DC">
              <w:rPr>
                <w:rStyle w:val="rynqvb"/>
                <w:rFonts w:ascii="Garamond" w:hAnsi="Garamond"/>
                <w:color w:val="000000" w:themeColor="text1"/>
                <w:lang w:val="sq-AL"/>
              </w:rPr>
              <w:t>zbatimi i ngritjes së kapaciteteve për analizën dhe vlerësimin e politikave tatimore.</w:t>
            </w:r>
          </w:p>
        </w:tc>
        <w:tc>
          <w:tcPr>
            <w:tcW w:w="0" w:type="auto"/>
            <w:shd w:val="clear" w:color="auto" w:fill="auto"/>
            <w:vAlign w:val="center"/>
          </w:tcPr>
          <w:p w14:paraId="3777046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0" w:type="auto"/>
            <w:shd w:val="clear" w:color="auto" w:fill="auto"/>
            <w:vAlign w:val="center"/>
          </w:tcPr>
          <w:p w14:paraId="6BF1E27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tcPr>
          <w:p w14:paraId="3989449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62196DEF" w14:textId="7EB7FDCB"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DPPT</w:t>
            </w:r>
            <w:r w:rsidR="000A0A75">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049B4730" w14:textId="77777777" w:rsidR="004719D2" w:rsidRPr="004A47DC" w:rsidRDefault="004719D2" w:rsidP="00CF7CEC">
            <w:pPr>
              <w:rPr>
                <w:rFonts w:ascii="Garamond" w:hAnsi="Garamond"/>
                <w:b/>
                <w:bCs/>
                <w:color w:val="000000" w:themeColor="text1"/>
                <w:sz w:val="16"/>
                <w:szCs w:val="16"/>
              </w:rPr>
            </w:pPr>
          </w:p>
          <w:p w14:paraId="5406BC5A"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2174A037" w14:textId="73905253" w:rsidR="004719D2" w:rsidRPr="004A47DC" w:rsidRDefault="004719D2" w:rsidP="00CF7CEC">
            <w:pPr>
              <w:rPr>
                <w:rFonts w:ascii="Garamond" w:hAnsi="Garamond"/>
                <w:b/>
                <w:bCs/>
                <w:color w:val="000000" w:themeColor="text1"/>
                <w:sz w:val="16"/>
                <w:szCs w:val="16"/>
              </w:rPr>
            </w:pPr>
            <w:r w:rsidRPr="004A47DC">
              <w:rPr>
                <w:rFonts w:ascii="Garamond" w:hAnsi="Garamond"/>
                <w:color w:val="000000" w:themeColor="text1"/>
                <w:sz w:val="16"/>
                <w:szCs w:val="16"/>
              </w:rPr>
              <w:t>FMN</w:t>
            </w:r>
            <w:r w:rsidR="000A0A75">
              <w:rPr>
                <w:rFonts w:ascii="Garamond" w:hAnsi="Garamond"/>
                <w:bCs/>
                <w:color w:val="000000" w:themeColor="text1"/>
                <w:sz w:val="16"/>
                <w:szCs w:val="16"/>
              </w:rPr>
              <w:t>-ja</w:t>
            </w:r>
          </w:p>
        </w:tc>
      </w:tr>
      <w:tr w:rsidR="004719D2" w:rsidRPr="004A47DC" w14:paraId="32698E98" w14:textId="77777777" w:rsidTr="00D70BDE">
        <w:trPr>
          <w:trHeight w:val="20"/>
        </w:trPr>
        <w:tc>
          <w:tcPr>
            <w:tcW w:w="0" w:type="auto"/>
            <w:vMerge w:val="restart"/>
          </w:tcPr>
          <w:p w14:paraId="4D177CD4"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3.1.3 Zhvillimi dhe zbatimi i iniciativave për të reduktuar hendekun e pajtueshmërisë me TVSH-në</w:t>
            </w:r>
          </w:p>
          <w:p w14:paraId="191CB9FE" w14:textId="77777777" w:rsidR="004719D2" w:rsidRPr="004A47DC" w:rsidRDefault="004719D2" w:rsidP="00CF7CEC">
            <w:pPr>
              <w:pStyle w:val="T-bold"/>
              <w:spacing w:line="240" w:lineRule="auto"/>
              <w:rPr>
                <w:rFonts w:ascii="Garamond" w:hAnsi="Garamond"/>
                <w:color w:val="000000" w:themeColor="text1"/>
              </w:rPr>
            </w:pPr>
          </w:p>
        </w:tc>
        <w:tc>
          <w:tcPr>
            <w:tcW w:w="0" w:type="auto"/>
            <w:tcBorders>
              <w:bottom w:val="single" w:sz="4" w:space="0" w:color="auto"/>
            </w:tcBorders>
            <w:vAlign w:val="center"/>
          </w:tcPr>
          <w:p w14:paraId="7E180B1A" w14:textId="3329DE43" w:rsidR="004719D2" w:rsidRPr="004A47DC" w:rsidRDefault="004719D2" w:rsidP="00732B6D">
            <w:pPr>
              <w:pStyle w:val="T-number"/>
              <w:numPr>
                <w:ilvl w:val="0"/>
                <w:numId w:val="3"/>
              </w:numPr>
              <w:spacing w:line="240" w:lineRule="auto"/>
              <w:ind w:left="194" w:hanging="194"/>
              <w:rPr>
                <w:rFonts w:ascii="Garamond" w:hAnsi="Garamond"/>
                <w:color w:val="000000" w:themeColor="text1"/>
                <w:lang w:val="sq-AL"/>
              </w:rPr>
            </w:pPr>
            <w:r w:rsidRPr="004A47DC">
              <w:rPr>
                <w:rFonts w:ascii="Garamond" w:hAnsi="Garamond"/>
                <w:color w:val="000000" w:themeColor="text1"/>
                <w:lang w:val="sq-AL"/>
              </w:rPr>
              <w:t>Përmirësimi i qasjeve të menaxhimit të riskut për sektorët e identifikuar si me risk të lartë</w:t>
            </w:r>
            <w:r w:rsidR="000A0A75">
              <w:rPr>
                <w:rFonts w:ascii="Garamond" w:hAnsi="Garamond"/>
                <w:color w:val="000000" w:themeColor="text1"/>
                <w:lang w:val="sq-AL"/>
              </w:rPr>
              <w:t>.</w:t>
            </w:r>
          </w:p>
        </w:tc>
        <w:tc>
          <w:tcPr>
            <w:tcW w:w="0" w:type="auto"/>
            <w:tcBorders>
              <w:bottom w:val="single" w:sz="4" w:space="0" w:color="auto"/>
            </w:tcBorders>
            <w:shd w:val="clear" w:color="auto" w:fill="auto"/>
            <w:vAlign w:val="center"/>
          </w:tcPr>
          <w:p w14:paraId="7B6EEFB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0" w:type="auto"/>
            <w:tcBorders>
              <w:bottom w:val="single" w:sz="4" w:space="0" w:color="auto"/>
            </w:tcBorders>
            <w:shd w:val="clear" w:color="auto" w:fill="auto"/>
            <w:vAlign w:val="center"/>
          </w:tcPr>
          <w:p w14:paraId="69EFF2E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val="restart"/>
          </w:tcPr>
          <w:p w14:paraId="3546B8F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75330A9C" w14:textId="02B3247B"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DPT</w:t>
            </w:r>
            <w:r w:rsidR="000A0A75">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422B00ED" w14:textId="77777777" w:rsidR="004719D2" w:rsidRPr="004A47DC" w:rsidRDefault="004719D2" w:rsidP="00CF7CEC">
            <w:pPr>
              <w:rPr>
                <w:rFonts w:ascii="Garamond" w:hAnsi="Garamond"/>
                <w:b/>
                <w:bCs/>
                <w:color w:val="000000" w:themeColor="text1"/>
                <w:sz w:val="16"/>
                <w:szCs w:val="16"/>
              </w:rPr>
            </w:pPr>
          </w:p>
          <w:p w14:paraId="06CF607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5CB54D76" w14:textId="2D8B2C92"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FMN</w:t>
            </w:r>
            <w:r w:rsidR="000A0A75">
              <w:rPr>
                <w:rFonts w:ascii="Garamond" w:hAnsi="Garamond"/>
                <w:bCs/>
                <w:color w:val="000000" w:themeColor="text1"/>
                <w:sz w:val="16"/>
                <w:szCs w:val="16"/>
              </w:rPr>
              <w:t>-ja</w:t>
            </w:r>
          </w:p>
        </w:tc>
      </w:tr>
      <w:tr w:rsidR="004719D2" w:rsidRPr="004A47DC" w14:paraId="227DDD7D" w14:textId="77777777" w:rsidTr="00D70BDE">
        <w:trPr>
          <w:trHeight w:val="20"/>
        </w:trPr>
        <w:tc>
          <w:tcPr>
            <w:tcW w:w="0" w:type="auto"/>
            <w:vMerge/>
          </w:tcPr>
          <w:p w14:paraId="1690382F" w14:textId="77777777" w:rsidR="004719D2" w:rsidRPr="004A47DC" w:rsidRDefault="004719D2" w:rsidP="00CF7CEC">
            <w:pPr>
              <w:pStyle w:val="T-bold"/>
              <w:spacing w:line="240" w:lineRule="auto"/>
              <w:rPr>
                <w:rFonts w:ascii="Garamond" w:hAnsi="Garamond"/>
                <w:color w:val="000000" w:themeColor="text1"/>
              </w:rPr>
            </w:pPr>
          </w:p>
        </w:tc>
        <w:tc>
          <w:tcPr>
            <w:tcW w:w="0" w:type="auto"/>
            <w:tcBorders>
              <w:bottom w:val="single" w:sz="4" w:space="0" w:color="auto"/>
            </w:tcBorders>
            <w:vAlign w:val="center"/>
          </w:tcPr>
          <w:p w14:paraId="35C82A2F" w14:textId="4D3B70BC" w:rsidR="004719D2" w:rsidRPr="004A47DC" w:rsidRDefault="004719D2" w:rsidP="0020480D">
            <w:pPr>
              <w:pStyle w:val="T-number"/>
              <w:spacing w:line="240" w:lineRule="auto"/>
              <w:ind w:left="194" w:hanging="194"/>
              <w:rPr>
                <w:rFonts w:ascii="Garamond" w:hAnsi="Garamond"/>
                <w:color w:val="000000" w:themeColor="text1"/>
                <w:lang w:val="sq-AL"/>
              </w:rPr>
            </w:pPr>
            <w:r w:rsidRPr="004A47DC">
              <w:rPr>
                <w:rFonts w:ascii="Garamond" w:hAnsi="Garamond"/>
                <w:color w:val="000000" w:themeColor="text1"/>
                <w:lang w:val="sq-AL"/>
              </w:rPr>
              <w:t xml:space="preserve">Përdorimi i sistemit të </w:t>
            </w:r>
            <w:r w:rsidR="000A0A75">
              <w:rPr>
                <w:rFonts w:ascii="Garamond" w:hAnsi="Garamond"/>
                <w:color w:val="000000" w:themeColor="text1"/>
                <w:lang w:val="sq-AL"/>
              </w:rPr>
              <w:t>f</w:t>
            </w:r>
            <w:r w:rsidRPr="004A47DC">
              <w:rPr>
                <w:rFonts w:ascii="Garamond" w:hAnsi="Garamond"/>
                <w:color w:val="000000" w:themeColor="text1"/>
                <w:lang w:val="sq-AL"/>
              </w:rPr>
              <w:t>iskalizimit për maksimizimin e të ardhurave nga TVSH-ja</w:t>
            </w:r>
            <w:r w:rsidR="000A0A75">
              <w:rPr>
                <w:rFonts w:ascii="Garamond" w:hAnsi="Garamond"/>
                <w:color w:val="000000" w:themeColor="text1"/>
                <w:lang w:val="sq-AL"/>
              </w:rPr>
              <w:t>.</w:t>
            </w:r>
          </w:p>
        </w:tc>
        <w:tc>
          <w:tcPr>
            <w:tcW w:w="0" w:type="auto"/>
            <w:tcBorders>
              <w:bottom w:val="single" w:sz="4" w:space="0" w:color="auto"/>
            </w:tcBorders>
            <w:shd w:val="clear" w:color="auto" w:fill="auto"/>
            <w:vAlign w:val="center"/>
          </w:tcPr>
          <w:p w14:paraId="5B070F0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T12023</w:t>
            </w:r>
          </w:p>
        </w:tc>
        <w:tc>
          <w:tcPr>
            <w:tcW w:w="0" w:type="auto"/>
            <w:tcBorders>
              <w:bottom w:val="single" w:sz="4" w:space="0" w:color="auto"/>
            </w:tcBorders>
            <w:shd w:val="clear" w:color="auto" w:fill="auto"/>
            <w:vAlign w:val="center"/>
          </w:tcPr>
          <w:p w14:paraId="38D7B9E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Pr>
          <w:p w14:paraId="4704E97B" w14:textId="77777777" w:rsidR="004719D2" w:rsidRPr="004A47DC" w:rsidRDefault="004719D2" w:rsidP="00CF7CEC">
            <w:pPr>
              <w:rPr>
                <w:rFonts w:ascii="Garamond" w:hAnsi="Garamond"/>
                <w:color w:val="000000" w:themeColor="text1"/>
                <w:sz w:val="16"/>
                <w:szCs w:val="16"/>
              </w:rPr>
            </w:pPr>
          </w:p>
        </w:tc>
      </w:tr>
      <w:tr w:rsidR="004719D2" w:rsidRPr="004A47DC" w14:paraId="5F6B3FD3" w14:textId="77777777" w:rsidTr="00D70BDE">
        <w:trPr>
          <w:trHeight w:val="405"/>
        </w:trPr>
        <w:tc>
          <w:tcPr>
            <w:tcW w:w="0" w:type="auto"/>
          </w:tcPr>
          <w:p w14:paraId="51A6DB07"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3.1.4 Zhvillimi dhe zbatimi i një qasjeje të integruar për të reduktuar punën e padeklaruar </w:t>
            </w:r>
          </w:p>
          <w:p w14:paraId="092D747D" w14:textId="77777777" w:rsidR="004719D2" w:rsidRPr="004A47DC" w:rsidRDefault="004719D2" w:rsidP="00CF7CEC">
            <w:pPr>
              <w:pStyle w:val="T-bold"/>
              <w:spacing w:line="240" w:lineRule="auto"/>
              <w:rPr>
                <w:rFonts w:ascii="Garamond" w:hAnsi="Garamond"/>
                <w:color w:val="000000" w:themeColor="text1"/>
              </w:rPr>
            </w:pPr>
          </w:p>
        </w:tc>
        <w:tc>
          <w:tcPr>
            <w:tcW w:w="0" w:type="auto"/>
            <w:tcBorders>
              <w:bottom w:val="single" w:sz="4" w:space="0" w:color="auto"/>
            </w:tcBorders>
            <w:vAlign w:val="center"/>
          </w:tcPr>
          <w:p w14:paraId="2FDA83D4" w14:textId="52A9791A" w:rsidR="004719D2" w:rsidRPr="004A47DC" w:rsidRDefault="0078279A" w:rsidP="0078279A">
            <w:pPr>
              <w:pStyle w:val="T-number"/>
              <w:numPr>
                <w:ilvl w:val="0"/>
                <w:numId w:val="0"/>
              </w:numPr>
              <w:spacing w:line="240" w:lineRule="auto"/>
              <w:rPr>
                <w:rFonts w:ascii="Garamond" w:hAnsi="Garamond"/>
                <w:color w:val="000000" w:themeColor="text1"/>
                <w:lang w:val="sq-AL"/>
              </w:rPr>
            </w:pPr>
            <w:r>
              <w:rPr>
                <w:rFonts w:ascii="Garamond" w:hAnsi="Garamond"/>
                <w:color w:val="000000" w:themeColor="text1"/>
                <w:lang w:val="sq-AL"/>
              </w:rPr>
              <w:t xml:space="preserve">1. </w:t>
            </w:r>
            <w:r w:rsidR="004719D2" w:rsidRPr="004A47DC">
              <w:rPr>
                <w:rFonts w:ascii="Garamond" w:hAnsi="Garamond"/>
                <w:color w:val="000000" w:themeColor="text1"/>
                <w:lang w:val="sq-AL"/>
              </w:rPr>
              <w:t>Forcimi i dispozitave ligjore për sanksionet për kundërvajtjet që lidhen me punëtorët e padeklaruar dhe nëndeklarimet</w:t>
            </w:r>
            <w:r w:rsidR="000A0A75">
              <w:rPr>
                <w:rFonts w:ascii="Garamond" w:hAnsi="Garamond"/>
                <w:color w:val="000000" w:themeColor="text1"/>
                <w:lang w:val="sq-AL"/>
              </w:rPr>
              <w:t>.</w:t>
            </w:r>
          </w:p>
        </w:tc>
        <w:tc>
          <w:tcPr>
            <w:tcW w:w="0" w:type="auto"/>
            <w:tcBorders>
              <w:bottom w:val="single" w:sz="4" w:space="0" w:color="auto"/>
            </w:tcBorders>
            <w:shd w:val="clear" w:color="auto" w:fill="auto"/>
            <w:vAlign w:val="center"/>
          </w:tcPr>
          <w:p w14:paraId="6D001A2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T12023</w:t>
            </w:r>
          </w:p>
        </w:tc>
        <w:tc>
          <w:tcPr>
            <w:tcW w:w="0" w:type="auto"/>
            <w:tcBorders>
              <w:bottom w:val="single" w:sz="4" w:space="0" w:color="auto"/>
            </w:tcBorders>
            <w:shd w:val="clear" w:color="auto" w:fill="auto"/>
            <w:vAlign w:val="center"/>
          </w:tcPr>
          <w:p w14:paraId="37F7541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0" w:type="auto"/>
          </w:tcPr>
          <w:p w14:paraId="26617948"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047675DC" w14:textId="4F39A51F"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DPT</w:t>
            </w:r>
            <w:r w:rsidR="000A0A75">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4F941CF6" w14:textId="77777777" w:rsidR="004719D2" w:rsidRPr="004A47DC" w:rsidRDefault="004719D2" w:rsidP="00CF7CEC">
            <w:pPr>
              <w:rPr>
                <w:rFonts w:ascii="Garamond" w:hAnsi="Garamond"/>
                <w:b/>
                <w:bCs/>
                <w:color w:val="000000" w:themeColor="text1"/>
                <w:sz w:val="16"/>
                <w:szCs w:val="16"/>
              </w:rPr>
            </w:pPr>
          </w:p>
          <w:p w14:paraId="0027F15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1763817C" w14:textId="71807D1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FMN</w:t>
            </w:r>
            <w:r w:rsidR="000A0A75">
              <w:rPr>
                <w:rFonts w:ascii="Garamond" w:hAnsi="Garamond"/>
                <w:bCs/>
                <w:color w:val="000000" w:themeColor="text1"/>
                <w:sz w:val="16"/>
                <w:szCs w:val="16"/>
              </w:rPr>
              <w:t>-ja</w:t>
            </w:r>
          </w:p>
        </w:tc>
      </w:tr>
      <w:tr w:rsidR="004719D2" w:rsidRPr="004A47DC" w14:paraId="6010ADDE" w14:textId="77777777" w:rsidTr="00D70BDE">
        <w:trPr>
          <w:trHeight w:val="20"/>
        </w:trPr>
        <w:tc>
          <w:tcPr>
            <w:tcW w:w="0" w:type="auto"/>
          </w:tcPr>
          <w:p w14:paraId="307C5854"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3.1.5 Sigurimi i taksimit të çdo pasurie të pajustifikuar brenda dhe jashtë vendit</w:t>
            </w:r>
          </w:p>
          <w:p w14:paraId="2D554FEE" w14:textId="77777777" w:rsidR="004719D2" w:rsidRPr="004A47DC" w:rsidRDefault="004719D2" w:rsidP="00CF7CEC">
            <w:pPr>
              <w:pStyle w:val="T-bold"/>
              <w:spacing w:line="240" w:lineRule="auto"/>
              <w:rPr>
                <w:rFonts w:ascii="Garamond" w:hAnsi="Garamond"/>
                <w:color w:val="000000" w:themeColor="text1"/>
              </w:rPr>
            </w:pPr>
          </w:p>
        </w:tc>
        <w:tc>
          <w:tcPr>
            <w:tcW w:w="0" w:type="auto"/>
            <w:vAlign w:val="center"/>
          </w:tcPr>
          <w:p w14:paraId="3CE826E4" w14:textId="53179B20" w:rsidR="004719D2" w:rsidRPr="004A47DC" w:rsidRDefault="0078279A" w:rsidP="0078279A">
            <w:pPr>
              <w:pStyle w:val="T-number"/>
              <w:numPr>
                <w:ilvl w:val="0"/>
                <w:numId w:val="0"/>
              </w:numPr>
              <w:spacing w:line="240" w:lineRule="auto"/>
              <w:rPr>
                <w:rFonts w:ascii="Garamond" w:hAnsi="Garamond"/>
                <w:color w:val="000000" w:themeColor="text1"/>
                <w:lang w:val="sq-AL"/>
              </w:rPr>
            </w:pPr>
            <w:r>
              <w:rPr>
                <w:rFonts w:ascii="Garamond" w:hAnsi="Garamond"/>
                <w:color w:val="000000" w:themeColor="text1"/>
                <w:lang w:val="sq-AL"/>
              </w:rPr>
              <w:t xml:space="preserve">1. </w:t>
            </w:r>
            <w:r w:rsidR="004719D2" w:rsidRPr="004A47DC">
              <w:rPr>
                <w:rFonts w:ascii="Garamond" w:hAnsi="Garamond"/>
                <w:color w:val="000000" w:themeColor="text1"/>
                <w:lang w:val="sq-AL"/>
              </w:rPr>
              <w:t>Vlerësimi i rasteve të pasurisë së madhe të pashpjegueshme të individëve</w:t>
            </w:r>
            <w:r w:rsidR="000A0A75">
              <w:rPr>
                <w:rFonts w:ascii="Garamond" w:hAnsi="Garamond"/>
                <w:color w:val="000000" w:themeColor="text1"/>
                <w:lang w:val="sq-AL"/>
              </w:rPr>
              <w:t>,</w:t>
            </w:r>
            <w:r w:rsidR="004719D2" w:rsidRPr="004A47DC">
              <w:rPr>
                <w:rFonts w:ascii="Garamond" w:hAnsi="Garamond"/>
                <w:color w:val="000000" w:themeColor="text1"/>
                <w:lang w:val="sq-AL"/>
              </w:rPr>
              <w:t xml:space="preserve"> duke u dhënë inspektorëve kompetencë ligjore për të dhënë vlerësime tatimore nëpërmjet metodave indirekte veçanërisht për individët që nuk marrin pjesë në Programin e Deklarimit Vullnetar</w:t>
            </w:r>
            <w:r w:rsidR="000A0A75">
              <w:rPr>
                <w:rFonts w:ascii="Garamond" w:hAnsi="Garamond"/>
                <w:color w:val="000000" w:themeColor="text1"/>
                <w:lang w:val="sq-AL"/>
              </w:rPr>
              <w:t>.</w:t>
            </w:r>
          </w:p>
        </w:tc>
        <w:tc>
          <w:tcPr>
            <w:tcW w:w="0" w:type="auto"/>
            <w:shd w:val="clear" w:color="auto" w:fill="auto"/>
            <w:vAlign w:val="center"/>
          </w:tcPr>
          <w:p w14:paraId="3128D2F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T12023</w:t>
            </w:r>
          </w:p>
        </w:tc>
        <w:tc>
          <w:tcPr>
            <w:tcW w:w="0" w:type="auto"/>
            <w:shd w:val="clear" w:color="auto" w:fill="auto"/>
            <w:vAlign w:val="center"/>
          </w:tcPr>
          <w:p w14:paraId="06323B4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tcPr>
          <w:p w14:paraId="5018DBB3"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64B131C0" w14:textId="4C91CE9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DPT</w:t>
            </w:r>
            <w:r w:rsidR="000A0A75">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7CCE76C7" w14:textId="77777777" w:rsidR="004719D2" w:rsidRPr="004A47DC" w:rsidRDefault="004719D2" w:rsidP="00CF7CEC">
            <w:pPr>
              <w:rPr>
                <w:rFonts w:ascii="Garamond" w:hAnsi="Garamond"/>
                <w:b/>
                <w:bCs/>
                <w:color w:val="000000" w:themeColor="text1"/>
                <w:sz w:val="16"/>
                <w:szCs w:val="16"/>
              </w:rPr>
            </w:pPr>
          </w:p>
          <w:p w14:paraId="17AF9CF1"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47248BB6" w14:textId="10AE4C3F"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FMN</w:t>
            </w:r>
            <w:r w:rsidR="000A0A75">
              <w:rPr>
                <w:rFonts w:ascii="Garamond" w:hAnsi="Garamond"/>
                <w:bCs/>
                <w:color w:val="000000" w:themeColor="text1"/>
                <w:sz w:val="16"/>
                <w:szCs w:val="16"/>
              </w:rPr>
              <w:t>-ja</w:t>
            </w:r>
          </w:p>
        </w:tc>
      </w:tr>
      <w:tr w:rsidR="004719D2" w:rsidRPr="004A47DC" w14:paraId="44E175D4" w14:textId="77777777" w:rsidTr="00D70BDE">
        <w:trPr>
          <w:trHeight w:val="20"/>
        </w:trPr>
        <w:tc>
          <w:tcPr>
            <w:tcW w:w="0" w:type="auto"/>
            <w:vMerge w:val="restart"/>
          </w:tcPr>
          <w:p w14:paraId="7AEAF4F0"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3.1.6 Përmirësimi i ofrimit të shërbimeve për taksapaguesit</w:t>
            </w:r>
          </w:p>
          <w:p w14:paraId="22C38C7B" w14:textId="77777777" w:rsidR="004719D2" w:rsidRPr="004A47DC" w:rsidRDefault="004719D2" w:rsidP="00CF7CEC">
            <w:pPr>
              <w:pStyle w:val="T-bold"/>
              <w:spacing w:line="240" w:lineRule="auto"/>
              <w:rPr>
                <w:rFonts w:ascii="Garamond" w:hAnsi="Garamond"/>
                <w:color w:val="000000" w:themeColor="text1"/>
              </w:rPr>
            </w:pPr>
          </w:p>
        </w:tc>
        <w:tc>
          <w:tcPr>
            <w:tcW w:w="0" w:type="auto"/>
            <w:vAlign w:val="center"/>
          </w:tcPr>
          <w:p w14:paraId="42F116BC" w14:textId="1790439F" w:rsidR="004719D2" w:rsidRPr="004A47DC" w:rsidRDefault="00A546B5" w:rsidP="0078279A">
            <w:pPr>
              <w:pStyle w:val="T-number"/>
              <w:numPr>
                <w:ilvl w:val="0"/>
                <w:numId w:val="0"/>
              </w:numPr>
              <w:spacing w:line="240" w:lineRule="auto"/>
              <w:ind w:left="360" w:hanging="360"/>
              <w:rPr>
                <w:rFonts w:ascii="Garamond" w:hAnsi="Garamond"/>
                <w:color w:val="000000" w:themeColor="text1"/>
                <w:lang w:val="sq-AL"/>
              </w:rPr>
            </w:pPr>
            <w:r>
              <w:rPr>
                <w:rFonts w:ascii="Garamond" w:hAnsi="Garamond"/>
                <w:color w:val="000000" w:themeColor="text1"/>
                <w:lang w:val="sq-AL"/>
              </w:rPr>
              <w:t xml:space="preserve">1. </w:t>
            </w:r>
            <w:r w:rsidR="004719D2" w:rsidRPr="004A47DC">
              <w:rPr>
                <w:rFonts w:ascii="Garamond" w:hAnsi="Garamond"/>
                <w:color w:val="000000" w:themeColor="text1"/>
                <w:lang w:val="sq-AL"/>
              </w:rPr>
              <w:t xml:space="preserve">Hartimi </w:t>
            </w:r>
            <w:r w:rsidR="004719D2" w:rsidRPr="004A47DC">
              <w:rPr>
                <w:rStyle w:val="rynqvb"/>
                <w:rFonts w:ascii="Garamond" w:hAnsi="Garamond"/>
                <w:color w:val="000000" w:themeColor="text1"/>
                <w:lang w:val="sq-AL"/>
              </w:rPr>
              <w:t>dhe zbatimi i një strategjie të ofrimit të shërbimit të tatimpaguesve që synon përmirësimin e produkteve tatimore</w:t>
            </w:r>
            <w:r w:rsidR="000A0A75">
              <w:rPr>
                <w:rStyle w:val="rynqvb"/>
                <w:rFonts w:ascii="Garamond" w:hAnsi="Garamond"/>
                <w:color w:val="000000" w:themeColor="text1"/>
                <w:lang w:val="sq-AL"/>
              </w:rPr>
              <w:t>.</w:t>
            </w:r>
          </w:p>
        </w:tc>
        <w:tc>
          <w:tcPr>
            <w:tcW w:w="0" w:type="auto"/>
            <w:shd w:val="clear" w:color="auto" w:fill="auto"/>
            <w:vAlign w:val="center"/>
          </w:tcPr>
          <w:p w14:paraId="3602122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T12023</w:t>
            </w:r>
          </w:p>
        </w:tc>
        <w:tc>
          <w:tcPr>
            <w:tcW w:w="0" w:type="auto"/>
            <w:shd w:val="clear" w:color="auto" w:fill="auto"/>
            <w:vAlign w:val="center"/>
          </w:tcPr>
          <w:p w14:paraId="087F0C3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val="restart"/>
          </w:tcPr>
          <w:p w14:paraId="0D03FCE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6D0A3E33" w14:textId="09AFCFE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DPT</w:t>
            </w:r>
            <w:r w:rsidR="000A0A75">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3D011646" w14:textId="77777777" w:rsidR="004719D2" w:rsidRPr="004A47DC" w:rsidRDefault="004719D2" w:rsidP="00CF7CEC">
            <w:pPr>
              <w:rPr>
                <w:rFonts w:ascii="Garamond" w:hAnsi="Garamond"/>
                <w:b/>
                <w:bCs/>
                <w:color w:val="000000" w:themeColor="text1"/>
                <w:sz w:val="16"/>
                <w:szCs w:val="16"/>
              </w:rPr>
            </w:pPr>
          </w:p>
          <w:p w14:paraId="6DC05D0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07BEFC4B" w14:textId="38C686B0" w:rsidR="004719D2" w:rsidRPr="004A47DC" w:rsidRDefault="004719D2" w:rsidP="00CF7CEC">
            <w:pPr>
              <w:pStyle w:val="T-Bullet0"/>
              <w:spacing w:line="240" w:lineRule="auto"/>
              <w:rPr>
                <w:rFonts w:ascii="Garamond" w:hAnsi="Garamond"/>
                <w:color w:val="000000" w:themeColor="text1"/>
              </w:rPr>
            </w:pPr>
            <w:r w:rsidRPr="004A47DC">
              <w:rPr>
                <w:rFonts w:ascii="Garamond" w:hAnsi="Garamond"/>
                <w:color w:val="000000" w:themeColor="text1"/>
              </w:rPr>
              <w:t>FMN</w:t>
            </w:r>
            <w:r w:rsidR="000A0A75">
              <w:rPr>
                <w:rFonts w:ascii="Garamond" w:hAnsi="Garamond"/>
                <w:bCs/>
                <w:color w:val="000000" w:themeColor="text1"/>
              </w:rPr>
              <w:t>-ja</w:t>
            </w:r>
          </w:p>
        </w:tc>
      </w:tr>
      <w:tr w:rsidR="004719D2" w:rsidRPr="004A47DC" w14:paraId="17D67841" w14:textId="77777777" w:rsidTr="00D70BDE">
        <w:trPr>
          <w:trHeight w:val="20"/>
        </w:trPr>
        <w:tc>
          <w:tcPr>
            <w:tcW w:w="0" w:type="auto"/>
            <w:vMerge/>
          </w:tcPr>
          <w:p w14:paraId="187222C8" w14:textId="77777777" w:rsidR="004719D2" w:rsidRPr="004A47DC" w:rsidRDefault="004719D2" w:rsidP="00CF7CEC">
            <w:pPr>
              <w:pStyle w:val="T-bold"/>
              <w:spacing w:line="240" w:lineRule="auto"/>
              <w:rPr>
                <w:rFonts w:ascii="Garamond" w:hAnsi="Garamond"/>
                <w:color w:val="000000" w:themeColor="text1"/>
              </w:rPr>
            </w:pPr>
          </w:p>
        </w:tc>
        <w:tc>
          <w:tcPr>
            <w:tcW w:w="0" w:type="auto"/>
            <w:vAlign w:val="center"/>
          </w:tcPr>
          <w:p w14:paraId="6DAD012F" w14:textId="1687E928" w:rsidR="004719D2" w:rsidRPr="004A47DC" w:rsidRDefault="001A642E" w:rsidP="001A642E">
            <w:pPr>
              <w:pStyle w:val="T-number"/>
              <w:numPr>
                <w:ilvl w:val="0"/>
                <w:numId w:val="0"/>
              </w:numPr>
              <w:spacing w:line="240" w:lineRule="auto"/>
              <w:rPr>
                <w:rFonts w:ascii="Garamond" w:hAnsi="Garamond"/>
                <w:color w:val="000000" w:themeColor="text1"/>
                <w:lang w:val="sq-AL"/>
              </w:rPr>
            </w:pPr>
            <w:r>
              <w:rPr>
                <w:rFonts w:ascii="Garamond" w:hAnsi="Garamond"/>
                <w:color w:val="000000" w:themeColor="text1"/>
                <w:lang w:val="sq-AL"/>
              </w:rPr>
              <w:t xml:space="preserve">2. </w:t>
            </w:r>
            <w:r w:rsidR="004719D2" w:rsidRPr="004A47DC">
              <w:rPr>
                <w:rFonts w:ascii="Garamond" w:hAnsi="Garamond"/>
                <w:color w:val="000000" w:themeColor="text1"/>
                <w:lang w:val="sq-AL"/>
              </w:rPr>
              <w:t xml:space="preserve">Përmirësimi i efikasitetit </w:t>
            </w:r>
            <w:r w:rsidR="004719D2" w:rsidRPr="004A47DC">
              <w:rPr>
                <w:rStyle w:val="rynqvb"/>
                <w:rFonts w:ascii="Garamond" w:hAnsi="Garamond"/>
                <w:color w:val="000000" w:themeColor="text1"/>
                <w:lang w:val="sq-AL"/>
              </w:rPr>
              <w:t xml:space="preserve">të qendrës kombëtare të thirrjeve me një proces të strukturuar përshkallëzimi për </w:t>
            </w:r>
            <w:r w:rsidR="00D70BDE" w:rsidRPr="004A47DC">
              <w:rPr>
                <w:rStyle w:val="rynqvb"/>
                <w:rFonts w:ascii="Garamond" w:hAnsi="Garamond"/>
                <w:color w:val="000000" w:themeColor="text1"/>
                <w:lang w:val="sq-AL"/>
              </w:rPr>
              <w:t>t</w:t>
            </w:r>
            <w:r w:rsidR="00CE6AE5" w:rsidRPr="004A47DC">
              <w:rPr>
                <w:rStyle w:val="rynqvb"/>
                <w:rFonts w:ascii="Garamond" w:hAnsi="Garamond"/>
                <w:color w:val="000000" w:themeColor="text1"/>
                <w:lang w:val="sq-AL"/>
              </w:rPr>
              <w:t>’</w:t>
            </w:r>
            <w:r w:rsidR="00D70BDE" w:rsidRPr="004A47DC">
              <w:rPr>
                <w:rStyle w:val="rynqvb"/>
                <w:rFonts w:ascii="Garamond" w:hAnsi="Garamond"/>
                <w:color w:val="000000" w:themeColor="text1"/>
                <w:lang w:val="sq-AL"/>
              </w:rPr>
              <w:t>u</w:t>
            </w:r>
            <w:r w:rsidR="00B2411C" w:rsidRPr="004A47DC">
              <w:rPr>
                <w:rStyle w:val="rynqvb"/>
                <w:rFonts w:ascii="Garamond" w:hAnsi="Garamond"/>
                <w:color w:val="000000" w:themeColor="text1"/>
                <w:lang w:val="sq-AL"/>
              </w:rPr>
              <w:t xml:space="preserve"> </w:t>
            </w:r>
            <w:r w:rsidR="004719D2" w:rsidRPr="004A47DC">
              <w:rPr>
                <w:rStyle w:val="rynqvb"/>
                <w:rFonts w:ascii="Garamond" w:hAnsi="Garamond"/>
                <w:color w:val="000000" w:themeColor="text1"/>
                <w:lang w:val="sq-AL"/>
              </w:rPr>
              <w:t>marrë me pyetjet e kompleksiteteve të ndryshme</w:t>
            </w:r>
            <w:r w:rsidR="000A0A75">
              <w:rPr>
                <w:rStyle w:val="rynqvb"/>
                <w:rFonts w:ascii="Garamond" w:hAnsi="Garamond"/>
                <w:color w:val="000000" w:themeColor="text1"/>
                <w:lang w:val="sq-AL"/>
              </w:rPr>
              <w:t>.</w:t>
            </w:r>
          </w:p>
        </w:tc>
        <w:tc>
          <w:tcPr>
            <w:tcW w:w="0" w:type="auto"/>
            <w:shd w:val="clear" w:color="auto" w:fill="auto"/>
            <w:vAlign w:val="center"/>
          </w:tcPr>
          <w:p w14:paraId="2113609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T12023</w:t>
            </w:r>
          </w:p>
        </w:tc>
        <w:tc>
          <w:tcPr>
            <w:tcW w:w="0" w:type="auto"/>
            <w:shd w:val="clear" w:color="auto" w:fill="auto"/>
            <w:vAlign w:val="center"/>
          </w:tcPr>
          <w:p w14:paraId="7F6C2AC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Pr>
          <w:p w14:paraId="73B23CE1" w14:textId="77777777" w:rsidR="004719D2" w:rsidRPr="004A47DC" w:rsidRDefault="004719D2" w:rsidP="00CF7CEC">
            <w:pPr>
              <w:rPr>
                <w:rFonts w:ascii="Garamond" w:hAnsi="Garamond"/>
                <w:color w:val="000000" w:themeColor="text1"/>
                <w:sz w:val="16"/>
                <w:szCs w:val="16"/>
              </w:rPr>
            </w:pPr>
          </w:p>
        </w:tc>
      </w:tr>
      <w:tr w:rsidR="004719D2" w:rsidRPr="004A47DC" w14:paraId="2AEFE5AB" w14:textId="77777777" w:rsidTr="00D70BDE">
        <w:trPr>
          <w:trHeight w:val="20"/>
        </w:trPr>
        <w:tc>
          <w:tcPr>
            <w:tcW w:w="0" w:type="auto"/>
            <w:vMerge/>
            <w:tcBorders>
              <w:bottom w:val="single" w:sz="4" w:space="0" w:color="auto"/>
            </w:tcBorders>
          </w:tcPr>
          <w:p w14:paraId="19D01A7A" w14:textId="77777777" w:rsidR="004719D2" w:rsidRPr="004A47DC" w:rsidRDefault="004719D2" w:rsidP="00CF7CEC">
            <w:pPr>
              <w:pStyle w:val="T-bold"/>
              <w:spacing w:line="240" w:lineRule="auto"/>
              <w:rPr>
                <w:rFonts w:ascii="Garamond" w:hAnsi="Garamond"/>
                <w:color w:val="000000" w:themeColor="text1"/>
              </w:rPr>
            </w:pPr>
          </w:p>
        </w:tc>
        <w:tc>
          <w:tcPr>
            <w:tcW w:w="0" w:type="auto"/>
            <w:tcBorders>
              <w:bottom w:val="single" w:sz="4" w:space="0" w:color="auto"/>
            </w:tcBorders>
            <w:vAlign w:val="center"/>
          </w:tcPr>
          <w:p w14:paraId="5F946B06" w14:textId="13C96282" w:rsidR="004719D2" w:rsidRPr="004A47DC" w:rsidRDefault="001A642E" w:rsidP="001A642E">
            <w:pPr>
              <w:pStyle w:val="T-number"/>
              <w:numPr>
                <w:ilvl w:val="0"/>
                <w:numId w:val="0"/>
              </w:numPr>
              <w:spacing w:line="240" w:lineRule="auto"/>
              <w:ind w:left="360" w:hanging="360"/>
              <w:rPr>
                <w:rFonts w:ascii="Garamond" w:hAnsi="Garamond"/>
                <w:color w:val="000000" w:themeColor="text1"/>
                <w:lang w:val="sq-AL"/>
              </w:rPr>
            </w:pPr>
            <w:r>
              <w:rPr>
                <w:rFonts w:ascii="Garamond" w:hAnsi="Garamond"/>
                <w:color w:val="000000" w:themeColor="text1"/>
                <w:lang w:val="sq-AL"/>
              </w:rPr>
              <w:t xml:space="preserve">3. </w:t>
            </w:r>
            <w:r w:rsidR="004719D2" w:rsidRPr="004A47DC">
              <w:rPr>
                <w:rFonts w:ascii="Garamond" w:hAnsi="Garamond"/>
                <w:color w:val="000000" w:themeColor="text1"/>
                <w:lang w:val="sq-AL"/>
              </w:rPr>
              <w:t xml:space="preserve">Zhvillimi dhe zbatimi </w:t>
            </w:r>
            <w:r w:rsidR="000A0A75">
              <w:rPr>
                <w:rFonts w:ascii="Garamond" w:hAnsi="Garamond"/>
                <w:color w:val="000000" w:themeColor="text1"/>
                <w:lang w:val="sq-AL"/>
              </w:rPr>
              <w:t>i</w:t>
            </w:r>
            <w:r w:rsidR="004719D2" w:rsidRPr="004A47DC">
              <w:rPr>
                <w:rFonts w:ascii="Garamond" w:hAnsi="Garamond"/>
                <w:color w:val="000000" w:themeColor="text1"/>
                <w:lang w:val="sq-AL"/>
              </w:rPr>
              <w:t xml:space="preserve"> programeve të zhvillimit të kapaciteteve për stafin e DPT-së (nga akademia tatimore, universitetet dhe partnerë të tjerë)</w:t>
            </w:r>
            <w:r w:rsidR="000A0A75">
              <w:rPr>
                <w:rFonts w:ascii="Garamond" w:hAnsi="Garamond"/>
                <w:color w:val="000000" w:themeColor="text1"/>
                <w:lang w:val="sq-AL"/>
              </w:rPr>
              <w:t>.</w:t>
            </w:r>
          </w:p>
        </w:tc>
        <w:tc>
          <w:tcPr>
            <w:tcW w:w="0" w:type="auto"/>
            <w:tcBorders>
              <w:bottom w:val="single" w:sz="4" w:space="0" w:color="auto"/>
            </w:tcBorders>
            <w:shd w:val="clear" w:color="auto" w:fill="auto"/>
            <w:vAlign w:val="center"/>
          </w:tcPr>
          <w:p w14:paraId="5BDAA19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0" w:type="auto"/>
            <w:tcBorders>
              <w:bottom w:val="single" w:sz="4" w:space="0" w:color="auto"/>
            </w:tcBorders>
            <w:shd w:val="clear" w:color="auto" w:fill="auto"/>
            <w:vAlign w:val="center"/>
          </w:tcPr>
          <w:p w14:paraId="6D75101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0" w:type="auto"/>
            <w:vMerge/>
            <w:tcBorders>
              <w:bottom w:val="single" w:sz="4" w:space="0" w:color="auto"/>
            </w:tcBorders>
          </w:tcPr>
          <w:p w14:paraId="3EF72915" w14:textId="77777777" w:rsidR="004719D2" w:rsidRPr="004A47DC" w:rsidRDefault="004719D2" w:rsidP="00CF7CEC">
            <w:pPr>
              <w:rPr>
                <w:rFonts w:ascii="Garamond" w:hAnsi="Garamond"/>
                <w:color w:val="000000" w:themeColor="text1"/>
                <w:sz w:val="16"/>
                <w:szCs w:val="16"/>
              </w:rPr>
            </w:pPr>
          </w:p>
        </w:tc>
      </w:tr>
    </w:tbl>
    <w:p w14:paraId="504A9F32" w14:textId="77777777" w:rsidR="004719D2" w:rsidRPr="004A47DC" w:rsidRDefault="004719D2" w:rsidP="004719D2">
      <w:pPr>
        <w:rPr>
          <w:rStyle w:val="IntenseReference"/>
          <w:rFonts w:ascii="Garamond" w:hAnsi="Garamond"/>
          <w:b/>
          <w:bCs/>
          <w:i w:val="0"/>
          <w:color w:val="000000" w:themeColor="text1"/>
        </w:rPr>
      </w:pPr>
    </w:p>
    <w:p w14:paraId="59CA2558" w14:textId="77777777" w:rsidR="004719D2" w:rsidRPr="004A47DC" w:rsidRDefault="004719D2" w:rsidP="004719D2">
      <w:pPr>
        <w:pStyle w:val="H5"/>
        <w:spacing w:after="0" w:line="240" w:lineRule="auto"/>
        <w:rPr>
          <w:rStyle w:val="IntenseReference"/>
          <w:rFonts w:ascii="Garamond" w:hAnsi="Garamond"/>
          <w:i w:val="0"/>
          <w:color w:val="000000" w:themeColor="text1"/>
          <w:sz w:val="24"/>
        </w:rPr>
      </w:pPr>
      <w:r w:rsidRPr="004A47DC">
        <w:rPr>
          <w:rStyle w:val="IntenseReference"/>
          <w:rFonts w:ascii="Garamond" w:hAnsi="Garamond"/>
          <w:i w:val="0"/>
          <w:color w:val="000000" w:themeColor="text1"/>
          <w:sz w:val="24"/>
        </w:rPr>
        <w:t>Treguesit e performancës dhe vlerat e synuara</w:t>
      </w: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4278"/>
        <w:gridCol w:w="898"/>
        <w:gridCol w:w="414"/>
        <w:gridCol w:w="1181"/>
        <w:gridCol w:w="1145"/>
        <w:gridCol w:w="1145"/>
      </w:tblGrid>
      <w:tr w:rsidR="004719D2" w:rsidRPr="004A47DC" w14:paraId="4A85DA6F" w14:textId="77777777" w:rsidTr="00D70BDE">
        <w:trPr>
          <w:cantSplit/>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077530"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279293"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0" w:type="auto"/>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2EC69B"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1424135B" w14:textId="77777777" w:rsidTr="00D70BDE">
        <w:trPr>
          <w:cantSplit/>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9C206" w14:textId="77777777" w:rsidR="004719D2" w:rsidRPr="004A47DC" w:rsidRDefault="004719D2" w:rsidP="00D70BDE">
            <w:pPr>
              <w:pStyle w:val="T-bold"/>
              <w:spacing w:line="240" w:lineRule="auto"/>
              <w:jc w:val="center"/>
              <w:rPr>
                <w:rFonts w:ascii="Garamond" w:hAnsi="Garamond"/>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3510A8" w14:textId="77777777" w:rsidR="004719D2" w:rsidRPr="004A47DC" w:rsidRDefault="004719D2" w:rsidP="00D70BDE">
            <w:pPr>
              <w:pStyle w:val="T-bold"/>
              <w:spacing w:line="240" w:lineRule="auto"/>
              <w:jc w:val="center"/>
              <w:rPr>
                <w:rFonts w:ascii="Garamond" w:hAnsi="Garamond"/>
                <w:color w:val="000000" w:themeColor="text1"/>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CCEAE1"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5B782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1D55C4"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704C1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003D57A0" w14:textId="77777777" w:rsidTr="00D70BDE">
        <w:tc>
          <w:tcPr>
            <w:tcW w:w="0" w:type="auto"/>
            <w:tcBorders>
              <w:top w:val="single" w:sz="4" w:space="0" w:color="auto"/>
              <w:left w:val="single" w:sz="4" w:space="0" w:color="auto"/>
              <w:bottom w:val="single" w:sz="4" w:space="0" w:color="auto"/>
              <w:right w:val="single" w:sz="4" w:space="0" w:color="auto"/>
            </w:tcBorders>
          </w:tcPr>
          <w:p w14:paraId="47074D58" w14:textId="328364F4" w:rsidR="004719D2" w:rsidRPr="004A47DC" w:rsidRDefault="004719D2" w:rsidP="00732B6D">
            <w:pPr>
              <w:pStyle w:val="ListParagraph"/>
              <w:numPr>
                <w:ilvl w:val="0"/>
                <w:numId w:val="22"/>
              </w:numPr>
              <w:ind w:left="221" w:hanging="221"/>
              <w:rPr>
                <w:rFonts w:ascii="Garamond" w:hAnsi="Garamond"/>
                <w:color w:val="000000" w:themeColor="text1"/>
                <w:sz w:val="16"/>
                <w:szCs w:val="16"/>
              </w:rPr>
            </w:pPr>
            <w:r w:rsidRPr="004A47DC">
              <w:rPr>
                <w:rFonts w:ascii="Garamond" w:hAnsi="Garamond"/>
                <w:color w:val="000000" w:themeColor="text1"/>
                <w:sz w:val="16"/>
                <w:szCs w:val="16"/>
              </w:rPr>
              <w:t>Rritja e të hyrave nga SSA</w:t>
            </w:r>
            <w:r w:rsidR="00162853">
              <w:rPr>
                <w:rFonts w:ascii="Garamond" w:hAnsi="Garamond"/>
                <w:color w:val="000000" w:themeColor="text1"/>
                <w:sz w:val="16"/>
                <w:szCs w:val="16"/>
              </w:rPr>
              <w:t>-ja</w:t>
            </w:r>
            <w:r w:rsidRPr="004A47DC">
              <w:rPr>
                <w:rFonts w:ascii="Garamond" w:hAnsi="Garamond"/>
                <w:color w:val="000000" w:themeColor="text1"/>
                <w:sz w:val="16"/>
                <w:szCs w:val="16"/>
              </w:rPr>
              <w:t xml:space="preserve"> (në total nga administrata tatimore dhe doganore sipas SAA-së)</w:t>
            </w:r>
          </w:p>
        </w:tc>
        <w:tc>
          <w:tcPr>
            <w:tcW w:w="0" w:type="auto"/>
            <w:tcBorders>
              <w:top w:val="single" w:sz="4" w:space="0" w:color="auto"/>
              <w:left w:val="single" w:sz="4" w:space="0" w:color="auto"/>
              <w:bottom w:val="single" w:sz="4" w:space="0" w:color="auto"/>
              <w:right w:val="single" w:sz="4" w:space="0" w:color="auto"/>
            </w:tcBorders>
            <w:vAlign w:val="center"/>
          </w:tcPr>
          <w:p w14:paraId="7E2F072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(2023)</w:t>
            </w:r>
          </w:p>
          <w:p w14:paraId="6D32495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0.57% e PBB-së</w:t>
            </w:r>
          </w:p>
        </w:tc>
        <w:tc>
          <w:tcPr>
            <w:tcW w:w="0" w:type="auto"/>
            <w:tcBorders>
              <w:top w:val="single" w:sz="4" w:space="0" w:color="auto"/>
              <w:left w:val="single" w:sz="4" w:space="0" w:color="auto"/>
              <w:bottom w:val="single" w:sz="4" w:space="0" w:color="auto"/>
              <w:right w:val="single" w:sz="4" w:space="0" w:color="auto"/>
            </w:tcBorders>
            <w:vAlign w:val="center"/>
          </w:tcPr>
          <w:p w14:paraId="3D35920F"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tcPr>
          <w:p w14:paraId="4B312D7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0.76% e PBB-së rritje në krahasim me vitin 2023</w:t>
            </w:r>
          </w:p>
        </w:tc>
        <w:tc>
          <w:tcPr>
            <w:tcW w:w="0" w:type="auto"/>
            <w:tcBorders>
              <w:top w:val="single" w:sz="4" w:space="0" w:color="auto"/>
              <w:left w:val="single" w:sz="4" w:space="0" w:color="auto"/>
              <w:bottom w:val="single" w:sz="4" w:space="0" w:color="auto"/>
              <w:right w:val="single" w:sz="4" w:space="0" w:color="auto"/>
            </w:tcBorders>
          </w:tcPr>
          <w:p w14:paraId="38AA8DF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0.62% e PBB rritje në krahasim me vitin 2024</w:t>
            </w:r>
          </w:p>
        </w:tc>
        <w:tc>
          <w:tcPr>
            <w:tcW w:w="0" w:type="auto"/>
            <w:tcBorders>
              <w:top w:val="single" w:sz="4" w:space="0" w:color="auto"/>
              <w:left w:val="single" w:sz="4" w:space="0" w:color="auto"/>
              <w:bottom w:val="single" w:sz="4" w:space="0" w:color="auto"/>
              <w:right w:val="single" w:sz="4" w:space="0" w:color="auto"/>
            </w:tcBorders>
          </w:tcPr>
          <w:p w14:paraId="0215251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0.43% e PBB rritje në krahasim me vitin 2025</w:t>
            </w:r>
          </w:p>
        </w:tc>
      </w:tr>
      <w:tr w:rsidR="004719D2" w:rsidRPr="004A47DC" w14:paraId="781E3B4D" w14:textId="77777777" w:rsidTr="00D70BDE">
        <w:tc>
          <w:tcPr>
            <w:tcW w:w="0" w:type="auto"/>
            <w:tcBorders>
              <w:top w:val="single" w:sz="4" w:space="0" w:color="auto"/>
              <w:left w:val="single" w:sz="4" w:space="0" w:color="auto"/>
              <w:bottom w:val="single" w:sz="4" w:space="0" w:color="auto"/>
              <w:right w:val="single" w:sz="4" w:space="0" w:color="auto"/>
            </w:tcBorders>
          </w:tcPr>
          <w:p w14:paraId="4C574E4C" w14:textId="582FD366" w:rsidR="004719D2" w:rsidRPr="004A47DC" w:rsidRDefault="004719D2" w:rsidP="00732B6D">
            <w:pPr>
              <w:pStyle w:val="ListParagraph"/>
              <w:numPr>
                <w:ilvl w:val="0"/>
                <w:numId w:val="22"/>
              </w:numPr>
              <w:ind w:left="221" w:hanging="221"/>
              <w:rPr>
                <w:rFonts w:ascii="Garamond" w:hAnsi="Garamond"/>
                <w:color w:val="000000" w:themeColor="text1"/>
                <w:sz w:val="16"/>
                <w:szCs w:val="16"/>
              </w:rPr>
            </w:pPr>
            <w:r w:rsidRPr="004A47DC">
              <w:rPr>
                <w:rFonts w:ascii="Garamond" w:hAnsi="Garamond"/>
                <w:color w:val="000000" w:themeColor="text1"/>
                <w:sz w:val="16"/>
                <w:szCs w:val="16"/>
              </w:rPr>
              <w:t>Miratimi i SAA</w:t>
            </w:r>
            <w:r w:rsidR="00162853" w:rsidRPr="004A47DC">
              <w:rPr>
                <w:rFonts w:ascii="Garamond" w:hAnsi="Garamond"/>
                <w:color w:val="000000" w:themeColor="text1"/>
                <w:sz w:val="16"/>
                <w:szCs w:val="16"/>
              </w:rPr>
              <w:t>-së</w:t>
            </w:r>
          </w:p>
        </w:tc>
        <w:tc>
          <w:tcPr>
            <w:tcW w:w="0" w:type="auto"/>
            <w:tcBorders>
              <w:top w:val="single" w:sz="4" w:space="0" w:color="auto"/>
              <w:left w:val="single" w:sz="4" w:space="0" w:color="auto"/>
              <w:bottom w:val="single" w:sz="4" w:space="0" w:color="auto"/>
              <w:right w:val="single" w:sz="4" w:space="0" w:color="auto"/>
            </w:tcBorders>
            <w:vAlign w:val="center"/>
          </w:tcPr>
          <w:p w14:paraId="4C639AC9"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vAlign w:val="center"/>
          </w:tcPr>
          <w:p w14:paraId="2435F128"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vAlign w:val="center"/>
          </w:tcPr>
          <w:p w14:paraId="447140BB" w14:textId="31B9AA0A" w:rsidR="004719D2" w:rsidRPr="004A47DC" w:rsidRDefault="00162853"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Miratuar</w:t>
            </w:r>
          </w:p>
        </w:tc>
        <w:tc>
          <w:tcPr>
            <w:tcW w:w="0" w:type="auto"/>
            <w:tcBorders>
              <w:top w:val="single" w:sz="4" w:space="0" w:color="auto"/>
              <w:left w:val="single" w:sz="4" w:space="0" w:color="auto"/>
              <w:bottom w:val="single" w:sz="4" w:space="0" w:color="auto"/>
              <w:right w:val="single" w:sz="4" w:space="0" w:color="auto"/>
            </w:tcBorders>
            <w:vAlign w:val="center"/>
          </w:tcPr>
          <w:p w14:paraId="47CD1E6C"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vAlign w:val="center"/>
          </w:tcPr>
          <w:p w14:paraId="231502EE" w14:textId="77777777" w:rsidR="004719D2" w:rsidRPr="004A47DC" w:rsidRDefault="004719D2" w:rsidP="00CF7CEC">
            <w:pPr>
              <w:pStyle w:val="T-normal"/>
              <w:spacing w:line="240" w:lineRule="auto"/>
              <w:jc w:val="center"/>
              <w:rPr>
                <w:rFonts w:ascii="Garamond" w:hAnsi="Garamond"/>
                <w:color w:val="000000" w:themeColor="text1"/>
                <w:lang w:val="sq-AL"/>
              </w:rPr>
            </w:pPr>
          </w:p>
        </w:tc>
      </w:tr>
      <w:tr w:rsidR="004719D2" w:rsidRPr="004A47DC" w14:paraId="5B7E8D9C" w14:textId="77777777" w:rsidTr="00D70BDE">
        <w:tc>
          <w:tcPr>
            <w:tcW w:w="0" w:type="auto"/>
            <w:tcBorders>
              <w:top w:val="single" w:sz="4" w:space="0" w:color="auto"/>
              <w:left w:val="single" w:sz="4" w:space="0" w:color="auto"/>
              <w:bottom w:val="single" w:sz="4" w:space="0" w:color="auto"/>
              <w:right w:val="single" w:sz="4" w:space="0" w:color="auto"/>
            </w:tcBorders>
          </w:tcPr>
          <w:p w14:paraId="3AD5E6D1" w14:textId="77777777" w:rsidR="004719D2" w:rsidRPr="004A47DC" w:rsidRDefault="004719D2" w:rsidP="00732B6D">
            <w:pPr>
              <w:pStyle w:val="ListParagraph"/>
              <w:numPr>
                <w:ilvl w:val="0"/>
                <w:numId w:val="22"/>
              </w:numPr>
              <w:ind w:left="221" w:hanging="221"/>
              <w:rPr>
                <w:rFonts w:ascii="Garamond" w:hAnsi="Garamond"/>
                <w:color w:val="000000" w:themeColor="text1"/>
                <w:sz w:val="16"/>
                <w:szCs w:val="16"/>
              </w:rPr>
            </w:pPr>
            <w:r w:rsidRPr="004A47DC">
              <w:rPr>
                <w:rFonts w:ascii="Garamond" w:hAnsi="Garamond"/>
                <w:color w:val="000000" w:themeColor="text1"/>
                <w:sz w:val="16"/>
                <w:szCs w:val="16"/>
              </w:rPr>
              <w:t>Rritja e të hyrave nga TVSH-ja (e matur në bazë jokumulative)</w:t>
            </w:r>
          </w:p>
        </w:tc>
        <w:tc>
          <w:tcPr>
            <w:tcW w:w="0" w:type="auto"/>
            <w:tcBorders>
              <w:top w:val="single" w:sz="4" w:space="0" w:color="auto"/>
              <w:left w:val="single" w:sz="4" w:space="0" w:color="auto"/>
              <w:bottom w:val="single" w:sz="4" w:space="0" w:color="auto"/>
              <w:right w:val="single" w:sz="4" w:space="0" w:color="auto"/>
            </w:tcBorders>
            <w:vAlign w:val="center"/>
          </w:tcPr>
          <w:p w14:paraId="3B04C4DB" w14:textId="51A512A8"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Vit baz</w:t>
            </w:r>
            <w:r w:rsidR="00162853">
              <w:rPr>
                <w:rFonts w:ascii="Garamond" w:eastAsia="Times New Roman" w:hAnsi="Garamond" w:cs="Times New Roman"/>
                <w:color w:val="000000" w:themeColor="text1"/>
                <w:lang w:val="sq-AL"/>
              </w:rPr>
              <w:t>ë</w:t>
            </w:r>
            <w:r w:rsidRPr="004A47DC">
              <w:rPr>
                <w:rFonts w:ascii="Garamond" w:eastAsia="Times New Roman" w:hAnsi="Garamond" w:cs="Times New Roman"/>
                <w:color w:val="000000" w:themeColor="text1"/>
                <w:lang w:val="sq-AL"/>
              </w:rPr>
              <w:t xml:space="preserve"> 2023, 1,98% e PPB në 2023</w:t>
            </w:r>
          </w:p>
        </w:tc>
        <w:tc>
          <w:tcPr>
            <w:tcW w:w="0" w:type="auto"/>
            <w:tcBorders>
              <w:top w:val="single" w:sz="4" w:space="0" w:color="auto"/>
              <w:left w:val="single" w:sz="4" w:space="0" w:color="auto"/>
              <w:bottom w:val="single" w:sz="4" w:space="0" w:color="auto"/>
              <w:right w:val="single" w:sz="4" w:space="0" w:color="auto"/>
            </w:tcBorders>
          </w:tcPr>
          <w:p w14:paraId="4100D2BC"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vAlign w:val="center"/>
          </w:tcPr>
          <w:p w14:paraId="57A1539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s="Times New Roman"/>
                <w:color w:val="000000" w:themeColor="text1"/>
                <w:lang w:val="sq-AL"/>
              </w:rPr>
              <w:t>0.4% e PPB rritje në krahasim me vitin 2023</w:t>
            </w:r>
          </w:p>
        </w:tc>
        <w:tc>
          <w:tcPr>
            <w:tcW w:w="0" w:type="auto"/>
            <w:tcBorders>
              <w:top w:val="single" w:sz="4" w:space="0" w:color="auto"/>
              <w:left w:val="single" w:sz="4" w:space="0" w:color="auto"/>
              <w:bottom w:val="single" w:sz="4" w:space="0" w:color="auto"/>
              <w:right w:val="single" w:sz="4" w:space="0" w:color="auto"/>
            </w:tcBorders>
            <w:vAlign w:val="center"/>
          </w:tcPr>
          <w:p w14:paraId="63105A7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s="Times New Roman"/>
                <w:color w:val="000000" w:themeColor="text1"/>
                <w:lang w:val="sq-AL"/>
              </w:rPr>
              <w:t>0.2% e PPB rritje në krahasim me vitin 2024</w:t>
            </w:r>
          </w:p>
        </w:tc>
        <w:tc>
          <w:tcPr>
            <w:tcW w:w="0" w:type="auto"/>
            <w:tcBorders>
              <w:top w:val="single" w:sz="4" w:space="0" w:color="auto"/>
              <w:left w:val="single" w:sz="4" w:space="0" w:color="auto"/>
              <w:bottom w:val="single" w:sz="4" w:space="0" w:color="auto"/>
              <w:right w:val="single" w:sz="4" w:space="0" w:color="auto"/>
            </w:tcBorders>
            <w:vAlign w:val="center"/>
          </w:tcPr>
          <w:p w14:paraId="056A565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s="Times New Roman"/>
                <w:color w:val="000000" w:themeColor="text1"/>
                <w:lang w:val="sq-AL"/>
              </w:rPr>
              <w:t>0.1% e PPB rritje në krahasim me vitin 2025</w:t>
            </w:r>
          </w:p>
        </w:tc>
      </w:tr>
      <w:tr w:rsidR="004719D2" w:rsidRPr="004A47DC" w14:paraId="6E701420" w14:textId="77777777" w:rsidTr="00D70BDE">
        <w:trPr>
          <w:trHeight w:val="22"/>
        </w:trPr>
        <w:tc>
          <w:tcPr>
            <w:tcW w:w="0" w:type="auto"/>
            <w:tcBorders>
              <w:top w:val="single" w:sz="4" w:space="0" w:color="auto"/>
              <w:left w:val="single" w:sz="4" w:space="0" w:color="auto"/>
              <w:bottom w:val="single" w:sz="4" w:space="0" w:color="auto"/>
              <w:right w:val="single" w:sz="4" w:space="0" w:color="auto"/>
            </w:tcBorders>
          </w:tcPr>
          <w:p w14:paraId="210B8340" w14:textId="1B87BF33" w:rsidR="004719D2" w:rsidRPr="004A47DC" w:rsidRDefault="004719D2" w:rsidP="00732B6D">
            <w:pPr>
              <w:pStyle w:val="ListParagraph"/>
              <w:numPr>
                <w:ilvl w:val="0"/>
                <w:numId w:val="22"/>
              </w:numPr>
              <w:ind w:left="221" w:hanging="221"/>
              <w:rPr>
                <w:rFonts w:ascii="Garamond" w:hAnsi="Garamond"/>
                <w:color w:val="000000" w:themeColor="text1"/>
                <w:sz w:val="16"/>
                <w:szCs w:val="16"/>
              </w:rPr>
            </w:pPr>
            <w:r w:rsidRPr="004A47DC">
              <w:rPr>
                <w:rFonts w:ascii="Garamond" w:hAnsi="Garamond"/>
                <w:color w:val="000000" w:themeColor="text1"/>
                <w:sz w:val="16"/>
                <w:szCs w:val="16"/>
              </w:rPr>
              <w:t xml:space="preserve">Rritja e të ardhurave nga reduktimi i punës së nëndeklaruar dhe të padeklaruar (e matur në bazë jokumulative) si rezultat </w:t>
            </w:r>
            <w:r w:rsidR="00162853">
              <w:rPr>
                <w:rFonts w:ascii="Garamond" w:hAnsi="Garamond"/>
                <w:color w:val="000000" w:themeColor="text1"/>
                <w:sz w:val="16"/>
                <w:szCs w:val="16"/>
              </w:rPr>
              <w:t>i</w:t>
            </w:r>
            <w:r w:rsidRPr="004A47DC">
              <w:rPr>
                <w:rFonts w:ascii="Garamond" w:hAnsi="Garamond"/>
                <w:color w:val="000000" w:themeColor="text1"/>
                <w:sz w:val="16"/>
                <w:szCs w:val="16"/>
              </w:rPr>
              <w:t xml:space="preserve"> futjes së 40 mijë punonjësve të rinj në skemë dhe rritja e deklarimit të pagës së 120 mijë punonjësve, sipas kalendarit të rritjes në SAA </w:t>
            </w:r>
          </w:p>
        </w:tc>
        <w:tc>
          <w:tcPr>
            <w:tcW w:w="0" w:type="auto"/>
            <w:tcBorders>
              <w:top w:val="single" w:sz="4" w:space="0" w:color="auto"/>
              <w:left w:val="single" w:sz="4" w:space="0" w:color="auto"/>
              <w:bottom w:val="single" w:sz="4" w:space="0" w:color="auto"/>
              <w:right w:val="single" w:sz="4" w:space="0" w:color="auto"/>
            </w:tcBorders>
            <w:vAlign w:val="center"/>
          </w:tcPr>
          <w:p w14:paraId="51B6DF1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Vit bazë 2023 0.08% e PBB-së</w:t>
            </w:r>
          </w:p>
        </w:tc>
        <w:tc>
          <w:tcPr>
            <w:tcW w:w="0" w:type="auto"/>
            <w:tcBorders>
              <w:top w:val="single" w:sz="4" w:space="0" w:color="auto"/>
              <w:left w:val="single" w:sz="4" w:space="0" w:color="auto"/>
              <w:bottom w:val="single" w:sz="4" w:space="0" w:color="auto"/>
              <w:right w:val="single" w:sz="4" w:space="0" w:color="auto"/>
            </w:tcBorders>
            <w:vAlign w:val="center"/>
          </w:tcPr>
          <w:p w14:paraId="6F99D2C4"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0" w:type="auto"/>
            <w:tcBorders>
              <w:top w:val="single" w:sz="4" w:space="0" w:color="auto"/>
              <w:left w:val="single" w:sz="4" w:space="0" w:color="auto"/>
              <w:bottom w:val="single" w:sz="4" w:space="0" w:color="auto"/>
              <w:right w:val="single" w:sz="4" w:space="0" w:color="auto"/>
            </w:tcBorders>
            <w:vAlign w:val="center"/>
          </w:tcPr>
          <w:p w14:paraId="7B379FB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 xml:space="preserve">0.02% </w:t>
            </w:r>
            <w:r w:rsidRPr="004A47DC">
              <w:rPr>
                <w:rFonts w:ascii="Garamond" w:eastAsia="Times New Roman" w:hAnsi="Garamond" w:cs="Times New Roman"/>
                <w:color w:val="000000" w:themeColor="text1"/>
                <w:lang w:val="sq-AL"/>
              </w:rPr>
              <w:br/>
              <w:t>të PBB-së</w:t>
            </w:r>
          </w:p>
        </w:tc>
        <w:tc>
          <w:tcPr>
            <w:tcW w:w="0" w:type="auto"/>
            <w:tcBorders>
              <w:top w:val="single" w:sz="4" w:space="0" w:color="auto"/>
              <w:left w:val="single" w:sz="4" w:space="0" w:color="auto"/>
              <w:bottom w:val="single" w:sz="4" w:space="0" w:color="auto"/>
              <w:right w:val="single" w:sz="4" w:space="0" w:color="auto"/>
            </w:tcBorders>
            <w:vAlign w:val="center"/>
          </w:tcPr>
          <w:p w14:paraId="1FF7FD4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 xml:space="preserve">0.05% </w:t>
            </w:r>
            <w:r w:rsidRPr="004A47DC">
              <w:rPr>
                <w:rFonts w:ascii="Garamond" w:eastAsia="Times New Roman" w:hAnsi="Garamond" w:cs="Times New Roman"/>
                <w:color w:val="000000" w:themeColor="text1"/>
                <w:lang w:val="sq-AL"/>
              </w:rPr>
              <w:br/>
              <w:t>të PBB-së rritje në krahasim me vitin 2024</w:t>
            </w:r>
          </w:p>
        </w:tc>
        <w:tc>
          <w:tcPr>
            <w:tcW w:w="0" w:type="auto"/>
            <w:tcBorders>
              <w:top w:val="single" w:sz="4" w:space="0" w:color="auto"/>
              <w:left w:val="single" w:sz="4" w:space="0" w:color="auto"/>
              <w:bottom w:val="single" w:sz="4" w:space="0" w:color="auto"/>
              <w:right w:val="single" w:sz="4" w:space="0" w:color="auto"/>
            </w:tcBorders>
            <w:vAlign w:val="center"/>
          </w:tcPr>
          <w:p w14:paraId="07BCBB74" w14:textId="3ABD19F9"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eastAsia="Times New Roman" w:hAnsi="Garamond" w:cs="Times New Roman"/>
                <w:color w:val="000000" w:themeColor="text1"/>
                <w:lang w:val="sq-AL"/>
              </w:rPr>
              <w:t xml:space="preserve">0.05% </w:t>
            </w:r>
            <w:r w:rsidRPr="004A47DC">
              <w:rPr>
                <w:rFonts w:ascii="Garamond" w:eastAsia="Times New Roman" w:hAnsi="Garamond" w:cs="Times New Roman"/>
                <w:color w:val="000000" w:themeColor="text1"/>
                <w:lang w:val="sq-AL"/>
              </w:rPr>
              <w:br/>
              <w:t>të PBB-së rritje në krahasim me vitin 2025</w:t>
            </w:r>
          </w:p>
        </w:tc>
      </w:tr>
    </w:tbl>
    <w:p w14:paraId="5CC0F84C" w14:textId="77777777" w:rsidR="004719D2" w:rsidRPr="004A47DC" w:rsidRDefault="004719D2" w:rsidP="004719D2">
      <w:pPr>
        <w:rPr>
          <w:rFonts w:ascii="Garamond" w:hAnsi="Garamond"/>
          <w:color w:val="000000" w:themeColor="text1"/>
        </w:rPr>
      </w:pPr>
    </w:p>
    <w:p w14:paraId="0C72DCBB" w14:textId="77777777" w:rsidR="002B3F8E" w:rsidRDefault="002B3F8E" w:rsidP="006C3CEC">
      <w:pPr>
        <w:pStyle w:val="TEKSTIII"/>
        <w:rPr>
          <w:b/>
        </w:rPr>
      </w:pPr>
      <w:bookmarkStart w:id="22" w:name="_Toc151048295"/>
      <w:bookmarkStart w:id="23" w:name="_Toc168918686"/>
    </w:p>
    <w:p w14:paraId="2D8AA93B" w14:textId="77777777" w:rsidR="002B3F8E" w:rsidRDefault="002B3F8E" w:rsidP="006C3CEC">
      <w:pPr>
        <w:pStyle w:val="TEKSTIII"/>
        <w:rPr>
          <w:b/>
        </w:rPr>
      </w:pPr>
    </w:p>
    <w:p w14:paraId="3B8B1839" w14:textId="77777777" w:rsidR="002B3F8E" w:rsidRDefault="002B3F8E" w:rsidP="006C3CEC">
      <w:pPr>
        <w:pStyle w:val="TEKSTIII"/>
        <w:rPr>
          <w:b/>
        </w:rPr>
      </w:pPr>
    </w:p>
    <w:p w14:paraId="622D09BD" w14:textId="77777777" w:rsidR="002B3F8E" w:rsidRDefault="002B3F8E" w:rsidP="006C3CEC">
      <w:pPr>
        <w:pStyle w:val="TEKSTIII"/>
        <w:rPr>
          <w:b/>
        </w:rPr>
      </w:pPr>
    </w:p>
    <w:p w14:paraId="62EA7C87" w14:textId="30CE9EA7" w:rsidR="004719D2" w:rsidRPr="004A47DC" w:rsidRDefault="006C3CEC" w:rsidP="006C3CEC">
      <w:pPr>
        <w:pStyle w:val="TEKSTIII"/>
        <w:rPr>
          <w:b/>
        </w:rPr>
      </w:pPr>
      <w:r w:rsidRPr="004A47DC">
        <w:rPr>
          <w:b/>
        </w:rPr>
        <w:t xml:space="preserve">4.3 </w:t>
      </w:r>
      <w:r w:rsidR="004719D2" w:rsidRPr="004A47DC">
        <w:rPr>
          <w:b/>
        </w:rPr>
        <w:t>Komponenti 3.2</w:t>
      </w:r>
      <w:r w:rsidR="00D70BDE" w:rsidRPr="004A47DC">
        <w:rPr>
          <w:b/>
        </w:rPr>
        <w:t>:</w:t>
      </w:r>
      <w:r w:rsidR="004719D2" w:rsidRPr="004A47DC">
        <w:rPr>
          <w:b/>
        </w:rPr>
        <w:t xml:space="preserve"> </w:t>
      </w:r>
      <w:bookmarkEnd w:id="22"/>
      <w:r w:rsidR="004719D2" w:rsidRPr="004A47DC">
        <w:rPr>
          <w:b/>
        </w:rPr>
        <w:t>Menaxhimi i taksës së pasurisë</w:t>
      </w:r>
      <w:bookmarkEnd w:id="23"/>
    </w:p>
    <w:p w14:paraId="2DD4AD1E" w14:textId="77777777" w:rsidR="004719D2" w:rsidRPr="004A47DC" w:rsidRDefault="004719D2" w:rsidP="006C3CEC">
      <w:pPr>
        <w:pStyle w:val="TEKSTIII"/>
        <w:rPr>
          <w:b/>
        </w:rPr>
      </w:pPr>
      <w:r w:rsidRPr="004A47DC">
        <w:rPr>
          <w:b/>
        </w:rPr>
        <w:t>Objektivi</w:t>
      </w:r>
    </w:p>
    <w:p w14:paraId="53021304" w14:textId="77777777" w:rsidR="004719D2" w:rsidRPr="004A47DC" w:rsidRDefault="004719D2" w:rsidP="006C3CEC">
      <w:pPr>
        <w:pStyle w:val="TEKSTIII"/>
      </w:pPr>
      <w:r w:rsidRPr="004A47DC">
        <w:t>Synimi për vitin 2030 është krijimi i një kadastre fiskale plotësisht funksionale dhe një sistemi efektiv të mbledhjes së taksës së pasurisë që synon të gjitha pronat në të gjitha bashkitë e vendit, me qëllim sjelljen e të ardhura shtesë për qeveritë vendore.</w:t>
      </w:r>
    </w:p>
    <w:p w14:paraId="51838C19" w14:textId="77777777" w:rsidR="004719D2" w:rsidRPr="004A47DC" w:rsidRDefault="004719D2" w:rsidP="006C3CEC">
      <w:pPr>
        <w:pStyle w:val="TEKSTIII"/>
        <w:rPr>
          <w:b/>
        </w:rPr>
      </w:pPr>
      <w:r w:rsidRPr="004A47DC">
        <w:rPr>
          <w:b/>
        </w:rPr>
        <w:t>Konteksti</w:t>
      </w:r>
    </w:p>
    <w:p w14:paraId="3EA26928" w14:textId="77777777" w:rsidR="004719D2" w:rsidRPr="004A47DC" w:rsidRDefault="004719D2" w:rsidP="006C3CEC">
      <w:pPr>
        <w:pStyle w:val="TEKSTIII"/>
      </w:pPr>
      <w:r w:rsidRPr="004A47DC">
        <w:t xml:space="preserve">Reforma e fundit në fushën e taksës së pasurisë synon të rrisë të ardhurat për bashkitë, duke kaluar nga një sistem i taksimit të </w:t>
      </w:r>
      <w:r w:rsidRPr="004A47DC">
        <w:rPr>
          <w:rStyle w:val="rynqvb"/>
          <w:color w:val="000000" w:themeColor="text1"/>
        </w:rPr>
        <w:t>bazuar në çmimin mesatar të referencës</w:t>
      </w:r>
      <w:r w:rsidRPr="004A47DC">
        <w:t xml:space="preserve"> për ndërtesat dhe një sistem i thjeshtë tatimor bazuar në sipërfaqen për tokën bujqësore dhe truallin, në një sistem taksimi modern që takson edhe ndërtesat edhe parcelat, bazuar në vlerën e tregut të këtyre pasurive të paluajtshme. Sfidë kryesore ka qenë krijimi i një baze të dhënash gjithëpërfshirëse të integruar të pasurive të paluajtshme. Të gjitha pasuritë e paluajtshme të regjistruara do të vlerësohen në bazë të vlerës së tregut.</w:t>
      </w:r>
      <w:r w:rsidRPr="00162853">
        <w:rPr>
          <w:rStyle w:val="FootnoteReference"/>
          <w:rFonts w:ascii="Garamond" w:hAnsi="Garamond"/>
          <w:color w:val="000000" w:themeColor="text1"/>
          <w:sz w:val="24"/>
          <w:szCs w:val="24"/>
        </w:rPr>
        <w:footnoteReference w:id="43"/>
      </w:r>
    </w:p>
    <w:p w14:paraId="77A907B5" w14:textId="473442DF" w:rsidR="004719D2" w:rsidRPr="004A47DC" w:rsidRDefault="004719D2" w:rsidP="002A46A0">
      <w:pPr>
        <w:pStyle w:val="TEKSTIII"/>
      </w:pPr>
      <w:r w:rsidRPr="004A47DC">
        <w:t xml:space="preserve">Gjatë fazës së parë të reformës së taksës u krijua Drejtoria e Përgjithshme e Taksës së Pasurisë (DPTP) dhe Kadastra Fiskale. DPTP-ja luan një rol vendimtar, </w:t>
      </w:r>
      <w:r w:rsidRPr="004A47DC">
        <w:rPr>
          <w:rStyle w:val="rynqvb"/>
          <w:color w:val="000000" w:themeColor="text1"/>
        </w:rPr>
        <w:t>duke përfshirë menaxhimin e regjistrit qendror të bazës së të dhënave të pasurive të paluajtshme (Kadastra Fiskale), si dhe udhëheqjen nga pikëpamja metodologjike, në lidhje me administrimin e taksës mbi pasuritë e paluajtshme.</w:t>
      </w:r>
      <w:r w:rsidRPr="004A47DC">
        <w:rPr>
          <w:rStyle w:val="hwtze"/>
          <w:color w:val="000000" w:themeColor="text1"/>
        </w:rPr>
        <w:t xml:space="preserve"> </w:t>
      </w:r>
      <w:r w:rsidRPr="004A47DC">
        <w:rPr>
          <w:rStyle w:val="rynqvb"/>
          <w:color w:val="000000" w:themeColor="text1"/>
        </w:rPr>
        <w:t>Një program pilot që përfshin nëntë bashki u lançua për të vlerësuar efikasitetin e Sistemit Informativ të Kadastrës Fiskale (SIKF), i shoqëruar nga sesione të gjera trajnimi për anëtarët e stafit të bashkive.</w:t>
      </w:r>
      <w:r w:rsidRPr="004A47DC">
        <w:rPr>
          <w:rStyle w:val="hwtze"/>
          <w:color w:val="000000" w:themeColor="text1"/>
        </w:rPr>
        <w:t xml:space="preserve"> </w:t>
      </w:r>
      <w:r w:rsidRPr="004A47DC">
        <w:rPr>
          <w:rStyle w:val="rynqvb"/>
          <w:color w:val="000000" w:themeColor="text1"/>
        </w:rPr>
        <w:t xml:space="preserve">Për të rritur ndërgjegjësimin e taksapaguesve për përgjegjësitë e tyre për taksën e pasurisë së paluajtshme, DPTP-ja ka bashkëpunuar me bashkitë, duke ndarë materiale informuese për </w:t>
      </w:r>
      <w:r w:rsidR="00D70BDE" w:rsidRPr="004A47DC">
        <w:rPr>
          <w:rStyle w:val="rynqvb"/>
          <w:color w:val="000000" w:themeColor="text1"/>
        </w:rPr>
        <w:t>t</w:t>
      </w:r>
      <w:r w:rsidR="00CE6AE5" w:rsidRPr="004A47DC">
        <w:rPr>
          <w:rStyle w:val="rynqvb"/>
          <w:color w:val="000000" w:themeColor="text1"/>
        </w:rPr>
        <w:t>’</w:t>
      </w:r>
      <w:r w:rsidR="00D70BDE" w:rsidRPr="004A47DC">
        <w:rPr>
          <w:rStyle w:val="rynqvb"/>
          <w:color w:val="000000" w:themeColor="text1"/>
        </w:rPr>
        <w:t>u</w:t>
      </w:r>
      <w:r w:rsidR="00B2411C" w:rsidRPr="004A47DC">
        <w:rPr>
          <w:rStyle w:val="rynqvb"/>
          <w:color w:val="000000" w:themeColor="text1"/>
        </w:rPr>
        <w:t xml:space="preserve"> </w:t>
      </w:r>
      <w:r w:rsidRPr="004A47DC">
        <w:rPr>
          <w:rStyle w:val="rynqvb"/>
          <w:color w:val="000000" w:themeColor="text1"/>
        </w:rPr>
        <w:t>shpërndarë përmes kanaleve të tyre.</w:t>
      </w:r>
      <w:r w:rsidRPr="004A47DC">
        <w:rPr>
          <w:rStyle w:val="hwtze"/>
          <w:color w:val="000000" w:themeColor="text1"/>
        </w:rPr>
        <w:t xml:space="preserve"> </w:t>
      </w:r>
      <w:r w:rsidRPr="004A47DC">
        <w:rPr>
          <w:rStyle w:val="rynqvb"/>
          <w:color w:val="000000" w:themeColor="text1"/>
        </w:rPr>
        <w:t>Në këtë drejtim, DPTP-ja ka hartuar fletushka dhe burime të tjera informuese të printueshme, të hartuara për të sqaruar taksapaguesit për detyrimet e tyre.</w:t>
      </w:r>
    </w:p>
    <w:p w14:paraId="6368B460" w14:textId="341C7658" w:rsidR="004719D2" w:rsidRPr="004A47DC" w:rsidRDefault="004719D2" w:rsidP="002A46A0">
      <w:pPr>
        <w:pStyle w:val="TEKSTIII"/>
        <w:rPr>
          <w:rStyle w:val="rynqvb"/>
          <w:color w:val="000000" w:themeColor="text1"/>
        </w:rPr>
      </w:pPr>
      <w:r w:rsidRPr="004A47DC">
        <w:t xml:space="preserve">Gjatë fazës së dytë në vazhdim të reformës, është hartuar projektligji </w:t>
      </w:r>
      <w:r w:rsidR="00E33A13" w:rsidRPr="004A47DC">
        <w:t>“</w:t>
      </w:r>
      <w:r w:rsidRPr="004A47DC">
        <w:t xml:space="preserve">Për tatimin mbi </w:t>
      </w:r>
      <w:r w:rsidRPr="004A47DC">
        <w:rPr>
          <w:rStyle w:val="rynqvb"/>
          <w:color w:val="000000" w:themeColor="text1"/>
        </w:rPr>
        <w:t>pasurinë</w:t>
      </w:r>
      <w:r w:rsidRPr="004A47DC">
        <w:t xml:space="preserve"> e paluajtshme</w:t>
      </w:r>
      <w:r w:rsidR="00E33A13" w:rsidRPr="004A47DC">
        <w:t>”</w:t>
      </w:r>
      <w:r w:rsidRPr="004A47DC">
        <w:t xml:space="preserve">. Dispozitat e versionit aktual të projektligjit të ri përfshin që Agjencia Shtetërore e Kadastrës të përgatisë, në përputhje me legjislacionin në fuqi, zonat e vlerës dhe çmimet e referencës për tokën. Ndërkohë, Drejtoria e Përgjithshme e </w:t>
      </w:r>
      <w:r w:rsidR="00162853" w:rsidRPr="004A47DC">
        <w:t xml:space="preserve">Taksës </w:t>
      </w:r>
      <w:r w:rsidRPr="004A47DC">
        <w:t xml:space="preserve">së Pasurisë përcakton sipërfaqet me vlerë dhe çmimet e referencës për njësitë e ndërtimit, si dhe vlerat e parashikuara të pasurive të paluajtshme. </w:t>
      </w:r>
      <w:r w:rsidRPr="004A47DC">
        <w:rPr>
          <w:rStyle w:val="rynqvb"/>
          <w:color w:val="000000" w:themeColor="text1"/>
        </w:rPr>
        <w:t>Gjithashtu, përcakton mënyrën se si do të jetë bashkëpunimi ndërmjet institucioneve</w:t>
      </w:r>
      <w:r w:rsidR="00162853">
        <w:rPr>
          <w:rStyle w:val="rynqvb"/>
          <w:color w:val="000000" w:themeColor="text1"/>
        </w:rPr>
        <w:t>,</w:t>
      </w:r>
      <w:r w:rsidRPr="004A47DC">
        <w:rPr>
          <w:rStyle w:val="rynqvb"/>
          <w:color w:val="000000" w:themeColor="text1"/>
        </w:rPr>
        <w:t xml:space="preserve"> në drejtim të shkëmbimit të informacionit dhe integrimit/ndërlidhjes së sistemeve të informacionit.</w:t>
      </w:r>
      <w:r w:rsidRPr="004A47DC">
        <w:rPr>
          <w:rStyle w:val="hwtze"/>
          <w:color w:val="000000" w:themeColor="text1"/>
        </w:rPr>
        <w:t xml:space="preserve"> </w:t>
      </w:r>
      <w:r w:rsidRPr="004A47DC">
        <w:rPr>
          <w:rStyle w:val="rynqvb"/>
          <w:color w:val="000000" w:themeColor="text1"/>
        </w:rPr>
        <w:t>Gjithashtu, projektligji i ri rregullon mënyrat e faturimit dhe mbledhjes së taksave, si dhe mekanizmat e ankimimeve dhe apelimeve.</w:t>
      </w:r>
    </w:p>
    <w:p w14:paraId="25507B2E" w14:textId="77777777" w:rsidR="004719D2" w:rsidRPr="004A47DC" w:rsidRDefault="004719D2" w:rsidP="002A46A0">
      <w:pPr>
        <w:pStyle w:val="TEKSTIII"/>
        <w:rPr>
          <w:b/>
        </w:rPr>
      </w:pPr>
      <w:r w:rsidRPr="004A47DC">
        <w:rPr>
          <w:b/>
        </w:rPr>
        <w:t>Prioritetet</w:t>
      </w:r>
    </w:p>
    <w:p w14:paraId="1B925B0C" w14:textId="7F49F4F1" w:rsidR="004719D2" w:rsidRPr="004A47DC" w:rsidRDefault="004719D2" w:rsidP="002A46A0">
      <w:pPr>
        <w:pStyle w:val="TEKSTIII"/>
      </w:pPr>
      <w:r w:rsidRPr="004A47DC">
        <w:t>Prioriteti kryesor për periudhën 2023</w:t>
      </w:r>
      <w:r w:rsidR="00D70BDE" w:rsidRPr="004A47DC">
        <w:t>–</w:t>
      </w:r>
      <w:r w:rsidRPr="004A47DC">
        <w:t>2030 është:</w:t>
      </w:r>
    </w:p>
    <w:p w14:paraId="58BB8BD6" w14:textId="46BBB566" w:rsidR="004719D2" w:rsidRPr="004A47DC" w:rsidRDefault="002A46A0" w:rsidP="002A46A0">
      <w:pPr>
        <w:pStyle w:val="TEKSTIII"/>
      </w:pPr>
      <w:r w:rsidRPr="004A47DC">
        <w:t xml:space="preserve">- </w:t>
      </w:r>
      <w:r w:rsidR="004719D2" w:rsidRPr="004A47DC">
        <w:t>Përgatitja e kadastrës fiskale dhe zbatimi i taksimit bazuar në vlerën e tregut për ndërtesat</w:t>
      </w:r>
      <w:r w:rsidR="00162853">
        <w:t>,</w:t>
      </w:r>
      <w:r w:rsidR="004719D2" w:rsidRPr="004A47DC">
        <w:t xml:space="preserve"> duke filluar nga viti 2026, si dhe zbatimi i taksimit bazuar në vlerën e tregut për parcelat duke filluar nga viti 2028, duke përfshirë plotësimin e kuadrit ligjor dhe rregullator, finalizimin e Sistemit Informativ të Kadastrës Fiskale me ndërveprueshmërinë dhe integrimin me sistemet e tjera, duke adresuar kërkesat e personelit dhe ngritjen e kapaciteteve të burimeve njerëzore.</w:t>
      </w:r>
    </w:p>
    <w:p w14:paraId="2DF07E97" w14:textId="77777777" w:rsidR="004719D2" w:rsidRPr="004A47DC" w:rsidRDefault="004719D2" w:rsidP="004719D2">
      <w:pPr>
        <w:rPr>
          <w:rFonts w:ascii="Garamond" w:hAnsi="Garamond"/>
          <w:b/>
          <w:bCs/>
          <w:color w:val="000000" w:themeColor="text1"/>
        </w:rPr>
      </w:pPr>
    </w:p>
    <w:p w14:paraId="7E352544" w14:textId="77777777" w:rsidR="004719D2" w:rsidRPr="004A47DC" w:rsidRDefault="004719D2" w:rsidP="004719D2">
      <w:pPr>
        <w:pStyle w:val="H5"/>
        <w:spacing w:after="0" w:line="240" w:lineRule="auto"/>
        <w:rPr>
          <w:rFonts w:ascii="Garamond" w:hAnsi="Garamond"/>
          <w:color w:val="000000" w:themeColor="text1"/>
          <w:sz w:val="24"/>
          <w:szCs w:val="24"/>
        </w:rPr>
      </w:pPr>
      <w:r w:rsidRPr="004A47DC">
        <w:rPr>
          <w:rFonts w:ascii="Garamond" w:hAnsi="Garamond"/>
          <w:color w:val="000000" w:themeColor="text1"/>
          <w:sz w:val="24"/>
          <w:szCs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1918"/>
        <w:gridCol w:w="3260"/>
        <w:gridCol w:w="689"/>
        <w:gridCol w:w="854"/>
        <w:gridCol w:w="2340"/>
      </w:tblGrid>
      <w:tr w:rsidR="004719D2" w:rsidRPr="004A47DC" w14:paraId="40664119" w14:textId="77777777" w:rsidTr="00D70BDE">
        <w:trPr>
          <w:trHeight w:val="182"/>
          <w:tblHeader/>
        </w:trPr>
        <w:tc>
          <w:tcPr>
            <w:tcW w:w="1059" w:type="pct"/>
            <w:shd w:val="clear" w:color="auto" w:fill="D9D9D9" w:themeFill="background1" w:themeFillShade="D9"/>
            <w:vAlign w:val="center"/>
          </w:tcPr>
          <w:p w14:paraId="57E3ADAB"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799" w:type="pct"/>
            <w:shd w:val="clear" w:color="auto" w:fill="D9D9D9" w:themeFill="background1" w:themeFillShade="D9"/>
            <w:vAlign w:val="center"/>
          </w:tcPr>
          <w:p w14:paraId="548A5EA6"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0" w:type="pct"/>
            <w:shd w:val="clear" w:color="auto" w:fill="D9D9D9" w:themeFill="background1" w:themeFillShade="D9"/>
            <w:vAlign w:val="center"/>
          </w:tcPr>
          <w:p w14:paraId="5B5DE4DD"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3C21D4F7"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1291" w:type="pct"/>
            <w:shd w:val="clear" w:color="auto" w:fill="D9D9D9" w:themeFill="background1" w:themeFillShade="D9"/>
            <w:vAlign w:val="center"/>
          </w:tcPr>
          <w:p w14:paraId="78F3EA09"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Grupet e interesit</w:t>
            </w:r>
          </w:p>
        </w:tc>
      </w:tr>
      <w:tr w:rsidR="004719D2" w:rsidRPr="004A47DC" w14:paraId="1315AD2B" w14:textId="77777777" w:rsidTr="00D70BDE">
        <w:trPr>
          <w:trHeight w:val="335"/>
        </w:trPr>
        <w:tc>
          <w:tcPr>
            <w:tcW w:w="1059" w:type="pct"/>
            <w:vMerge w:val="restart"/>
            <w:shd w:val="clear" w:color="auto" w:fill="auto"/>
          </w:tcPr>
          <w:p w14:paraId="2DDC303A"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3.2.1 Përmirësimi i kadastrës fiskale dhe sistemit të mbledhjes së taksës së pasurisë</w:t>
            </w:r>
          </w:p>
          <w:p w14:paraId="7332FA3B"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1799" w:type="pct"/>
            <w:vAlign w:val="center"/>
          </w:tcPr>
          <w:p w14:paraId="05B6AF7C" w14:textId="77777777" w:rsidR="004719D2" w:rsidRPr="004A47DC" w:rsidRDefault="004719D2" w:rsidP="00732B6D">
            <w:pPr>
              <w:pStyle w:val="EcorysBody"/>
              <w:numPr>
                <w:ilvl w:val="0"/>
                <w:numId w:val="10"/>
              </w:numPr>
              <w:spacing w:line="240" w:lineRule="auto"/>
              <w:ind w:left="215" w:hanging="215"/>
              <w:rPr>
                <w:rFonts w:ascii="Garamond" w:hAnsi="Garamond" w:cs="Arial"/>
                <w:color w:val="000000" w:themeColor="text1"/>
                <w:sz w:val="16"/>
                <w:szCs w:val="16"/>
              </w:rPr>
            </w:pPr>
            <w:r w:rsidRPr="004A47DC">
              <w:rPr>
                <w:rFonts w:ascii="Garamond" w:hAnsi="Garamond" w:cs="Arial"/>
                <w:color w:val="000000" w:themeColor="text1"/>
                <w:sz w:val="16"/>
                <w:szCs w:val="16"/>
              </w:rPr>
              <w:t>Hartimi dhe miratimi i kuadrit ligjor (aktet ligjore dhe aktet nënligjore) për kadastrën fiskale, taksën mbi tokën dhe pasurinë e paluajtshme dhe aktin nënligjor për vlerësimin e tokës dhe pasurisë.</w:t>
            </w:r>
          </w:p>
        </w:tc>
        <w:tc>
          <w:tcPr>
            <w:tcW w:w="380" w:type="pct"/>
            <w:shd w:val="clear" w:color="auto" w:fill="auto"/>
            <w:vAlign w:val="center"/>
          </w:tcPr>
          <w:p w14:paraId="4C76D9E0"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T1 2023</w:t>
            </w:r>
          </w:p>
        </w:tc>
        <w:tc>
          <w:tcPr>
            <w:tcW w:w="471" w:type="pct"/>
            <w:shd w:val="clear" w:color="auto" w:fill="auto"/>
            <w:vAlign w:val="center"/>
          </w:tcPr>
          <w:p w14:paraId="06913833"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T4 2025</w:t>
            </w:r>
          </w:p>
        </w:tc>
        <w:tc>
          <w:tcPr>
            <w:tcW w:w="1291" w:type="pct"/>
            <w:vMerge w:val="restart"/>
          </w:tcPr>
          <w:p w14:paraId="0C25BD7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A9C2DCA" w14:textId="77777777" w:rsidR="00162853"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MF</w:t>
            </w:r>
            <w:r w:rsidR="00162853">
              <w:rPr>
                <w:rFonts w:ascii="Garamond" w:hAnsi="Garamond"/>
                <w:color w:val="000000" w:themeColor="text1"/>
                <w:sz w:val="16"/>
                <w:szCs w:val="16"/>
              </w:rPr>
              <w:t xml:space="preserve">-ja </w:t>
            </w:r>
            <w:r w:rsidRPr="004A47DC">
              <w:rPr>
                <w:rFonts w:ascii="Garamond" w:hAnsi="Garamond"/>
                <w:color w:val="000000" w:themeColor="text1"/>
                <w:sz w:val="16"/>
                <w:szCs w:val="16"/>
              </w:rPr>
              <w:t xml:space="preserve">(lider) </w:t>
            </w:r>
          </w:p>
          <w:p w14:paraId="1EE350C2" w14:textId="70215A9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DPTP</w:t>
            </w:r>
            <w:r w:rsidR="00162853">
              <w:rPr>
                <w:rFonts w:ascii="Garamond" w:hAnsi="Garamond"/>
                <w:color w:val="000000" w:themeColor="text1"/>
                <w:sz w:val="16"/>
                <w:szCs w:val="16"/>
              </w:rPr>
              <w:t>-ja</w:t>
            </w:r>
            <w:r w:rsidRPr="004A47DC">
              <w:rPr>
                <w:rFonts w:ascii="Garamond" w:hAnsi="Garamond"/>
                <w:color w:val="000000" w:themeColor="text1"/>
                <w:sz w:val="16"/>
                <w:szCs w:val="16"/>
              </w:rPr>
              <w:t xml:space="preserve"> (lider)</w:t>
            </w:r>
          </w:p>
          <w:p w14:paraId="119DEEFB" w14:textId="77777777" w:rsidR="004719D2" w:rsidRPr="004A47DC" w:rsidRDefault="004719D2" w:rsidP="00CF7CEC">
            <w:pPr>
              <w:rPr>
                <w:rFonts w:ascii="Garamond" w:hAnsi="Garamond"/>
                <w:color w:val="000000" w:themeColor="text1"/>
                <w:sz w:val="16"/>
                <w:szCs w:val="16"/>
              </w:rPr>
            </w:pPr>
          </w:p>
          <w:p w14:paraId="72E5D81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5451BE77" w14:textId="77777777" w:rsidR="00162853"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 xml:space="preserve">Agjencia Suedeze për Bashkëpunim dhe Zhvillim Ndërkombëtar (SIDA), </w:t>
            </w:r>
          </w:p>
          <w:p w14:paraId="76A0D4EE" w14:textId="6495726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ProTax Albania Project,</w:t>
            </w:r>
            <w:r w:rsidRPr="004A47DC">
              <w:rPr>
                <w:rStyle w:val="FootnoteReference"/>
                <w:rFonts w:ascii="Garamond" w:hAnsi="Garamond"/>
                <w:color w:val="000000" w:themeColor="text1"/>
                <w:sz w:val="16"/>
                <w:szCs w:val="16"/>
              </w:rPr>
              <w:footnoteReference w:id="44"/>
            </w:r>
            <w:r w:rsidRPr="004A47DC">
              <w:rPr>
                <w:rFonts w:ascii="Garamond" w:hAnsi="Garamond"/>
                <w:color w:val="000000" w:themeColor="text1"/>
                <w:sz w:val="16"/>
                <w:szCs w:val="16"/>
              </w:rPr>
              <w:t xml:space="preserve"> dhe Agjencia Suedeze e Taksave</w:t>
            </w:r>
          </w:p>
        </w:tc>
      </w:tr>
      <w:tr w:rsidR="004719D2" w:rsidRPr="004A47DC" w14:paraId="07F476AB" w14:textId="77777777" w:rsidTr="00D70BDE">
        <w:trPr>
          <w:trHeight w:val="20"/>
        </w:trPr>
        <w:tc>
          <w:tcPr>
            <w:tcW w:w="1059" w:type="pct"/>
            <w:vMerge/>
            <w:shd w:val="clear" w:color="auto" w:fill="auto"/>
          </w:tcPr>
          <w:p w14:paraId="41A10417"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1799" w:type="pct"/>
            <w:vAlign w:val="center"/>
          </w:tcPr>
          <w:p w14:paraId="5926CC68" w14:textId="77777777" w:rsidR="004719D2" w:rsidRPr="004A47DC" w:rsidRDefault="004719D2" w:rsidP="00732B6D">
            <w:pPr>
              <w:pStyle w:val="EcorysBody"/>
              <w:numPr>
                <w:ilvl w:val="0"/>
                <w:numId w:val="10"/>
              </w:numPr>
              <w:spacing w:line="240" w:lineRule="auto"/>
              <w:ind w:left="215" w:hanging="215"/>
              <w:rPr>
                <w:rFonts w:ascii="Garamond" w:hAnsi="Garamond" w:cs="Arial"/>
                <w:color w:val="000000" w:themeColor="text1"/>
                <w:sz w:val="16"/>
                <w:szCs w:val="16"/>
              </w:rPr>
            </w:pPr>
            <w:r w:rsidRPr="004A47DC">
              <w:rPr>
                <w:rFonts w:ascii="Garamond" w:hAnsi="Garamond" w:cs="Arial"/>
                <w:color w:val="000000" w:themeColor="text1"/>
                <w:sz w:val="16"/>
                <w:szCs w:val="16"/>
              </w:rPr>
              <w:t>Hartimi i kuadrit institucional për menaxhimin dhe administrimin e taksës mbi ndërtesën</w:t>
            </w:r>
          </w:p>
        </w:tc>
        <w:tc>
          <w:tcPr>
            <w:tcW w:w="380" w:type="pct"/>
            <w:shd w:val="clear" w:color="auto" w:fill="auto"/>
            <w:vAlign w:val="center"/>
          </w:tcPr>
          <w:p w14:paraId="407C9AC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T4 2024</w:t>
            </w:r>
          </w:p>
        </w:tc>
        <w:tc>
          <w:tcPr>
            <w:tcW w:w="471" w:type="pct"/>
            <w:shd w:val="clear" w:color="auto" w:fill="auto"/>
            <w:vAlign w:val="center"/>
          </w:tcPr>
          <w:p w14:paraId="0749CA5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T1 2026</w:t>
            </w:r>
          </w:p>
        </w:tc>
        <w:tc>
          <w:tcPr>
            <w:tcW w:w="1291" w:type="pct"/>
            <w:vMerge/>
          </w:tcPr>
          <w:p w14:paraId="34E31DA1" w14:textId="77777777" w:rsidR="004719D2" w:rsidRPr="004A47DC" w:rsidRDefault="004719D2" w:rsidP="00CF7CEC">
            <w:pPr>
              <w:rPr>
                <w:rFonts w:ascii="Garamond" w:hAnsi="Garamond"/>
                <w:b/>
                <w:bCs/>
                <w:color w:val="000000" w:themeColor="text1"/>
                <w:sz w:val="16"/>
                <w:szCs w:val="16"/>
              </w:rPr>
            </w:pPr>
          </w:p>
        </w:tc>
      </w:tr>
      <w:tr w:rsidR="004719D2" w:rsidRPr="004A47DC" w14:paraId="759FAB3C" w14:textId="77777777" w:rsidTr="00D70BDE">
        <w:trPr>
          <w:trHeight w:val="20"/>
        </w:trPr>
        <w:tc>
          <w:tcPr>
            <w:tcW w:w="1059" w:type="pct"/>
            <w:vMerge/>
            <w:shd w:val="clear" w:color="auto" w:fill="auto"/>
          </w:tcPr>
          <w:p w14:paraId="4879350B"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1799" w:type="pct"/>
            <w:vAlign w:val="center"/>
          </w:tcPr>
          <w:p w14:paraId="6CF4C64D" w14:textId="77777777" w:rsidR="004719D2" w:rsidRPr="004A47DC" w:rsidRDefault="004719D2" w:rsidP="00732B6D">
            <w:pPr>
              <w:pStyle w:val="EcorysBody"/>
              <w:numPr>
                <w:ilvl w:val="0"/>
                <w:numId w:val="10"/>
              </w:numPr>
              <w:spacing w:line="240" w:lineRule="auto"/>
              <w:ind w:left="215" w:hanging="215"/>
              <w:rPr>
                <w:rFonts w:ascii="Garamond" w:hAnsi="Garamond" w:cs="Arial"/>
                <w:color w:val="000000" w:themeColor="text1"/>
                <w:sz w:val="16"/>
                <w:szCs w:val="16"/>
              </w:rPr>
            </w:pPr>
            <w:r w:rsidRPr="004A47DC">
              <w:rPr>
                <w:rFonts w:ascii="Garamond" w:hAnsi="Garamond" w:cs="Arial"/>
                <w:color w:val="000000" w:themeColor="text1"/>
                <w:sz w:val="16"/>
                <w:szCs w:val="16"/>
              </w:rPr>
              <w:t xml:space="preserve">Finalizimi i Sistemit Informativ të Kadastrës Fiskale (SIKF), ndërveprimit të tij me sistemet e tjera dhe shtrirja në bashki. </w:t>
            </w:r>
          </w:p>
        </w:tc>
        <w:tc>
          <w:tcPr>
            <w:tcW w:w="380" w:type="pct"/>
            <w:shd w:val="clear" w:color="auto" w:fill="auto"/>
            <w:vAlign w:val="center"/>
          </w:tcPr>
          <w:p w14:paraId="056879F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T1 2025</w:t>
            </w:r>
          </w:p>
        </w:tc>
        <w:tc>
          <w:tcPr>
            <w:tcW w:w="471" w:type="pct"/>
            <w:shd w:val="clear" w:color="auto" w:fill="auto"/>
            <w:vAlign w:val="center"/>
          </w:tcPr>
          <w:p w14:paraId="141C24F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T4 2026</w:t>
            </w:r>
          </w:p>
        </w:tc>
        <w:tc>
          <w:tcPr>
            <w:tcW w:w="1291" w:type="pct"/>
            <w:vMerge/>
          </w:tcPr>
          <w:p w14:paraId="16C3EE75" w14:textId="77777777" w:rsidR="004719D2" w:rsidRPr="004A47DC" w:rsidRDefault="004719D2" w:rsidP="00CF7CEC">
            <w:pPr>
              <w:rPr>
                <w:rFonts w:ascii="Garamond" w:hAnsi="Garamond"/>
                <w:color w:val="000000" w:themeColor="text1"/>
                <w:sz w:val="16"/>
                <w:szCs w:val="16"/>
              </w:rPr>
            </w:pPr>
          </w:p>
        </w:tc>
      </w:tr>
      <w:tr w:rsidR="004719D2" w:rsidRPr="004A47DC" w14:paraId="22954428" w14:textId="77777777" w:rsidTr="00D70BDE">
        <w:trPr>
          <w:trHeight w:val="32"/>
        </w:trPr>
        <w:tc>
          <w:tcPr>
            <w:tcW w:w="1059" w:type="pct"/>
            <w:vMerge/>
          </w:tcPr>
          <w:p w14:paraId="09790780"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1799" w:type="pct"/>
            <w:vAlign w:val="center"/>
          </w:tcPr>
          <w:p w14:paraId="03215FCB" w14:textId="2A2AEBEA" w:rsidR="004719D2" w:rsidRPr="004A47DC" w:rsidRDefault="004719D2" w:rsidP="00732B6D">
            <w:pPr>
              <w:pStyle w:val="EcorysBody"/>
              <w:numPr>
                <w:ilvl w:val="0"/>
                <w:numId w:val="10"/>
              </w:numPr>
              <w:spacing w:line="240" w:lineRule="auto"/>
              <w:ind w:left="215" w:hanging="215"/>
              <w:rPr>
                <w:rFonts w:ascii="Garamond" w:hAnsi="Garamond" w:cs="Arial"/>
                <w:color w:val="000000" w:themeColor="text1"/>
                <w:sz w:val="16"/>
                <w:szCs w:val="16"/>
              </w:rPr>
            </w:pPr>
            <w:r w:rsidRPr="004A47DC">
              <w:rPr>
                <w:rFonts w:ascii="Garamond" w:hAnsi="Garamond" w:cs="Arial"/>
                <w:color w:val="000000" w:themeColor="text1"/>
                <w:sz w:val="16"/>
                <w:szCs w:val="16"/>
              </w:rPr>
              <w:t>Pilotimi, ndërtimi i kapaciteteve dhe institucionalizimi i procedurave për vlerësimin e pasurisë së paluajtshme, popullimin dhe mirëmbajtjen e të dhënave të pasurisë së paluajtshme në SIKF</w:t>
            </w:r>
            <w:r w:rsidR="00162853">
              <w:rPr>
                <w:rFonts w:ascii="Garamond" w:hAnsi="Garamond" w:cs="Arial"/>
                <w:color w:val="000000" w:themeColor="text1"/>
                <w:sz w:val="16"/>
                <w:szCs w:val="16"/>
              </w:rPr>
              <w:t>.</w:t>
            </w:r>
          </w:p>
        </w:tc>
        <w:tc>
          <w:tcPr>
            <w:tcW w:w="380" w:type="pct"/>
            <w:vAlign w:val="center"/>
          </w:tcPr>
          <w:p w14:paraId="32649B41" w14:textId="77777777" w:rsidR="004719D2" w:rsidRPr="004A47DC" w:rsidRDefault="004719D2" w:rsidP="00CF7CEC">
            <w:pPr>
              <w:pStyle w:val="T-normal"/>
              <w:spacing w:line="240" w:lineRule="auto"/>
              <w:jc w:val="center"/>
              <w:rPr>
                <w:rFonts w:ascii="Garamond" w:hAnsi="Garamond"/>
                <w:color w:val="000000" w:themeColor="text1"/>
                <w:highlight w:val="yellow"/>
                <w:lang w:val="sq-AL"/>
              </w:rPr>
            </w:pPr>
            <w:r w:rsidRPr="004A47DC">
              <w:rPr>
                <w:rFonts w:ascii="Garamond" w:hAnsi="Garamond"/>
                <w:color w:val="000000" w:themeColor="text1"/>
                <w:lang w:val="sq-AL"/>
              </w:rPr>
              <w:t>T1 2025</w:t>
            </w:r>
          </w:p>
        </w:tc>
        <w:tc>
          <w:tcPr>
            <w:tcW w:w="471" w:type="pct"/>
            <w:vAlign w:val="center"/>
          </w:tcPr>
          <w:p w14:paraId="58A4E26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&gt; 2026</w:t>
            </w:r>
          </w:p>
        </w:tc>
        <w:tc>
          <w:tcPr>
            <w:tcW w:w="1291" w:type="pct"/>
            <w:vMerge/>
          </w:tcPr>
          <w:p w14:paraId="488E9FCD" w14:textId="77777777" w:rsidR="004719D2" w:rsidRPr="004A47DC" w:rsidRDefault="004719D2" w:rsidP="00CF7CEC">
            <w:pPr>
              <w:rPr>
                <w:rFonts w:ascii="Garamond" w:hAnsi="Garamond"/>
                <w:color w:val="000000" w:themeColor="text1"/>
                <w:sz w:val="16"/>
                <w:szCs w:val="16"/>
              </w:rPr>
            </w:pPr>
          </w:p>
        </w:tc>
      </w:tr>
      <w:tr w:rsidR="004719D2" w:rsidRPr="004A47DC" w14:paraId="5AB979B0" w14:textId="77777777" w:rsidTr="00D70BDE">
        <w:trPr>
          <w:trHeight w:val="20"/>
        </w:trPr>
        <w:tc>
          <w:tcPr>
            <w:tcW w:w="1059" w:type="pct"/>
            <w:vMerge/>
          </w:tcPr>
          <w:p w14:paraId="53646D59" w14:textId="77777777" w:rsidR="004719D2" w:rsidRPr="004A47DC" w:rsidRDefault="004719D2" w:rsidP="00732B6D">
            <w:pPr>
              <w:pStyle w:val="EcorysBody"/>
              <w:numPr>
                <w:ilvl w:val="0"/>
                <w:numId w:val="11"/>
              </w:numPr>
              <w:spacing w:line="240" w:lineRule="auto"/>
              <w:rPr>
                <w:rFonts w:ascii="Garamond" w:hAnsi="Garamond" w:cs="Arial"/>
                <w:color w:val="000000" w:themeColor="text1"/>
                <w:sz w:val="16"/>
                <w:szCs w:val="16"/>
              </w:rPr>
            </w:pPr>
          </w:p>
        </w:tc>
        <w:tc>
          <w:tcPr>
            <w:tcW w:w="1799" w:type="pct"/>
            <w:vAlign w:val="center"/>
          </w:tcPr>
          <w:p w14:paraId="4EC3DFB9" w14:textId="4BA92C06" w:rsidR="004719D2" w:rsidRPr="004A47DC" w:rsidRDefault="004719D2" w:rsidP="00732B6D">
            <w:pPr>
              <w:pStyle w:val="EcorysBody"/>
              <w:numPr>
                <w:ilvl w:val="0"/>
                <w:numId w:val="10"/>
              </w:numPr>
              <w:spacing w:line="240" w:lineRule="auto"/>
              <w:ind w:left="215" w:hanging="215"/>
              <w:rPr>
                <w:rFonts w:ascii="Garamond" w:hAnsi="Garamond" w:cs="Arial"/>
                <w:color w:val="000000" w:themeColor="text1"/>
                <w:sz w:val="16"/>
                <w:szCs w:val="16"/>
              </w:rPr>
            </w:pPr>
            <w:r w:rsidRPr="004A47DC">
              <w:rPr>
                <w:rFonts w:ascii="Garamond" w:hAnsi="Garamond" w:cs="Arial"/>
                <w:color w:val="000000" w:themeColor="text1"/>
                <w:sz w:val="16"/>
                <w:szCs w:val="16"/>
              </w:rPr>
              <w:t>Përmirësimi i proceseve për mbledhjen e taksës së pasurisë së paluajtshme dhe rritja e ndërgjegjësimit të taksapaguesve</w:t>
            </w:r>
            <w:r w:rsidR="00162853">
              <w:rPr>
                <w:rFonts w:ascii="Garamond" w:hAnsi="Garamond" w:cs="Arial"/>
                <w:color w:val="000000" w:themeColor="text1"/>
                <w:sz w:val="16"/>
                <w:szCs w:val="16"/>
              </w:rPr>
              <w:t>.</w:t>
            </w:r>
          </w:p>
        </w:tc>
        <w:tc>
          <w:tcPr>
            <w:tcW w:w="380" w:type="pct"/>
            <w:vAlign w:val="center"/>
          </w:tcPr>
          <w:p w14:paraId="4B6AA7BB" w14:textId="77777777" w:rsidR="004719D2" w:rsidRPr="004A47DC" w:rsidRDefault="004719D2" w:rsidP="00CF7CEC">
            <w:pPr>
              <w:pStyle w:val="T-normal"/>
              <w:spacing w:line="240" w:lineRule="auto"/>
              <w:jc w:val="center"/>
              <w:rPr>
                <w:rFonts w:ascii="Garamond" w:hAnsi="Garamond"/>
                <w:color w:val="000000" w:themeColor="text1"/>
                <w:highlight w:val="yellow"/>
                <w:lang w:val="sq-AL"/>
              </w:rPr>
            </w:pPr>
            <w:r w:rsidRPr="004A47DC">
              <w:rPr>
                <w:rFonts w:ascii="Garamond" w:hAnsi="Garamond"/>
                <w:color w:val="000000" w:themeColor="text1"/>
                <w:lang w:val="sq-AL"/>
              </w:rPr>
              <w:t>T1 2025</w:t>
            </w:r>
          </w:p>
        </w:tc>
        <w:tc>
          <w:tcPr>
            <w:tcW w:w="471" w:type="pct"/>
            <w:vAlign w:val="center"/>
          </w:tcPr>
          <w:p w14:paraId="55B17D82" w14:textId="77777777" w:rsidR="004719D2" w:rsidRPr="004A47DC" w:rsidRDefault="004719D2" w:rsidP="00CF7CEC">
            <w:pPr>
              <w:pStyle w:val="T-normal"/>
              <w:spacing w:line="240" w:lineRule="auto"/>
              <w:jc w:val="center"/>
              <w:rPr>
                <w:rFonts w:ascii="Garamond" w:hAnsi="Garamond"/>
                <w:color w:val="000000" w:themeColor="text1"/>
                <w:highlight w:val="yellow"/>
                <w:lang w:val="sq-AL"/>
              </w:rPr>
            </w:pPr>
            <w:r w:rsidRPr="004A47DC">
              <w:rPr>
                <w:rFonts w:ascii="Garamond" w:hAnsi="Garamond"/>
                <w:color w:val="000000" w:themeColor="text1"/>
                <w:lang w:val="sq-AL"/>
              </w:rPr>
              <w:t>&gt; 2026</w:t>
            </w:r>
          </w:p>
        </w:tc>
        <w:tc>
          <w:tcPr>
            <w:tcW w:w="1291" w:type="pct"/>
            <w:vMerge/>
          </w:tcPr>
          <w:p w14:paraId="1528D67F" w14:textId="77777777" w:rsidR="004719D2" w:rsidRPr="004A47DC" w:rsidRDefault="004719D2" w:rsidP="00CF7CEC">
            <w:pPr>
              <w:rPr>
                <w:rFonts w:ascii="Garamond" w:hAnsi="Garamond"/>
                <w:color w:val="000000" w:themeColor="text1"/>
                <w:sz w:val="16"/>
                <w:szCs w:val="16"/>
              </w:rPr>
            </w:pPr>
          </w:p>
        </w:tc>
      </w:tr>
    </w:tbl>
    <w:p w14:paraId="187E2D95" w14:textId="77777777" w:rsidR="004719D2" w:rsidRPr="004A47DC" w:rsidRDefault="004719D2" w:rsidP="004719D2">
      <w:pPr>
        <w:pStyle w:val="N-Bullet"/>
        <w:spacing w:line="240" w:lineRule="auto"/>
        <w:ind w:left="0" w:firstLine="0"/>
        <w:rPr>
          <w:rFonts w:ascii="Garamond" w:hAnsi="Garamond"/>
          <w:color w:val="000000" w:themeColor="text1"/>
        </w:rPr>
      </w:pPr>
    </w:p>
    <w:p w14:paraId="3BA75C09" w14:textId="4B9D97D7" w:rsidR="004719D2" w:rsidRPr="00162853" w:rsidRDefault="004719D2" w:rsidP="004719D2">
      <w:pPr>
        <w:pStyle w:val="H5"/>
        <w:spacing w:after="0" w:line="240" w:lineRule="auto"/>
        <w:rPr>
          <w:rStyle w:val="IntenseReference"/>
          <w:rFonts w:ascii="Garamond" w:hAnsi="Garamond"/>
          <w:i w:val="0"/>
          <w:color w:val="000000" w:themeColor="text1"/>
          <w:sz w:val="24"/>
          <w:szCs w:val="24"/>
        </w:rPr>
      </w:pPr>
      <w:r w:rsidRPr="00162853">
        <w:rPr>
          <w:rFonts w:ascii="Garamond" w:hAnsi="Garamond"/>
          <w:color w:val="000000" w:themeColor="text1"/>
          <w:sz w:val="24"/>
          <w:szCs w:val="24"/>
        </w:rPr>
        <w:t>Treguesit e performanc</w:t>
      </w:r>
      <w:r w:rsidR="00162853" w:rsidRPr="00162853">
        <w:rPr>
          <w:rFonts w:ascii="Garamond" w:hAnsi="Garamond"/>
          <w:color w:val="000000" w:themeColor="text1"/>
          <w:sz w:val="24"/>
          <w:szCs w:val="24"/>
        </w:rPr>
        <w:t>ë</w:t>
      </w:r>
      <w:r w:rsidRPr="00162853">
        <w:rPr>
          <w:rFonts w:ascii="Garamond" w:hAnsi="Garamond"/>
          <w:color w:val="000000" w:themeColor="text1"/>
          <w:sz w:val="24"/>
          <w:szCs w:val="24"/>
        </w:rPr>
        <w:t>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006538BC" w14:textId="77777777" w:rsidTr="00D70BDE">
        <w:trPr>
          <w:cantSplit/>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8293DF" w14:textId="76C5E202"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6F9A3F"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7D1A42"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5A69813F" w14:textId="77777777" w:rsidTr="00D70BDE">
        <w:trPr>
          <w:cantSplit/>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463E4735" w14:textId="77777777" w:rsidR="004719D2" w:rsidRPr="004A47DC" w:rsidRDefault="004719D2" w:rsidP="00D70BDE">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5E3E9DF6" w14:textId="77777777" w:rsidR="004719D2" w:rsidRPr="004A47DC" w:rsidRDefault="004719D2" w:rsidP="00D70BDE">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3EC933"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B9736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8D3A5D"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04FCF9"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7069B1C6" w14:textId="77777777" w:rsidTr="00D70BDE">
        <w:tc>
          <w:tcPr>
            <w:tcW w:w="1727" w:type="pct"/>
            <w:tcBorders>
              <w:top w:val="single" w:sz="4" w:space="0" w:color="auto"/>
              <w:left w:val="single" w:sz="4" w:space="0" w:color="auto"/>
              <w:bottom w:val="single" w:sz="4" w:space="0" w:color="auto"/>
              <w:right w:val="single" w:sz="4" w:space="0" w:color="auto"/>
            </w:tcBorders>
          </w:tcPr>
          <w:p w14:paraId="1C902ED9" w14:textId="78869505" w:rsidR="004719D2" w:rsidRPr="004A47DC" w:rsidRDefault="00EF7D30" w:rsidP="00EF7D30">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Hartimi dhe miratimi i ligjit për taksën mbi pasurinë e paluajtshme</w:t>
            </w:r>
          </w:p>
        </w:tc>
        <w:tc>
          <w:tcPr>
            <w:tcW w:w="654" w:type="pct"/>
            <w:tcBorders>
              <w:top w:val="single" w:sz="4" w:space="0" w:color="auto"/>
              <w:left w:val="single" w:sz="4" w:space="0" w:color="auto"/>
              <w:bottom w:val="single" w:sz="4" w:space="0" w:color="auto"/>
              <w:right w:val="single" w:sz="4" w:space="0" w:color="auto"/>
            </w:tcBorders>
            <w:vAlign w:val="center"/>
          </w:tcPr>
          <w:p w14:paraId="6261FDD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6453239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Hartimi i ligjit për taksën mbi pasurinë e paluajtshme</w:t>
            </w:r>
          </w:p>
        </w:tc>
        <w:tc>
          <w:tcPr>
            <w:tcW w:w="654" w:type="pct"/>
            <w:tcBorders>
              <w:top w:val="single" w:sz="4" w:space="0" w:color="auto"/>
              <w:left w:val="single" w:sz="4" w:space="0" w:color="auto"/>
              <w:bottom w:val="single" w:sz="4" w:space="0" w:color="auto"/>
              <w:right w:val="single" w:sz="4" w:space="0" w:color="auto"/>
            </w:tcBorders>
            <w:vAlign w:val="center"/>
          </w:tcPr>
          <w:p w14:paraId="64899B4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0E16751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Miratimi i ligjit për taksën mbi pasurinë e paluajtshme</w:t>
            </w:r>
          </w:p>
        </w:tc>
        <w:tc>
          <w:tcPr>
            <w:tcW w:w="655" w:type="pct"/>
            <w:tcBorders>
              <w:top w:val="single" w:sz="4" w:space="0" w:color="auto"/>
              <w:left w:val="single" w:sz="4" w:space="0" w:color="auto"/>
              <w:bottom w:val="single" w:sz="4" w:space="0" w:color="auto"/>
              <w:right w:val="single" w:sz="4" w:space="0" w:color="auto"/>
            </w:tcBorders>
            <w:vAlign w:val="center"/>
          </w:tcPr>
          <w:p w14:paraId="0E97CB9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r>
      <w:tr w:rsidR="004719D2" w:rsidRPr="004A47DC" w14:paraId="5461847F" w14:textId="77777777" w:rsidTr="00D70BDE">
        <w:tc>
          <w:tcPr>
            <w:tcW w:w="1727" w:type="pct"/>
            <w:tcBorders>
              <w:top w:val="single" w:sz="4" w:space="0" w:color="auto"/>
              <w:left w:val="single" w:sz="4" w:space="0" w:color="auto"/>
              <w:bottom w:val="single" w:sz="4" w:space="0" w:color="auto"/>
              <w:right w:val="single" w:sz="4" w:space="0" w:color="auto"/>
            </w:tcBorders>
          </w:tcPr>
          <w:p w14:paraId="21D5DDEF" w14:textId="20A7CABA" w:rsidR="004719D2" w:rsidRPr="004A47DC" w:rsidRDefault="00EF7D30" w:rsidP="00EF7D30">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Miratimi i akteve nënligjore për zbatimin e ligjit për taksën mbi pasurinë e paluajtshme</w:t>
            </w:r>
          </w:p>
        </w:tc>
        <w:tc>
          <w:tcPr>
            <w:tcW w:w="654" w:type="pct"/>
            <w:tcBorders>
              <w:top w:val="single" w:sz="4" w:space="0" w:color="auto"/>
              <w:left w:val="single" w:sz="4" w:space="0" w:color="auto"/>
              <w:bottom w:val="single" w:sz="4" w:space="0" w:color="auto"/>
              <w:right w:val="single" w:sz="4" w:space="0" w:color="auto"/>
            </w:tcBorders>
            <w:vAlign w:val="center"/>
          </w:tcPr>
          <w:p w14:paraId="24AFEDF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0C491C4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6BCDEFA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66FFE8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Hartimi dhe miratimi i akteve nënligjore</w:t>
            </w:r>
          </w:p>
        </w:tc>
        <w:tc>
          <w:tcPr>
            <w:tcW w:w="655" w:type="pct"/>
            <w:tcBorders>
              <w:top w:val="single" w:sz="4" w:space="0" w:color="auto"/>
              <w:left w:val="single" w:sz="4" w:space="0" w:color="auto"/>
              <w:bottom w:val="single" w:sz="4" w:space="0" w:color="auto"/>
              <w:right w:val="single" w:sz="4" w:space="0" w:color="auto"/>
            </w:tcBorders>
            <w:vAlign w:val="center"/>
          </w:tcPr>
          <w:p w14:paraId="2183B27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r>
    </w:tbl>
    <w:p w14:paraId="3C24E81C" w14:textId="77777777" w:rsidR="004719D2" w:rsidRPr="004A47DC" w:rsidRDefault="004719D2" w:rsidP="002A46A0">
      <w:pPr>
        <w:pStyle w:val="TEKSTIII"/>
      </w:pPr>
    </w:p>
    <w:p w14:paraId="06D039B5" w14:textId="4B73F60E" w:rsidR="004719D2" w:rsidRPr="004A47DC" w:rsidRDefault="002A46A0" w:rsidP="002A46A0">
      <w:pPr>
        <w:pStyle w:val="TEKSTIII"/>
        <w:rPr>
          <w:b/>
        </w:rPr>
      </w:pPr>
      <w:bookmarkStart w:id="24" w:name="_Toc151048296"/>
      <w:bookmarkStart w:id="25" w:name="_Toc168918687"/>
      <w:r w:rsidRPr="004A47DC">
        <w:rPr>
          <w:b/>
        </w:rPr>
        <w:t xml:space="preserve">4.4 </w:t>
      </w:r>
      <w:r w:rsidR="004719D2" w:rsidRPr="004A47DC">
        <w:rPr>
          <w:b/>
        </w:rPr>
        <w:t>Komponenti 3.3</w:t>
      </w:r>
      <w:r w:rsidR="00D70BDE" w:rsidRPr="004A47DC">
        <w:rPr>
          <w:b/>
        </w:rPr>
        <w:t>:</w:t>
      </w:r>
      <w:r w:rsidR="004719D2" w:rsidRPr="004A47DC">
        <w:rPr>
          <w:b/>
        </w:rPr>
        <w:t xml:space="preserve"> </w:t>
      </w:r>
      <w:bookmarkEnd w:id="24"/>
      <w:r w:rsidR="004719D2" w:rsidRPr="004A47DC">
        <w:rPr>
          <w:b/>
        </w:rPr>
        <w:t xml:space="preserve">Menaxhimi </w:t>
      </w:r>
      <w:r w:rsidR="00D70BDE" w:rsidRPr="004A47DC">
        <w:rPr>
          <w:b/>
        </w:rPr>
        <w:t>d</w:t>
      </w:r>
      <w:r w:rsidR="004719D2" w:rsidRPr="004A47DC">
        <w:rPr>
          <w:b/>
        </w:rPr>
        <w:t>oganor</w:t>
      </w:r>
      <w:bookmarkEnd w:id="25"/>
    </w:p>
    <w:p w14:paraId="7CCD0CF7" w14:textId="77777777" w:rsidR="004719D2" w:rsidRPr="004A47DC" w:rsidRDefault="004719D2" w:rsidP="002A46A0">
      <w:pPr>
        <w:pStyle w:val="TEKSTIII"/>
        <w:rPr>
          <w:b/>
          <w:sz w:val="21"/>
          <w:szCs w:val="21"/>
        </w:rPr>
      </w:pPr>
      <w:r w:rsidRPr="004A47DC">
        <w:rPr>
          <w:b/>
        </w:rPr>
        <w:t xml:space="preserve">Objektivi </w:t>
      </w:r>
    </w:p>
    <w:p w14:paraId="61774ED9" w14:textId="72FCBEA1" w:rsidR="004719D2" w:rsidRPr="004A47DC" w:rsidRDefault="004719D2" w:rsidP="002A46A0">
      <w:pPr>
        <w:pStyle w:val="TEKSTIII"/>
      </w:pPr>
      <w:r w:rsidRPr="004A47DC">
        <w:t>Synimi për vitin 2030 është të kemi një Administratë Doganore efektive e cila ofron shërbime të përmirësuara për qytetarët dhe bizneset</w:t>
      </w:r>
      <w:r w:rsidR="004D48B6">
        <w:t>,</w:t>
      </w:r>
      <w:r w:rsidRPr="004A47DC">
        <w:t xml:space="preserve"> dhe funksionon në përputhje me standardet dhe legjislacionin e BE-së.</w:t>
      </w:r>
    </w:p>
    <w:p w14:paraId="05FFE354" w14:textId="77777777" w:rsidR="004719D2" w:rsidRPr="004A47DC" w:rsidRDefault="004719D2" w:rsidP="002A46A0">
      <w:pPr>
        <w:pStyle w:val="TEKSTIII"/>
        <w:rPr>
          <w:b/>
          <w:sz w:val="21"/>
          <w:szCs w:val="21"/>
        </w:rPr>
      </w:pPr>
      <w:r w:rsidRPr="004A47DC">
        <w:rPr>
          <w:b/>
        </w:rPr>
        <w:t xml:space="preserve">Konteksti </w:t>
      </w:r>
    </w:p>
    <w:p w14:paraId="44C0CEEE" w14:textId="387AA756" w:rsidR="004719D2" w:rsidRPr="004A47DC" w:rsidRDefault="004719D2" w:rsidP="002A46A0">
      <w:pPr>
        <w:pStyle w:val="TEKSTIII"/>
      </w:pPr>
      <w:r w:rsidRPr="004A47DC">
        <w:t>Deri më sot, raportohen arritje të rëndësishme në reformat doganore, veçanërisht në përafrimin e Kodit Doganor Shqiptar me Kodin Doganor të BE-së. Automatizimi i Doganave ishte një prioritet gjatë viteve të fundit dhe u bënë përpjekje për të futur dhe përmirësuar sisteme të tilla</w:t>
      </w:r>
      <w:r w:rsidR="004D48B6">
        <w:t>,</w:t>
      </w:r>
      <w:r w:rsidRPr="004A47DC">
        <w:t xml:space="preserve"> si</w:t>
      </w:r>
      <w:r w:rsidR="004D48B6">
        <w:t>:</w:t>
      </w:r>
      <w:r w:rsidRPr="004A47DC">
        <w:t xml:space="preserve"> Sistemi i Ri i Kompjuterizuar i Transitit (SRKT), Sistemi i Integruar i Menaxhimit të Tarifave (SIMT) dhe përmirësimi i moduleve ekzistuese në </w:t>
      </w:r>
      <w:r w:rsidRPr="004D48B6">
        <w:rPr>
          <w:i/>
        </w:rPr>
        <w:t>Asycuda</w:t>
      </w:r>
      <w:r w:rsidRPr="004A47DC">
        <w:t xml:space="preserve"> (sistemi kryesor në Administratën Doganore). Gjithashtu, ofrimi i shërbimit ndaj klientit është përmirësuar për shkak të riinxhinierimit </w:t>
      </w:r>
      <w:r w:rsidR="004D48B6">
        <w:t>t</w:t>
      </w:r>
      <w:r w:rsidRPr="004A47DC">
        <w:t>ë shumë proceseve, si</w:t>
      </w:r>
      <w:r w:rsidR="004D48B6">
        <w:t xml:space="preserve"> </w:t>
      </w:r>
      <w:r w:rsidRPr="004A47DC">
        <w:t xml:space="preserve">thjeshtësimi i procedurave dhe futja e menaxhimit doganor pa letra për të thjeshtuar pajtueshmërinë. Këto ndryshime rezultuan në përmirësimin e procedurave doganore </w:t>
      </w:r>
      <w:r w:rsidRPr="004D48B6">
        <w:rPr>
          <w:i/>
        </w:rPr>
        <w:t>online</w:t>
      </w:r>
      <w:r w:rsidRPr="004A47DC">
        <w:t>, reduktimin e kohës së përpunimit doganor dhe rritjen e përdorimit të vlerësimit të riskut. MF-ja ka zhvilluar Strategjinë Afatmesme të të Ardhurave 2022</w:t>
      </w:r>
      <w:r w:rsidR="00D70BDE" w:rsidRPr="004A47DC">
        <w:t>–</w:t>
      </w:r>
      <w:r w:rsidRPr="004A47DC">
        <w:t>2026</w:t>
      </w:r>
      <w:r w:rsidR="004D48B6">
        <w:t>,</w:t>
      </w:r>
      <w:r w:rsidRPr="004A47DC">
        <w:t xml:space="preserve"> me synimin për të mobilizuar të ardhura shtesë për të krijuar hapësirë fiskale për investime dhe zhvillim të qëndrueshëm.</w:t>
      </w:r>
    </w:p>
    <w:p w14:paraId="325289F8" w14:textId="77777777" w:rsidR="004719D2" w:rsidRPr="004A47DC" w:rsidRDefault="004719D2" w:rsidP="002A46A0">
      <w:pPr>
        <w:pStyle w:val="TEKSTIII"/>
        <w:rPr>
          <w:b/>
        </w:rPr>
      </w:pPr>
      <w:r w:rsidRPr="004A47DC">
        <w:rPr>
          <w:b/>
        </w:rPr>
        <w:t>Prioritetet</w:t>
      </w:r>
    </w:p>
    <w:p w14:paraId="2383B647" w14:textId="7A37C4B5" w:rsidR="004719D2" w:rsidRPr="004A47DC" w:rsidRDefault="004719D2" w:rsidP="002A46A0">
      <w:pPr>
        <w:pStyle w:val="TEKSTIII"/>
      </w:pPr>
      <w:r w:rsidRPr="004A47DC">
        <w:t xml:space="preserve">Prioritetet kryesore për periudhën </w:t>
      </w:r>
      <w:r w:rsidR="00DB1D7E" w:rsidRPr="004A47DC">
        <w:t>2023–2026</w:t>
      </w:r>
      <w:r w:rsidRPr="004A47DC">
        <w:t xml:space="preserve"> janë:</w:t>
      </w:r>
    </w:p>
    <w:p w14:paraId="0EF48AB4" w14:textId="588E65FF" w:rsidR="004719D2" w:rsidRPr="004A47DC" w:rsidRDefault="002A46A0" w:rsidP="002A46A0">
      <w:pPr>
        <w:pStyle w:val="TEKSTIII"/>
      </w:pPr>
      <w:r w:rsidRPr="004A47DC">
        <w:t xml:space="preserve">- </w:t>
      </w:r>
      <w:r w:rsidR="004719D2" w:rsidRPr="004A47DC">
        <w:t>Profesionalizimi i menaxhimit të riskut dhe proceseve të biznesit të Administratës Doganore</w:t>
      </w:r>
      <w:r w:rsidR="00D70BDE" w:rsidRPr="004A47DC">
        <w:t>;</w:t>
      </w:r>
    </w:p>
    <w:p w14:paraId="5679C4C0" w14:textId="69EBCFC9" w:rsidR="004719D2" w:rsidRPr="004A47DC" w:rsidRDefault="002A46A0" w:rsidP="002A46A0">
      <w:pPr>
        <w:pStyle w:val="TEKSTIII"/>
      </w:pPr>
      <w:r w:rsidRPr="004A47DC">
        <w:t xml:space="preserve">- </w:t>
      </w:r>
      <w:r w:rsidR="004719D2" w:rsidRPr="004A47DC">
        <w:t>Hartimi dhe zbatimi i planeve për të luftuar informalitetin dhe korrupsionin</w:t>
      </w:r>
      <w:r w:rsidR="00D70BDE" w:rsidRPr="004A47DC">
        <w:t>;</w:t>
      </w:r>
    </w:p>
    <w:p w14:paraId="187DDDC8" w14:textId="44BC378B" w:rsidR="004719D2" w:rsidRPr="004A47DC" w:rsidRDefault="002A46A0" w:rsidP="002A46A0">
      <w:pPr>
        <w:pStyle w:val="TEKSTIII"/>
      </w:pPr>
      <w:r w:rsidRPr="004A47DC">
        <w:t xml:space="preserve">- </w:t>
      </w:r>
      <w:r w:rsidR="004719D2" w:rsidRPr="004A47DC">
        <w:t xml:space="preserve">Prezantimi i </w:t>
      </w:r>
      <w:r w:rsidR="00E33A13" w:rsidRPr="004A47DC">
        <w:t>“</w:t>
      </w:r>
      <w:r w:rsidR="004719D2" w:rsidRPr="004A47DC">
        <w:t xml:space="preserve">Dritares së </w:t>
      </w:r>
      <w:r w:rsidR="004D48B6" w:rsidRPr="004A47DC">
        <w:t>vetme kombëtare</w:t>
      </w:r>
      <w:r w:rsidR="00E33A13" w:rsidRPr="004A47DC">
        <w:t>”</w:t>
      </w:r>
      <w:r w:rsidR="004719D2" w:rsidRPr="004A47DC">
        <w:t xml:space="preserve"> dhe rritja e numrit të operatorëve ekonomikë të autorizuar</w:t>
      </w:r>
      <w:r w:rsidR="00D70BDE" w:rsidRPr="004A47DC">
        <w:t>;</w:t>
      </w:r>
    </w:p>
    <w:p w14:paraId="2FB207F1" w14:textId="105588C8" w:rsidR="004719D2" w:rsidRPr="004A47DC" w:rsidRDefault="002A46A0" w:rsidP="002A46A0">
      <w:pPr>
        <w:pStyle w:val="TEKSTIII"/>
      </w:pPr>
      <w:r w:rsidRPr="004A47DC">
        <w:t xml:space="preserve">- </w:t>
      </w:r>
      <w:r w:rsidR="004719D2" w:rsidRPr="004A47DC">
        <w:t>Rritja e përdorimit të Sistemit të Kompjuterizuar të Transitit</w:t>
      </w:r>
      <w:r w:rsidR="00D70BDE" w:rsidRPr="004A47DC">
        <w:t>.</w:t>
      </w:r>
    </w:p>
    <w:p w14:paraId="5BE76A90" w14:textId="77777777" w:rsidR="004719D2" w:rsidRPr="004A47DC" w:rsidRDefault="004719D2" w:rsidP="004719D2">
      <w:pPr>
        <w:pStyle w:val="H5"/>
        <w:spacing w:after="0" w:line="240" w:lineRule="auto"/>
        <w:rPr>
          <w:rFonts w:ascii="Garamond" w:hAnsi="Garamond"/>
          <w:color w:val="000000" w:themeColor="text1"/>
        </w:rPr>
      </w:pPr>
    </w:p>
    <w:p w14:paraId="57EFF120" w14:textId="77777777" w:rsidR="004719D2" w:rsidRPr="004A47DC" w:rsidRDefault="004719D2" w:rsidP="004719D2">
      <w:pPr>
        <w:pStyle w:val="H5"/>
        <w:spacing w:after="0" w:line="240" w:lineRule="auto"/>
        <w:rPr>
          <w:rFonts w:ascii="Garamond" w:hAnsi="Garamond" w:cs="Times New Roman"/>
          <w:color w:val="000000" w:themeColor="text1"/>
          <w:sz w:val="28"/>
          <w:szCs w:val="21"/>
        </w:rPr>
      </w:pPr>
      <w:r w:rsidRPr="004A47DC">
        <w:rPr>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503"/>
        <w:gridCol w:w="3035"/>
        <w:gridCol w:w="690"/>
        <w:gridCol w:w="854"/>
        <w:gridCol w:w="1979"/>
      </w:tblGrid>
      <w:tr w:rsidR="004719D2" w:rsidRPr="004A47DC" w14:paraId="4DB1EE10" w14:textId="77777777" w:rsidTr="00D70BDE">
        <w:trPr>
          <w:trHeight w:val="182"/>
          <w:tblHeader/>
        </w:trPr>
        <w:tc>
          <w:tcPr>
            <w:tcW w:w="13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23829"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6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314714"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8076FF"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61FF57"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10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8D52E5" w14:textId="42E608C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 xml:space="preserve">Grupet e </w:t>
            </w:r>
            <w:r w:rsidR="00D70BDE" w:rsidRPr="004A47DC">
              <w:rPr>
                <w:rFonts w:ascii="Garamond" w:hAnsi="Garamond"/>
                <w:color w:val="000000" w:themeColor="text1"/>
              </w:rPr>
              <w:t>i</w:t>
            </w:r>
            <w:r w:rsidRPr="004A47DC">
              <w:rPr>
                <w:rFonts w:ascii="Garamond" w:hAnsi="Garamond"/>
                <w:color w:val="000000" w:themeColor="text1"/>
              </w:rPr>
              <w:t>nteresit</w:t>
            </w:r>
          </w:p>
        </w:tc>
      </w:tr>
      <w:tr w:rsidR="004719D2" w:rsidRPr="004A47DC" w14:paraId="1D500D8D" w14:textId="77777777" w:rsidTr="00D70BDE">
        <w:trPr>
          <w:trHeight w:val="20"/>
        </w:trPr>
        <w:tc>
          <w:tcPr>
            <w:tcW w:w="1381" w:type="pct"/>
            <w:vMerge w:val="restart"/>
            <w:tcBorders>
              <w:top w:val="single" w:sz="4" w:space="0" w:color="auto"/>
              <w:left w:val="single" w:sz="4" w:space="0" w:color="auto"/>
              <w:bottom w:val="single" w:sz="4" w:space="0" w:color="auto"/>
              <w:right w:val="single" w:sz="4" w:space="0" w:color="auto"/>
            </w:tcBorders>
            <w:vAlign w:val="center"/>
            <w:hideMark/>
          </w:tcPr>
          <w:p w14:paraId="3E06B19B" w14:textId="77777777" w:rsidR="004719D2" w:rsidRPr="004A47DC" w:rsidRDefault="004719D2" w:rsidP="00CF7CEC">
            <w:pPr>
              <w:pStyle w:val="T-bold"/>
              <w:spacing w:line="240" w:lineRule="auto"/>
              <w:rPr>
                <w:rFonts w:ascii="Garamond" w:hAnsi="Garamond"/>
                <w:b w:val="0"/>
                <w:bCs w:val="0"/>
                <w:color w:val="000000" w:themeColor="text1"/>
              </w:rPr>
            </w:pPr>
            <w:r w:rsidRPr="004A47DC">
              <w:rPr>
                <w:rFonts w:ascii="Garamond" w:hAnsi="Garamond"/>
                <w:color w:val="000000" w:themeColor="text1"/>
              </w:rPr>
              <w:t xml:space="preserve">Masa 3.3.1 </w:t>
            </w:r>
            <w:r w:rsidRPr="004A47DC">
              <w:rPr>
                <w:rStyle w:val="IntenseReference"/>
                <w:rFonts w:ascii="Garamond" w:eastAsiaTheme="majorEastAsia" w:hAnsi="Garamond"/>
                <w:i w:val="0"/>
                <w:iCs/>
                <w:color w:val="000000" w:themeColor="text1"/>
                <w:sz w:val="16"/>
                <w:szCs w:val="16"/>
              </w:rPr>
              <w:t>Modernizimi i proceseve të biznesit dhe menaxhimit të riskut të Administratës Doganore</w:t>
            </w:r>
          </w:p>
        </w:tc>
        <w:tc>
          <w:tcPr>
            <w:tcW w:w="1675" w:type="pct"/>
            <w:tcBorders>
              <w:top w:val="single" w:sz="4" w:space="0" w:color="auto"/>
              <w:left w:val="single" w:sz="4" w:space="0" w:color="auto"/>
              <w:bottom w:val="single" w:sz="4" w:space="0" w:color="auto"/>
              <w:right w:val="single" w:sz="4" w:space="0" w:color="auto"/>
            </w:tcBorders>
          </w:tcPr>
          <w:p w14:paraId="21D86053" w14:textId="31BB6310"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4. </w:t>
            </w:r>
            <w:r w:rsidR="004719D2" w:rsidRPr="004A47DC">
              <w:rPr>
                <w:rFonts w:ascii="Garamond" w:hAnsi="Garamond"/>
                <w:color w:val="000000" w:themeColor="text1"/>
                <w:lang w:val="sq-AL"/>
              </w:rPr>
              <w:t>Vazhdimi i zhvillimit të një fuqie punëtore më profesionale dhe më të shkathët përmes përmirësimit të praktikave të burimeve njerëzore dhe ofrimit të zhvillimit të kapaciteteve.</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04F421E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4C554E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val="restart"/>
            <w:tcBorders>
              <w:top w:val="single" w:sz="4" w:space="0" w:color="auto"/>
              <w:left w:val="single" w:sz="4" w:space="0" w:color="auto"/>
              <w:bottom w:val="single" w:sz="4" w:space="0" w:color="auto"/>
              <w:right w:val="single" w:sz="4" w:space="0" w:color="auto"/>
            </w:tcBorders>
            <w:hideMark/>
          </w:tcPr>
          <w:p w14:paraId="41575F1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FE8A7A9" w14:textId="149DB985"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Drejtoria e Burimeve Njerëzore në DPD (lider), DPD, Koordinator DPD</w:t>
            </w:r>
            <w:r w:rsidR="004D48B6">
              <w:rPr>
                <w:rFonts w:ascii="Garamond" w:hAnsi="Garamond"/>
                <w:color w:val="000000" w:themeColor="text1"/>
                <w:sz w:val="16"/>
                <w:szCs w:val="16"/>
              </w:rPr>
              <w:t>-je</w:t>
            </w:r>
          </w:p>
          <w:p w14:paraId="2B74ED37" w14:textId="77777777" w:rsidR="004719D2" w:rsidRPr="004A47DC" w:rsidRDefault="004719D2" w:rsidP="00CF7CEC">
            <w:pPr>
              <w:rPr>
                <w:rFonts w:ascii="Garamond" w:hAnsi="Garamond"/>
                <w:color w:val="000000" w:themeColor="text1"/>
                <w:sz w:val="16"/>
                <w:szCs w:val="16"/>
                <w:highlight w:val="yellow"/>
              </w:rPr>
            </w:pPr>
          </w:p>
          <w:p w14:paraId="3FBD2342"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55FE715E"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Delegacioni i BE-së</w:t>
            </w:r>
          </w:p>
        </w:tc>
      </w:tr>
      <w:tr w:rsidR="004719D2" w:rsidRPr="004A47DC" w14:paraId="528B2F16" w14:textId="77777777" w:rsidTr="00D70BDE">
        <w:trPr>
          <w:trHeight w:val="32"/>
        </w:trPr>
        <w:tc>
          <w:tcPr>
            <w:tcW w:w="1381" w:type="pct"/>
            <w:vMerge/>
            <w:tcBorders>
              <w:top w:val="single" w:sz="4" w:space="0" w:color="auto"/>
              <w:left w:val="single" w:sz="4" w:space="0" w:color="auto"/>
              <w:bottom w:val="single" w:sz="4" w:space="0" w:color="auto"/>
              <w:right w:val="single" w:sz="4" w:space="0" w:color="auto"/>
            </w:tcBorders>
            <w:vAlign w:val="center"/>
            <w:hideMark/>
          </w:tcPr>
          <w:p w14:paraId="23248B01" w14:textId="77777777" w:rsidR="004719D2" w:rsidRPr="004A47DC" w:rsidRDefault="004719D2" w:rsidP="00CF7CEC">
            <w:pPr>
              <w:rPr>
                <w:rFonts w:ascii="Garamond" w:hAnsi="Garamond"/>
                <w:b/>
                <w:bCs/>
                <w:color w:val="000000" w:themeColor="text1"/>
                <w:sz w:val="16"/>
                <w:szCs w:val="16"/>
              </w:rPr>
            </w:pPr>
          </w:p>
        </w:tc>
        <w:tc>
          <w:tcPr>
            <w:tcW w:w="1675" w:type="pct"/>
            <w:tcBorders>
              <w:top w:val="single" w:sz="4" w:space="0" w:color="auto"/>
              <w:left w:val="single" w:sz="4" w:space="0" w:color="auto"/>
              <w:bottom w:val="single" w:sz="4" w:space="0" w:color="auto"/>
              <w:right w:val="single" w:sz="4" w:space="0" w:color="auto"/>
            </w:tcBorders>
            <w:vAlign w:val="center"/>
            <w:hideMark/>
          </w:tcPr>
          <w:p w14:paraId="4BF5625B" w14:textId="2C6E34FC"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5. </w:t>
            </w:r>
            <w:r w:rsidR="004719D2" w:rsidRPr="004A47DC">
              <w:rPr>
                <w:rFonts w:ascii="Garamond" w:hAnsi="Garamond"/>
                <w:color w:val="000000" w:themeColor="text1"/>
                <w:lang w:val="sq-AL"/>
              </w:rPr>
              <w:t>Vazhdimi i investimit në sistemet e TI</w:t>
            </w:r>
            <w:r w:rsidR="004D48B6">
              <w:rPr>
                <w:rFonts w:ascii="Garamond" w:hAnsi="Garamond"/>
                <w:color w:val="000000" w:themeColor="text1"/>
                <w:lang w:val="sq-AL"/>
              </w:rPr>
              <w:t>-së</w:t>
            </w:r>
            <w:r w:rsidR="004719D2" w:rsidRPr="004A47DC">
              <w:rPr>
                <w:rFonts w:ascii="Garamond" w:hAnsi="Garamond"/>
                <w:color w:val="000000" w:themeColor="text1"/>
                <w:lang w:val="sq-AL"/>
              </w:rPr>
              <w:t xml:space="preserve"> për Sistemin e Integruar të Menaxhimit të Tarifave (SIMT).</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CB115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6590C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1093" w:type="pct"/>
            <w:vMerge/>
            <w:tcBorders>
              <w:top w:val="single" w:sz="4" w:space="0" w:color="auto"/>
              <w:left w:val="single" w:sz="4" w:space="0" w:color="auto"/>
              <w:bottom w:val="single" w:sz="4" w:space="0" w:color="auto"/>
              <w:right w:val="single" w:sz="4" w:space="0" w:color="auto"/>
            </w:tcBorders>
            <w:vAlign w:val="center"/>
            <w:hideMark/>
          </w:tcPr>
          <w:p w14:paraId="6F70B98C" w14:textId="77777777" w:rsidR="004719D2" w:rsidRPr="004A47DC" w:rsidRDefault="004719D2" w:rsidP="00CF7CEC">
            <w:pPr>
              <w:rPr>
                <w:rFonts w:ascii="Garamond" w:hAnsi="Garamond"/>
                <w:color w:val="000000" w:themeColor="text1"/>
                <w:sz w:val="16"/>
                <w:szCs w:val="16"/>
              </w:rPr>
            </w:pPr>
          </w:p>
        </w:tc>
      </w:tr>
      <w:tr w:rsidR="004719D2" w:rsidRPr="004A47DC" w14:paraId="150A056D" w14:textId="77777777" w:rsidTr="00D70BDE">
        <w:trPr>
          <w:trHeight w:val="480"/>
        </w:trPr>
        <w:tc>
          <w:tcPr>
            <w:tcW w:w="1381" w:type="pct"/>
            <w:tcBorders>
              <w:top w:val="single" w:sz="4" w:space="0" w:color="auto"/>
              <w:left w:val="single" w:sz="4" w:space="0" w:color="auto"/>
              <w:bottom w:val="single" w:sz="4" w:space="0" w:color="auto"/>
              <w:right w:val="single" w:sz="4" w:space="0" w:color="auto"/>
            </w:tcBorders>
            <w:vAlign w:val="center"/>
            <w:hideMark/>
          </w:tcPr>
          <w:p w14:paraId="409A4951"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3.3.2 </w:t>
            </w:r>
            <w:r w:rsidRPr="004A47DC">
              <w:rPr>
                <w:rStyle w:val="IntenseReference"/>
                <w:rFonts w:ascii="Garamond" w:eastAsiaTheme="majorEastAsia" w:hAnsi="Garamond"/>
                <w:i w:val="0"/>
                <w:iCs/>
                <w:color w:val="000000" w:themeColor="text1"/>
                <w:sz w:val="16"/>
                <w:szCs w:val="16"/>
              </w:rPr>
              <w:t>Zhvillimi i kuadrit të integritetit dhe luftës kundër informalitetit dhe korrupsionit</w:t>
            </w:r>
          </w:p>
        </w:tc>
        <w:tc>
          <w:tcPr>
            <w:tcW w:w="1675" w:type="pct"/>
            <w:tcBorders>
              <w:top w:val="single" w:sz="4" w:space="0" w:color="auto"/>
              <w:left w:val="single" w:sz="4" w:space="0" w:color="auto"/>
              <w:bottom w:val="single" w:sz="4" w:space="0" w:color="auto"/>
              <w:right w:val="single" w:sz="4" w:space="0" w:color="auto"/>
            </w:tcBorders>
            <w:vAlign w:val="center"/>
            <w:hideMark/>
          </w:tcPr>
          <w:p w14:paraId="79FB7899" w14:textId="3D626456"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4719D2" w:rsidRPr="004A47DC">
              <w:rPr>
                <w:rFonts w:ascii="Garamond" w:hAnsi="Garamond"/>
                <w:color w:val="000000" w:themeColor="text1"/>
                <w:lang w:val="sq-AL"/>
              </w:rPr>
              <w:t>Zhvillimi dhe zbatimi i një kuadri integriteti.</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4E6D0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BAAC7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tcBorders>
              <w:top w:val="single" w:sz="4" w:space="0" w:color="auto"/>
              <w:left w:val="single" w:sz="4" w:space="0" w:color="auto"/>
              <w:bottom w:val="single" w:sz="4" w:space="0" w:color="auto"/>
              <w:right w:val="single" w:sz="4" w:space="0" w:color="auto"/>
            </w:tcBorders>
          </w:tcPr>
          <w:p w14:paraId="1A765CA5"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9CCE781"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Drejtoria Antikorrupsion në DPD (lider)</w:t>
            </w:r>
            <w:r w:rsidRPr="004A47DC">
              <w:rPr>
                <w:rStyle w:val="FootnoteReference"/>
                <w:rFonts w:ascii="Garamond" w:hAnsi="Garamond"/>
                <w:color w:val="000000" w:themeColor="text1"/>
                <w:sz w:val="16"/>
                <w:szCs w:val="16"/>
                <w:lang w:val="sq-AL"/>
              </w:rPr>
              <w:footnoteReference w:id="45"/>
            </w:r>
          </w:p>
          <w:p w14:paraId="54DA173B" w14:textId="77777777" w:rsidR="004719D2" w:rsidRPr="004A47DC" w:rsidRDefault="004719D2" w:rsidP="00CF7CEC">
            <w:pPr>
              <w:rPr>
                <w:rFonts w:ascii="Garamond" w:hAnsi="Garamond"/>
                <w:b/>
                <w:bCs/>
                <w:color w:val="000000" w:themeColor="text1"/>
                <w:sz w:val="16"/>
                <w:szCs w:val="16"/>
              </w:rPr>
            </w:pPr>
          </w:p>
          <w:p w14:paraId="4DBA045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7444F8CF" w14:textId="77777777" w:rsidR="004719D2" w:rsidRPr="004A47DC" w:rsidRDefault="004719D2" w:rsidP="00CF7CEC">
            <w:pPr>
              <w:rPr>
                <w:rFonts w:ascii="Garamond" w:hAnsi="Garamond"/>
                <w:color w:val="000000" w:themeColor="text1"/>
                <w:sz w:val="16"/>
                <w:szCs w:val="16"/>
              </w:rPr>
            </w:pPr>
          </w:p>
        </w:tc>
      </w:tr>
      <w:tr w:rsidR="004719D2" w:rsidRPr="004A47DC" w14:paraId="07D58003" w14:textId="77777777" w:rsidTr="00D70BDE">
        <w:trPr>
          <w:trHeight w:val="20"/>
        </w:trPr>
        <w:tc>
          <w:tcPr>
            <w:tcW w:w="1381" w:type="pct"/>
            <w:tcBorders>
              <w:top w:val="single" w:sz="4" w:space="0" w:color="auto"/>
              <w:left w:val="single" w:sz="4" w:space="0" w:color="auto"/>
              <w:bottom w:val="single" w:sz="4" w:space="0" w:color="auto"/>
              <w:right w:val="single" w:sz="4" w:space="0" w:color="auto"/>
            </w:tcBorders>
            <w:vAlign w:val="center"/>
            <w:hideMark/>
          </w:tcPr>
          <w:p w14:paraId="3C7EF38D" w14:textId="74F28B74" w:rsidR="004719D2" w:rsidRPr="004A47DC" w:rsidRDefault="004719D2" w:rsidP="00CF7CEC">
            <w:pPr>
              <w:pStyle w:val="T-bold"/>
              <w:spacing w:line="240" w:lineRule="auto"/>
              <w:rPr>
                <w:rFonts w:ascii="Garamond" w:hAnsi="Garamond"/>
                <w:i/>
                <w:color w:val="000000" w:themeColor="text1"/>
              </w:rPr>
            </w:pPr>
            <w:r w:rsidRPr="004A47DC">
              <w:rPr>
                <w:rFonts w:ascii="Garamond" w:hAnsi="Garamond"/>
                <w:color w:val="000000" w:themeColor="text1"/>
              </w:rPr>
              <w:t>Masa 3.3.3</w:t>
            </w:r>
            <w:r w:rsidRPr="004A47DC">
              <w:rPr>
                <w:rFonts w:ascii="Garamond" w:hAnsi="Garamond"/>
                <w:i/>
                <w:color w:val="000000" w:themeColor="text1"/>
              </w:rPr>
              <w:t xml:space="preserve"> </w:t>
            </w:r>
            <w:r w:rsidRPr="004A47DC">
              <w:rPr>
                <w:rStyle w:val="IntenseReference"/>
                <w:rFonts w:ascii="Garamond" w:eastAsiaTheme="majorEastAsia" w:hAnsi="Garamond"/>
                <w:i w:val="0"/>
                <w:iCs/>
                <w:color w:val="000000" w:themeColor="text1"/>
                <w:sz w:val="16"/>
                <w:szCs w:val="16"/>
              </w:rPr>
              <w:t xml:space="preserve">Rritja e numrit të </w:t>
            </w:r>
            <w:r w:rsidR="004D48B6" w:rsidRPr="004A47DC">
              <w:rPr>
                <w:rStyle w:val="IntenseReference"/>
                <w:rFonts w:ascii="Garamond" w:eastAsiaTheme="majorEastAsia" w:hAnsi="Garamond"/>
                <w:i w:val="0"/>
                <w:iCs/>
                <w:color w:val="000000" w:themeColor="text1"/>
                <w:sz w:val="16"/>
                <w:szCs w:val="16"/>
              </w:rPr>
              <w:t>operatorëve ekonomikë të autorizuar</w:t>
            </w:r>
          </w:p>
          <w:p w14:paraId="6D52309A" w14:textId="77777777" w:rsidR="004719D2" w:rsidRPr="004A47DC" w:rsidRDefault="004719D2" w:rsidP="00CF7CEC">
            <w:pPr>
              <w:pStyle w:val="T-bold"/>
              <w:spacing w:line="240" w:lineRule="auto"/>
              <w:rPr>
                <w:rFonts w:ascii="Garamond" w:hAnsi="Garamond"/>
                <w:color w:val="000000" w:themeColor="text1"/>
              </w:rPr>
            </w:pPr>
          </w:p>
        </w:tc>
        <w:tc>
          <w:tcPr>
            <w:tcW w:w="1675" w:type="pct"/>
            <w:tcBorders>
              <w:top w:val="single" w:sz="4" w:space="0" w:color="auto"/>
              <w:left w:val="single" w:sz="4" w:space="0" w:color="auto"/>
              <w:bottom w:val="single" w:sz="4" w:space="0" w:color="auto"/>
              <w:right w:val="single" w:sz="4" w:space="0" w:color="auto"/>
            </w:tcBorders>
            <w:vAlign w:val="center"/>
            <w:hideMark/>
          </w:tcPr>
          <w:p w14:paraId="051F6F9F" w14:textId="17DCC6D3"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4719D2" w:rsidRPr="004A47DC">
              <w:rPr>
                <w:rFonts w:ascii="Garamond" w:hAnsi="Garamond"/>
                <w:color w:val="000000" w:themeColor="text1"/>
                <w:lang w:val="sq-AL"/>
              </w:rPr>
              <w:t>Vazhdimi i fushatave informuese dhe auditimeve të operatorëve të autorizuar ekonomikë potencialë</w:t>
            </w:r>
            <w:r w:rsidR="004D48B6">
              <w:rPr>
                <w:rFonts w:ascii="Garamond" w:hAnsi="Garamond"/>
                <w:color w:val="000000" w:themeColor="text1"/>
                <w:lang w:val="sq-AL"/>
              </w:rPr>
              <w:t>.</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9DAF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22E68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tcBorders>
              <w:top w:val="single" w:sz="4" w:space="0" w:color="auto"/>
              <w:left w:val="single" w:sz="4" w:space="0" w:color="auto"/>
              <w:bottom w:val="single" w:sz="4" w:space="0" w:color="auto"/>
              <w:right w:val="single" w:sz="4" w:space="0" w:color="auto"/>
            </w:tcBorders>
            <w:hideMark/>
          </w:tcPr>
          <w:p w14:paraId="28F312A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102048E6" w14:textId="177DFE08"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Drejtoria e Procedurave në DPD</w:t>
            </w:r>
            <w:r w:rsidR="004D48B6" w:rsidRPr="004D48B6">
              <w:rPr>
                <w:rFonts w:ascii="Garamond" w:hAnsi="Garamond"/>
                <w:bCs/>
                <w:color w:val="000000" w:themeColor="text1"/>
                <w:sz w:val="16"/>
                <w:szCs w:val="16"/>
              </w:rPr>
              <w:t>-ja</w:t>
            </w:r>
            <w:r w:rsidRPr="004A47DC">
              <w:rPr>
                <w:rFonts w:ascii="Garamond" w:hAnsi="Garamond"/>
                <w:color w:val="000000" w:themeColor="text1"/>
                <w:sz w:val="16"/>
                <w:szCs w:val="16"/>
              </w:rPr>
              <w:t xml:space="preserve"> (lider)</w:t>
            </w:r>
          </w:p>
          <w:p w14:paraId="41994F0F" w14:textId="77777777" w:rsidR="004719D2" w:rsidRPr="004A47DC" w:rsidRDefault="004719D2" w:rsidP="00CF7CEC">
            <w:pPr>
              <w:rPr>
                <w:rFonts w:ascii="Garamond" w:hAnsi="Garamond"/>
                <w:color w:val="000000" w:themeColor="text1"/>
                <w:sz w:val="16"/>
                <w:szCs w:val="16"/>
              </w:rPr>
            </w:pPr>
          </w:p>
          <w:p w14:paraId="317AD26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4FE7B9F3" w14:textId="7BAF6FE0"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 xml:space="preserve">Doganat në BE/Jo BE </w:t>
            </w:r>
          </w:p>
        </w:tc>
      </w:tr>
      <w:tr w:rsidR="004719D2" w:rsidRPr="004A47DC" w14:paraId="2262136D" w14:textId="77777777" w:rsidTr="00D70BDE">
        <w:trPr>
          <w:trHeight w:val="20"/>
        </w:trPr>
        <w:tc>
          <w:tcPr>
            <w:tcW w:w="1381" w:type="pct"/>
            <w:vMerge w:val="restart"/>
            <w:tcBorders>
              <w:top w:val="single" w:sz="4" w:space="0" w:color="auto"/>
              <w:left w:val="single" w:sz="4" w:space="0" w:color="auto"/>
              <w:bottom w:val="single" w:sz="4" w:space="0" w:color="auto"/>
              <w:right w:val="single" w:sz="4" w:space="0" w:color="auto"/>
            </w:tcBorders>
            <w:hideMark/>
          </w:tcPr>
          <w:p w14:paraId="249CB9AD" w14:textId="77777777" w:rsidR="004719D2" w:rsidRPr="004A47DC" w:rsidRDefault="004719D2" w:rsidP="00CF7CEC">
            <w:pPr>
              <w:pStyle w:val="T-bold"/>
              <w:spacing w:line="240" w:lineRule="auto"/>
              <w:rPr>
                <w:rFonts w:ascii="Garamond" w:hAnsi="Garamond"/>
                <w:b w:val="0"/>
                <w:bCs w:val="0"/>
                <w:color w:val="000000" w:themeColor="text1"/>
              </w:rPr>
            </w:pPr>
            <w:r w:rsidRPr="004A47DC">
              <w:rPr>
                <w:rFonts w:ascii="Garamond" w:hAnsi="Garamond"/>
                <w:color w:val="000000" w:themeColor="text1"/>
              </w:rPr>
              <w:t>Masa 3.3.4 Zbatimi i Dritares së Vetme Kombëtare</w:t>
            </w:r>
          </w:p>
        </w:tc>
        <w:tc>
          <w:tcPr>
            <w:tcW w:w="16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BD95F" w14:textId="0BC4436E"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4719D2" w:rsidRPr="004A47DC">
              <w:rPr>
                <w:rFonts w:ascii="Garamond" w:hAnsi="Garamond"/>
                <w:color w:val="000000" w:themeColor="text1"/>
                <w:lang w:val="sq-AL"/>
              </w:rPr>
              <w:t>Zhvillimi i konceptit dhe strukturës institucionale të Dritares së Vetme Kombëtare</w:t>
            </w:r>
            <w:r w:rsidR="004D48B6">
              <w:rPr>
                <w:rFonts w:ascii="Garamond" w:hAnsi="Garamond"/>
                <w:color w:val="000000" w:themeColor="text1"/>
                <w:lang w:val="sq-AL"/>
              </w:rPr>
              <w:t>.</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1EDBD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E4A82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val="restart"/>
            <w:tcBorders>
              <w:top w:val="single" w:sz="4" w:space="0" w:color="auto"/>
              <w:left w:val="single" w:sz="4" w:space="0" w:color="auto"/>
              <w:bottom w:val="single" w:sz="4" w:space="0" w:color="auto"/>
              <w:right w:val="single" w:sz="4" w:space="0" w:color="auto"/>
            </w:tcBorders>
            <w:hideMark/>
          </w:tcPr>
          <w:p w14:paraId="5813292B"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721F4A62" w14:textId="0ACE2245"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DPD</w:t>
            </w:r>
            <w:r w:rsidR="004D48B6">
              <w:rPr>
                <w:rFonts w:ascii="Garamond" w:hAnsi="Garamond"/>
                <w:color w:val="000000" w:themeColor="text1"/>
                <w:sz w:val="16"/>
                <w:szCs w:val="16"/>
              </w:rPr>
              <w:t>-ja</w:t>
            </w:r>
            <w:r w:rsidRPr="004A47DC">
              <w:rPr>
                <w:rFonts w:ascii="Garamond" w:hAnsi="Garamond"/>
                <w:color w:val="000000" w:themeColor="text1"/>
                <w:sz w:val="16"/>
                <w:szCs w:val="16"/>
              </w:rPr>
              <w:t>, Koordinator DPD</w:t>
            </w:r>
            <w:r w:rsidR="004D48B6">
              <w:rPr>
                <w:rFonts w:ascii="Garamond" w:hAnsi="Garamond"/>
                <w:color w:val="000000" w:themeColor="text1"/>
                <w:sz w:val="16"/>
                <w:szCs w:val="16"/>
              </w:rPr>
              <w:t>-je</w:t>
            </w:r>
          </w:p>
          <w:p w14:paraId="357583CB" w14:textId="77777777" w:rsidR="004719D2" w:rsidRPr="004A47DC" w:rsidRDefault="004719D2" w:rsidP="00CF7CEC">
            <w:pPr>
              <w:rPr>
                <w:rFonts w:ascii="Garamond" w:hAnsi="Garamond"/>
                <w:color w:val="000000" w:themeColor="text1"/>
                <w:sz w:val="16"/>
                <w:szCs w:val="16"/>
              </w:rPr>
            </w:pPr>
          </w:p>
          <w:p w14:paraId="784DD5B0" w14:textId="77777777" w:rsidR="004719D2" w:rsidRPr="004A47DC" w:rsidRDefault="004719D2" w:rsidP="00CF7CEC">
            <w:pPr>
              <w:rPr>
                <w:rFonts w:ascii="Garamond" w:hAnsi="Garamond"/>
                <w:color w:val="000000" w:themeColor="text1"/>
                <w:sz w:val="16"/>
                <w:szCs w:val="16"/>
              </w:rPr>
            </w:pPr>
          </w:p>
          <w:p w14:paraId="5D0BC410" w14:textId="77777777" w:rsidR="004719D2" w:rsidRPr="004A47DC" w:rsidRDefault="004719D2" w:rsidP="00CF7CEC">
            <w:pPr>
              <w:rPr>
                <w:rFonts w:ascii="Garamond" w:hAnsi="Garamond"/>
                <w:color w:val="000000" w:themeColor="text1"/>
                <w:sz w:val="16"/>
                <w:szCs w:val="16"/>
              </w:rPr>
            </w:pPr>
          </w:p>
          <w:p w14:paraId="276D6EDC"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2C42A79E" w14:textId="380CAAFB" w:rsidR="004719D2" w:rsidRPr="004D48B6" w:rsidRDefault="004719D2" w:rsidP="00CF7CEC">
            <w:pPr>
              <w:rPr>
                <w:rFonts w:ascii="Garamond" w:hAnsi="Garamond"/>
                <w:bCs/>
                <w:color w:val="000000" w:themeColor="text1"/>
                <w:sz w:val="16"/>
                <w:szCs w:val="16"/>
              </w:rPr>
            </w:pPr>
            <w:r w:rsidRPr="004D48B6">
              <w:rPr>
                <w:rFonts w:ascii="Garamond" w:hAnsi="Garamond"/>
                <w:bCs/>
                <w:color w:val="000000" w:themeColor="text1"/>
                <w:sz w:val="16"/>
                <w:szCs w:val="16"/>
              </w:rPr>
              <w:t>BB</w:t>
            </w:r>
            <w:r w:rsidR="004D48B6" w:rsidRPr="004D48B6">
              <w:rPr>
                <w:rFonts w:ascii="Garamond" w:hAnsi="Garamond"/>
                <w:bCs/>
                <w:color w:val="000000" w:themeColor="text1"/>
                <w:sz w:val="16"/>
                <w:szCs w:val="16"/>
              </w:rPr>
              <w:t>-ja</w:t>
            </w:r>
          </w:p>
          <w:p w14:paraId="14252CFF" w14:textId="77777777" w:rsidR="004719D2" w:rsidRPr="004A47DC" w:rsidRDefault="004719D2" w:rsidP="00CF7CEC">
            <w:pPr>
              <w:rPr>
                <w:rFonts w:ascii="Garamond" w:hAnsi="Garamond"/>
                <w:color w:val="000000" w:themeColor="text1"/>
                <w:sz w:val="16"/>
                <w:szCs w:val="16"/>
              </w:rPr>
            </w:pPr>
          </w:p>
          <w:p w14:paraId="713BE8E2" w14:textId="77777777" w:rsidR="004719D2" w:rsidRPr="004A47DC" w:rsidRDefault="004719D2" w:rsidP="00CF7CEC">
            <w:pPr>
              <w:rPr>
                <w:rFonts w:ascii="Garamond" w:hAnsi="Garamond"/>
                <w:color w:val="000000" w:themeColor="text1"/>
                <w:sz w:val="16"/>
                <w:szCs w:val="16"/>
              </w:rPr>
            </w:pPr>
          </w:p>
        </w:tc>
      </w:tr>
      <w:tr w:rsidR="004719D2" w:rsidRPr="004A47DC" w14:paraId="750741EB" w14:textId="77777777" w:rsidTr="00D70BDE">
        <w:trPr>
          <w:trHeight w:val="20"/>
        </w:trPr>
        <w:tc>
          <w:tcPr>
            <w:tcW w:w="1381" w:type="pct"/>
            <w:vMerge/>
            <w:tcBorders>
              <w:top w:val="single" w:sz="4" w:space="0" w:color="auto"/>
              <w:left w:val="single" w:sz="4" w:space="0" w:color="auto"/>
              <w:bottom w:val="single" w:sz="4" w:space="0" w:color="auto"/>
              <w:right w:val="single" w:sz="4" w:space="0" w:color="auto"/>
            </w:tcBorders>
            <w:vAlign w:val="center"/>
            <w:hideMark/>
          </w:tcPr>
          <w:p w14:paraId="278FF0AD" w14:textId="77777777" w:rsidR="004719D2" w:rsidRPr="004A47DC" w:rsidRDefault="004719D2" w:rsidP="00CF7CEC">
            <w:pPr>
              <w:rPr>
                <w:rFonts w:ascii="Garamond" w:hAnsi="Garamond"/>
                <w:b/>
                <w:bCs/>
                <w:color w:val="000000" w:themeColor="text1"/>
                <w:sz w:val="16"/>
                <w:szCs w:val="16"/>
              </w:rPr>
            </w:pPr>
          </w:p>
        </w:tc>
        <w:tc>
          <w:tcPr>
            <w:tcW w:w="1675" w:type="pct"/>
            <w:tcBorders>
              <w:top w:val="single" w:sz="4" w:space="0" w:color="auto"/>
              <w:left w:val="single" w:sz="4" w:space="0" w:color="auto"/>
              <w:bottom w:val="single" w:sz="4" w:space="0" w:color="auto"/>
              <w:right w:val="single" w:sz="4" w:space="0" w:color="auto"/>
            </w:tcBorders>
            <w:vAlign w:val="center"/>
            <w:hideMark/>
          </w:tcPr>
          <w:p w14:paraId="5810D98A" w14:textId="65BB27AE"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2. </w:t>
            </w:r>
            <w:r w:rsidR="004719D2" w:rsidRPr="004A47DC">
              <w:rPr>
                <w:rFonts w:ascii="Garamond" w:hAnsi="Garamond"/>
                <w:color w:val="000000" w:themeColor="text1"/>
                <w:lang w:val="sq-AL"/>
              </w:rPr>
              <w:t>Rishikimi dhe ndryshimi i legjislacionit dhe i rregulloreve për Dritaren e Vetme Kombëtare.</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7661E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6D97459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tcBorders>
              <w:top w:val="single" w:sz="4" w:space="0" w:color="auto"/>
              <w:left w:val="single" w:sz="4" w:space="0" w:color="auto"/>
              <w:bottom w:val="single" w:sz="4" w:space="0" w:color="auto"/>
              <w:right w:val="single" w:sz="4" w:space="0" w:color="auto"/>
            </w:tcBorders>
            <w:vAlign w:val="center"/>
            <w:hideMark/>
          </w:tcPr>
          <w:p w14:paraId="5F55AE29" w14:textId="77777777" w:rsidR="004719D2" w:rsidRPr="004A47DC" w:rsidRDefault="004719D2" w:rsidP="00CF7CEC">
            <w:pPr>
              <w:rPr>
                <w:rFonts w:ascii="Garamond" w:hAnsi="Garamond"/>
                <w:color w:val="000000" w:themeColor="text1"/>
                <w:sz w:val="16"/>
                <w:szCs w:val="16"/>
              </w:rPr>
            </w:pPr>
          </w:p>
        </w:tc>
      </w:tr>
      <w:tr w:rsidR="004719D2" w:rsidRPr="004A47DC" w14:paraId="5591B887" w14:textId="77777777" w:rsidTr="00D70BDE">
        <w:trPr>
          <w:trHeight w:val="20"/>
        </w:trPr>
        <w:tc>
          <w:tcPr>
            <w:tcW w:w="1381" w:type="pct"/>
            <w:vMerge/>
            <w:tcBorders>
              <w:top w:val="single" w:sz="4" w:space="0" w:color="auto"/>
              <w:left w:val="single" w:sz="4" w:space="0" w:color="auto"/>
              <w:bottom w:val="single" w:sz="4" w:space="0" w:color="auto"/>
              <w:right w:val="single" w:sz="4" w:space="0" w:color="auto"/>
            </w:tcBorders>
            <w:vAlign w:val="center"/>
            <w:hideMark/>
          </w:tcPr>
          <w:p w14:paraId="3278CB35" w14:textId="77777777" w:rsidR="004719D2" w:rsidRPr="004A47DC" w:rsidRDefault="004719D2" w:rsidP="00CF7CEC">
            <w:pPr>
              <w:rPr>
                <w:rFonts w:ascii="Garamond" w:hAnsi="Garamond"/>
                <w:b/>
                <w:bCs/>
                <w:color w:val="000000" w:themeColor="text1"/>
                <w:sz w:val="16"/>
                <w:szCs w:val="16"/>
              </w:rPr>
            </w:pPr>
          </w:p>
        </w:tc>
        <w:tc>
          <w:tcPr>
            <w:tcW w:w="1675" w:type="pct"/>
            <w:tcBorders>
              <w:top w:val="single" w:sz="4" w:space="0" w:color="auto"/>
              <w:left w:val="single" w:sz="4" w:space="0" w:color="auto"/>
              <w:bottom w:val="single" w:sz="4" w:space="0" w:color="auto"/>
              <w:right w:val="single" w:sz="4" w:space="0" w:color="auto"/>
            </w:tcBorders>
            <w:vAlign w:val="center"/>
            <w:hideMark/>
          </w:tcPr>
          <w:p w14:paraId="5F188D63" w14:textId="5D645ECA"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3. </w:t>
            </w:r>
            <w:r w:rsidR="004719D2" w:rsidRPr="004A47DC">
              <w:rPr>
                <w:rFonts w:ascii="Garamond" w:hAnsi="Garamond"/>
                <w:color w:val="000000" w:themeColor="text1"/>
                <w:lang w:val="sq-AL"/>
              </w:rPr>
              <w:t>Zhvillimi dhe vendosja e zgjidhjes së TI-së për Dritaren e Vetme Kombëtare.</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506B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0EE4E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tcBorders>
              <w:top w:val="single" w:sz="4" w:space="0" w:color="auto"/>
              <w:left w:val="single" w:sz="4" w:space="0" w:color="auto"/>
              <w:bottom w:val="single" w:sz="4" w:space="0" w:color="auto"/>
              <w:right w:val="single" w:sz="4" w:space="0" w:color="auto"/>
            </w:tcBorders>
            <w:vAlign w:val="center"/>
            <w:hideMark/>
          </w:tcPr>
          <w:p w14:paraId="607076FD" w14:textId="77777777" w:rsidR="004719D2" w:rsidRPr="004A47DC" w:rsidRDefault="004719D2" w:rsidP="00CF7CEC">
            <w:pPr>
              <w:rPr>
                <w:rFonts w:ascii="Garamond" w:hAnsi="Garamond"/>
                <w:color w:val="000000" w:themeColor="text1"/>
                <w:sz w:val="16"/>
                <w:szCs w:val="16"/>
              </w:rPr>
            </w:pPr>
          </w:p>
        </w:tc>
      </w:tr>
      <w:tr w:rsidR="004719D2" w:rsidRPr="004A47DC" w14:paraId="126A0AC8" w14:textId="77777777" w:rsidTr="00D70BDE">
        <w:trPr>
          <w:trHeight w:val="20"/>
        </w:trPr>
        <w:tc>
          <w:tcPr>
            <w:tcW w:w="1381" w:type="pct"/>
            <w:vMerge w:val="restart"/>
            <w:tcBorders>
              <w:top w:val="single" w:sz="4" w:space="0" w:color="auto"/>
              <w:left w:val="single" w:sz="4" w:space="0" w:color="auto"/>
              <w:bottom w:val="single" w:sz="4" w:space="0" w:color="auto"/>
              <w:right w:val="single" w:sz="4" w:space="0" w:color="auto"/>
            </w:tcBorders>
            <w:hideMark/>
          </w:tcPr>
          <w:p w14:paraId="5260ED1B"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Masa 3.3.5 Përmirësimi i përdorimit të Sistemit të Ri të Kompjuterizuar të Transitit (SRKT)</w:t>
            </w:r>
          </w:p>
        </w:tc>
        <w:tc>
          <w:tcPr>
            <w:tcW w:w="1675" w:type="pct"/>
            <w:tcBorders>
              <w:top w:val="single" w:sz="4" w:space="0" w:color="auto"/>
              <w:left w:val="single" w:sz="4" w:space="0" w:color="auto"/>
              <w:bottom w:val="single" w:sz="4" w:space="0" w:color="auto"/>
              <w:right w:val="single" w:sz="4" w:space="0" w:color="auto"/>
            </w:tcBorders>
            <w:vAlign w:val="center"/>
            <w:hideMark/>
          </w:tcPr>
          <w:p w14:paraId="6B750B62" w14:textId="78DCB509"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1. </w:t>
            </w:r>
            <w:r w:rsidR="004719D2" w:rsidRPr="004A47DC">
              <w:rPr>
                <w:rFonts w:ascii="Garamond" w:hAnsi="Garamond"/>
                <w:color w:val="000000" w:themeColor="text1"/>
                <w:lang w:val="sq-AL"/>
              </w:rPr>
              <w:t>Rishikimi dhe përditësimi i dispozitave ligjore për SRKT-në.</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42A1F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B4D5CA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val="restart"/>
            <w:tcBorders>
              <w:top w:val="single" w:sz="4" w:space="0" w:color="auto"/>
              <w:left w:val="single" w:sz="4" w:space="0" w:color="auto"/>
              <w:bottom w:val="single" w:sz="4" w:space="0" w:color="auto"/>
              <w:right w:val="single" w:sz="4" w:space="0" w:color="auto"/>
            </w:tcBorders>
            <w:hideMark/>
          </w:tcPr>
          <w:p w14:paraId="31E7275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0BDC02F4" w14:textId="5211FF5A"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DPD</w:t>
            </w:r>
            <w:r w:rsidR="004D48B6" w:rsidRPr="004D48B6">
              <w:rPr>
                <w:rFonts w:ascii="Garamond" w:hAnsi="Garamond"/>
                <w:bCs/>
                <w:color w:val="000000" w:themeColor="text1"/>
                <w:sz w:val="16"/>
                <w:szCs w:val="16"/>
              </w:rPr>
              <w:t>-ja</w:t>
            </w:r>
            <w:r w:rsidRPr="004A47DC">
              <w:rPr>
                <w:rFonts w:ascii="Garamond" w:hAnsi="Garamond"/>
                <w:color w:val="000000" w:themeColor="text1"/>
                <w:sz w:val="16"/>
                <w:szCs w:val="16"/>
              </w:rPr>
              <w:t>, Koordinator DPD</w:t>
            </w:r>
            <w:r w:rsidR="004D48B6" w:rsidRPr="004D48B6">
              <w:rPr>
                <w:rFonts w:ascii="Garamond" w:hAnsi="Garamond"/>
                <w:bCs/>
                <w:color w:val="000000" w:themeColor="text1"/>
                <w:sz w:val="16"/>
                <w:szCs w:val="16"/>
              </w:rPr>
              <w:t>-j</w:t>
            </w:r>
            <w:r w:rsidR="004D48B6">
              <w:rPr>
                <w:rFonts w:ascii="Garamond" w:hAnsi="Garamond"/>
                <w:bCs/>
                <w:color w:val="000000" w:themeColor="text1"/>
                <w:sz w:val="16"/>
                <w:szCs w:val="16"/>
              </w:rPr>
              <w:t>e</w:t>
            </w:r>
            <w:r w:rsidRPr="004A47DC">
              <w:rPr>
                <w:rFonts w:ascii="Garamond" w:hAnsi="Garamond"/>
                <w:color w:val="000000" w:themeColor="text1"/>
                <w:sz w:val="16"/>
                <w:szCs w:val="16"/>
              </w:rPr>
              <w:t xml:space="preserve"> </w:t>
            </w:r>
          </w:p>
        </w:tc>
      </w:tr>
      <w:tr w:rsidR="004719D2" w:rsidRPr="004A47DC" w14:paraId="44EE1347" w14:textId="77777777" w:rsidTr="00D70BDE">
        <w:trPr>
          <w:trHeight w:val="20"/>
        </w:trPr>
        <w:tc>
          <w:tcPr>
            <w:tcW w:w="1381" w:type="pct"/>
            <w:vMerge/>
            <w:tcBorders>
              <w:top w:val="single" w:sz="4" w:space="0" w:color="auto"/>
              <w:left w:val="single" w:sz="4" w:space="0" w:color="auto"/>
              <w:bottom w:val="single" w:sz="4" w:space="0" w:color="auto"/>
              <w:right w:val="single" w:sz="4" w:space="0" w:color="auto"/>
            </w:tcBorders>
            <w:vAlign w:val="center"/>
            <w:hideMark/>
          </w:tcPr>
          <w:p w14:paraId="092C60B8" w14:textId="77777777" w:rsidR="004719D2" w:rsidRPr="004A47DC" w:rsidRDefault="004719D2" w:rsidP="00CF7CEC">
            <w:pPr>
              <w:rPr>
                <w:rFonts w:ascii="Garamond" w:hAnsi="Garamond"/>
                <w:color w:val="000000" w:themeColor="text1"/>
                <w:sz w:val="16"/>
                <w:szCs w:val="16"/>
              </w:rPr>
            </w:pPr>
          </w:p>
        </w:tc>
        <w:tc>
          <w:tcPr>
            <w:tcW w:w="1675" w:type="pct"/>
            <w:tcBorders>
              <w:top w:val="single" w:sz="4" w:space="0" w:color="auto"/>
              <w:left w:val="single" w:sz="4" w:space="0" w:color="auto"/>
              <w:bottom w:val="single" w:sz="4" w:space="0" w:color="auto"/>
              <w:right w:val="single" w:sz="4" w:space="0" w:color="auto"/>
            </w:tcBorders>
            <w:vAlign w:val="center"/>
            <w:hideMark/>
          </w:tcPr>
          <w:p w14:paraId="06871FF4" w14:textId="1739E3EB" w:rsidR="004719D2" w:rsidRPr="004A47DC" w:rsidRDefault="002A46A0" w:rsidP="002A46A0">
            <w:pPr>
              <w:pStyle w:val="T-number"/>
              <w:numPr>
                <w:ilvl w:val="0"/>
                <w:numId w:val="0"/>
              </w:numPr>
              <w:spacing w:line="240" w:lineRule="auto"/>
              <w:rPr>
                <w:rFonts w:ascii="Garamond" w:hAnsi="Garamond"/>
                <w:color w:val="000000" w:themeColor="text1"/>
                <w:lang w:val="sq-AL"/>
              </w:rPr>
            </w:pPr>
            <w:r w:rsidRPr="004A47DC">
              <w:rPr>
                <w:rFonts w:ascii="Garamond" w:hAnsi="Garamond"/>
                <w:color w:val="000000" w:themeColor="text1"/>
                <w:lang w:val="sq-AL"/>
              </w:rPr>
              <w:t xml:space="preserve">2. </w:t>
            </w:r>
            <w:r w:rsidR="004719D2" w:rsidRPr="004A47DC">
              <w:rPr>
                <w:rFonts w:ascii="Garamond" w:hAnsi="Garamond"/>
                <w:color w:val="000000" w:themeColor="text1"/>
                <w:lang w:val="sq-AL"/>
              </w:rPr>
              <w:t>Zhvillim i mëtejshëm i mjedisit të TI-së të SRKT-së.</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E1947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09048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1093" w:type="pct"/>
            <w:vMerge/>
            <w:tcBorders>
              <w:top w:val="single" w:sz="4" w:space="0" w:color="auto"/>
              <w:left w:val="single" w:sz="4" w:space="0" w:color="auto"/>
              <w:bottom w:val="single" w:sz="4" w:space="0" w:color="auto"/>
              <w:right w:val="single" w:sz="4" w:space="0" w:color="auto"/>
            </w:tcBorders>
            <w:vAlign w:val="center"/>
            <w:hideMark/>
          </w:tcPr>
          <w:p w14:paraId="620069F7" w14:textId="77777777" w:rsidR="004719D2" w:rsidRPr="004A47DC" w:rsidRDefault="004719D2" w:rsidP="00CF7CEC">
            <w:pPr>
              <w:rPr>
                <w:rFonts w:ascii="Garamond" w:hAnsi="Garamond"/>
                <w:color w:val="000000" w:themeColor="text1"/>
                <w:sz w:val="16"/>
                <w:szCs w:val="16"/>
              </w:rPr>
            </w:pPr>
          </w:p>
        </w:tc>
      </w:tr>
    </w:tbl>
    <w:p w14:paraId="7C666FDE" w14:textId="77777777" w:rsidR="004719D2" w:rsidRPr="004A47DC" w:rsidRDefault="004719D2" w:rsidP="004719D2">
      <w:pPr>
        <w:rPr>
          <w:rFonts w:ascii="Garamond" w:hAnsi="Garamond"/>
          <w:color w:val="000000" w:themeColor="text1"/>
        </w:rPr>
      </w:pPr>
    </w:p>
    <w:p w14:paraId="00DE9921"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719"/>
        <w:gridCol w:w="1361"/>
        <w:gridCol w:w="988"/>
        <w:gridCol w:w="997"/>
        <w:gridCol w:w="997"/>
        <w:gridCol w:w="999"/>
      </w:tblGrid>
      <w:tr w:rsidR="004719D2" w:rsidRPr="004A47DC" w14:paraId="2FCFF708" w14:textId="77777777" w:rsidTr="00D70BDE">
        <w:trPr>
          <w:cantSplit/>
          <w:tblHeader/>
        </w:trPr>
        <w:tc>
          <w:tcPr>
            <w:tcW w:w="205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A535AA"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08C12E" w14:textId="7DF5A394"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 xml:space="preserve">Vlera </w:t>
            </w:r>
            <w:r w:rsidR="00D70BDE" w:rsidRPr="004A47DC">
              <w:rPr>
                <w:rFonts w:ascii="Garamond" w:hAnsi="Garamond"/>
                <w:color w:val="000000" w:themeColor="text1"/>
              </w:rPr>
              <w:t>b</w:t>
            </w:r>
            <w:r w:rsidRPr="004A47DC">
              <w:rPr>
                <w:rFonts w:ascii="Garamond" w:hAnsi="Garamond"/>
                <w:color w:val="000000" w:themeColor="text1"/>
              </w:rPr>
              <w:t>azë (viti)</w:t>
            </w:r>
          </w:p>
        </w:tc>
        <w:tc>
          <w:tcPr>
            <w:tcW w:w="2196"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E7E1D8"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5C280AE6" w14:textId="77777777" w:rsidTr="00D70BDE">
        <w:trPr>
          <w:cantSplit/>
          <w:tblHeader/>
        </w:trPr>
        <w:tc>
          <w:tcPr>
            <w:tcW w:w="2053" w:type="pct"/>
            <w:vMerge/>
            <w:tcBorders>
              <w:top w:val="single" w:sz="4" w:space="0" w:color="auto"/>
              <w:left w:val="single" w:sz="4" w:space="0" w:color="auto"/>
              <w:bottom w:val="single" w:sz="4" w:space="0" w:color="auto"/>
              <w:right w:val="single" w:sz="4" w:space="0" w:color="auto"/>
            </w:tcBorders>
            <w:vAlign w:val="center"/>
            <w:hideMark/>
          </w:tcPr>
          <w:p w14:paraId="5844C665" w14:textId="77777777" w:rsidR="004719D2" w:rsidRPr="004A47DC" w:rsidRDefault="004719D2" w:rsidP="00D70BDE">
            <w:pPr>
              <w:pStyle w:val="T-bold"/>
              <w:spacing w:line="240" w:lineRule="auto"/>
              <w:jc w:val="center"/>
              <w:rPr>
                <w:rFonts w:ascii="Garamond" w:hAnsi="Garamond"/>
                <w:color w:val="000000" w:themeColor="text1"/>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14:paraId="617BFE62" w14:textId="77777777" w:rsidR="004719D2" w:rsidRPr="004A47DC" w:rsidRDefault="004719D2" w:rsidP="00D70BDE">
            <w:pPr>
              <w:pStyle w:val="T-bold"/>
              <w:spacing w:line="240" w:lineRule="auto"/>
              <w:jc w:val="center"/>
              <w:rPr>
                <w:rFonts w:ascii="Garamond" w:hAnsi="Garamond"/>
                <w:color w:val="000000" w:themeColor="text1"/>
              </w:rPr>
            </w:pPr>
          </w:p>
        </w:tc>
        <w:tc>
          <w:tcPr>
            <w:tcW w:w="5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DAF2CE"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A1B6AF"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EA1624"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603041"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0E56A863" w14:textId="77777777" w:rsidTr="00D70BDE">
        <w:tc>
          <w:tcPr>
            <w:tcW w:w="2053" w:type="pct"/>
            <w:tcBorders>
              <w:top w:val="single" w:sz="4" w:space="0" w:color="auto"/>
              <w:left w:val="single" w:sz="4" w:space="0" w:color="auto"/>
              <w:bottom w:val="single" w:sz="4" w:space="0" w:color="auto"/>
              <w:right w:val="single" w:sz="4" w:space="0" w:color="auto"/>
            </w:tcBorders>
          </w:tcPr>
          <w:p w14:paraId="0736F8DE" w14:textId="571E2875" w:rsidR="004719D2" w:rsidRPr="004A47DC" w:rsidRDefault="00365D48" w:rsidP="002A46A0">
            <w:pPr>
              <w:rPr>
                <w:rFonts w:ascii="Garamond" w:hAnsi="Garamond"/>
                <w:color w:val="000000" w:themeColor="text1"/>
                <w:sz w:val="16"/>
                <w:szCs w:val="16"/>
              </w:rPr>
            </w:pPr>
            <w:r w:rsidRPr="004A47DC">
              <w:rPr>
                <w:rFonts w:ascii="Garamond" w:hAnsi="Garamond"/>
                <w:color w:val="000000" w:themeColor="text1"/>
                <w:sz w:val="16"/>
                <w:szCs w:val="16"/>
              </w:rPr>
              <w:t xml:space="preserve">1. </w:t>
            </w:r>
            <w:r w:rsidR="004719D2" w:rsidRPr="004A47DC">
              <w:rPr>
                <w:rFonts w:ascii="Garamond" w:hAnsi="Garamond"/>
                <w:color w:val="000000" w:themeColor="text1"/>
                <w:sz w:val="16"/>
                <w:szCs w:val="16"/>
              </w:rPr>
              <w:t>Përqindja e shfrytëzimit të Kanalit të Gjelbër</w:t>
            </w:r>
          </w:p>
        </w:tc>
        <w:tc>
          <w:tcPr>
            <w:tcW w:w="751" w:type="pct"/>
            <w:tcBorders>
              <w:top w:val="single" w:sz="4" w:space="0" w:color="auto"/>
              <w:left w:val="single" w:sz="4" w:space="0" w:color="auto"/>
              <w:bottom w:val="single" w:sz="4" w:space="0" w:color="auto"/>
              <w:right w:val="single" w:sz="4" w:space="0" w:color="auto"/>
            </w:tcBorders>
            <w:vAlign w:val="center"/>
          </w:tcPr>
          <w:p w14:paraId="62F611EC"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545" w:type="pct"/>
            <w:tcBorders>
              <w:top w:val="single" w:sz="4" w:space="0" w:color="auto"/>
              <w:left w:val="single" w:sz="4" w:space="0" w:color="auto"/>
              <w:bottom w:val="single" w:sz="4" w:space="0" w:color="auto"/>
              <w:right w:val="single" w:sz="4" w:space="0" w:color="auto"/>
            </w:tcBorders>
            <w:vAlign w:val="center"/>
          </w:tcPr>
          <w:p w14:paraId="151A6A3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28%</w:t>
            </w:r>
          </w:p>
        </w:tc>
        <w:tc>
          <w:tcPr>
            <w:tcW w:w="550" w:type="pct"/>
            <w:tcBorders>
              <w:top w:val="single" w:sz="4" w:space="0" w:color="auto"/>
              <w:left w:val="single" w:sz="4" w:space="0" w:color="auto"/>
              <w:bottom w:val="single" w:sz="4" w:space="0" w:color="auto"/>
              <w:right w:val="single" w:sz="4" w:space="0" w:color="auto"/>
            </w:tcBorders>
            <w:vAlign w:val="center"/>
          </w:tcPr>
          <w:p w14:paraId="3168C36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30%</w:t>
            </w:r>
          </w:p>
        </w:tc>
        <w:tc>
          <w:tcPr>
            <w:tcW w:w="550" w:type="pct"/>
            <w:tcBorders>
              <w:top w:val="single" w:sz="4" w:space="0" w:color="auto"/>
              <w:left w:val="single" w:sz="4" w:space="0" w:color="auto"/>
              <w:bottom w:val="single" w:sz="4" w:space="0" w:color="auto"/>
              <w:right w:val="single" w:sz="4" w:space="0" w:color="auto"/>
            </w:tcBorders>
            <w:vAlign w:val="center"/>
          </w:tcPr>
          <w:p w14:paraId="1B1C111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33%</w:t>
            </w:r>
          </w:p>
        </w:tc>
        <w:tc>
          <w:tcPr>
            <w:tcW w:w="550" w:type="pct"/>
            <w:tcBorders>
              <w:top w:val="single" w:sz="4" w:space="0" w:color="auto"/>
              <w:left w:val="single" w:sz="4" w:space="0" w:color="auto"/>
              <w:bottom w:val="single" w:sz="4" w:space="0" w:color="auto"/>
              <w:right w:val="single" w:sz="4" w:space="0" w:color="auto"/>
            </w:tcBorders>
            <w:vAlign w:val="center"/>
          </w:tcPr>
          <w:p w14:paraId="1EC889A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&gt; 33%</w:t>
            </w:r>
          </w:p>
        </w:tc>
      </w:tr>
      <w:tr w:rsidR="004719D2" w:rsidRPr="004A47DC" w14:paraId="1098A865" w14:textId="77777777" w:rsidTr="00D70BDE">
        <w:tc>
          <w:tcPr>
            <w:tcW w:w="2053" w:type="pct"/>
            <w:tcBorders>
              <w:top w:val="single" w:sz="4" w:space="0" w:color="auto"/>
              <w:left w:val="single" w:sz="4" w:space="0" w:color="auto"/>
              <w:bottom w:val="single" w:sz="4" w:space="0" w:color="auto"/>
              <w:right w:val="single" w:sz="4" w:space="0" w:color="auto"/>
            </w:tcBorders>
          </w:tcPr>
          <w:p w14:paraId="2D869F14" w14:textId="5225DD74" w:rsidR="004719D2" w:rsidRPr="004A47DC" w:rsidRDefault="00365D48" w:rsidP="002A46A0">
            <w:pPr>
              <w:rPr>
                <w:rFonts w:ascii="Garamond" w:hAnsi="Garamond"/>
                <w:color w:val="000000" w:themeColor="text1"/>
                <w:sz w:val="16"/>
                <w:szCs w:val="16"/>
              </w:rPr>
            </w:pPr>
            <w:r w:rsidRPr="004A47DC">
              <w:rPr>
                <w:rFonts w:ascii="Garamond" w:hAnsi="Garamond"/>
                <w:color w:val="000000" w:themeColor="text1"/>
                <w:sz w:val="16"/>
                <w:szCs w:val="16"/>
              </w:rPr>
              <w:t xml:space="preserve">2. </w:t>
            </w:r>
            <w:r w:rsidR="004719D2" w:rsidRPr="004A47DC">
              <w:rPr>
                <w:rFonts w:ascii="Garamond" w:hAnsi="Garamond"/>
                <w:color w:val="000000" w:themeColor="text1"/>
                <w:sz w:val="16"/>
                <w:szCs w:val="16"/>
              </w:rPr>
              <w:t>Koha e përpunimit të deklaratës doganore</w:t>
            </w:r>
          </w:p>
        </w:tc>
        <w:tc>
          <w:tcPr>
            <w:tcW w:w="751" w:type="pct"/>
            <w:tcBorders>
              <w:top w:val="single" w:sz="4" w:space="0" w:color="auto"/>
              <w:left w:val="single" w:sz="4" w:space="0" w:color="auto"/>
              <w:bottom w:val="single" w:sz="4" w:space="0" w:color="auto"/>
              <w:right w:val="single" w:sz="4" w:space="0" w:color="auto"/>
            </w:tcBorders>
            <w:vAlign w:val="center"/>
          </w:tcPr>
          <w:p w14:paraId="20919630"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545" w:type="pct"/>
            <w:tcBorders>
              <w:top w:val="single" w:sz="4" w:space="0" w:color="auto"/>
              <w:left w:val="single" w:sz="4" w:space="0" w:color="auto"/>
              <w:bottom w:val="single" w:sz="4" w:space="0" w:color="auto"/>
              <w:right w:val="single" w:sz="4" w:space="0" w:color="auto"/>
            </w:tcBorders>
            <w:vAlign w:val="center"/>
          </w:tcPr>
          <w:p w14:paraId="0C3B73B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99.1 minuta</w:t>
            </w:r>
          </w:p>
        </w:tc>
        <w:tc>
          <w:tcPr>
            <w:tcW w:w="550" w:type="pct"/>
            <w:tcBorders>
              <w:top w:val="single" w:sz="4" w:space="0" w:color="auto"/>
              <w:left w:val="single" w:sz="4" w:space="0" w:color="auto"/>
              <w:bottom w:val="single" w:sz="4" w:space="0" w:color="auto"/>
              <w:right w:val="single" w:sz="4" w:space="0" w:color="auto"/>
            </w:tcBorders>
            <w:vAlign w:val="center"/>
          </w:tcPr>
          <w:p w14:paraId="5FD25FB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Trend rënës</w:t>
            </w:r>
          </w:p>
        </w:tc>
        <w:tc>
          <w:tcPr>
            <w:tcW w:w="550" w:type="pct"/>
            <w:tcBorders>
              <w:top w:val="single" w:sz="4" w:space="0" w:color="auto"/>
              <w:left w:val="single" w:sz="4" w:space="0" w:color="auto"/>
              <w:bottom w:val="single" w:sz="4" w:space="0" w:color="auto"/>
              <w:right w:val="single" w:sz="4" w:space="0" w:color="auto"/>
            </w:tcBorders>
            <w:vAlign w:val="center"/>
          </w:tcPr>
          <w:p w14:paraId="24AEA01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Trend rënës</w:t>
            </w:r>
          </w:p>
        </w:tc>
        <w:tc>
          <w:tcPr>
            <w:tcW w:w="550" w:type="pct"/>
            <w:tcBorders>
              <w:top w:val="single" w:sz="4" w:space="0" w:color="auto"/>
              <w:left w:val="single" w:sz="4" w:space="0" w:color="auto"/>
              <w:bottom w:val="single" w:sz="4" w:space="0" w:color="auto"/>
              <w:right w:val="single" w:sz="4" w:space="0" w:color="auto"/>
            </w:tcBorders>
            <w:vAlign w:val="center"/>
          </w:tcPr>
          <w:p w14:paraId="5A41279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Trend rënës </w:t>
            </w:r>
          </w:p>
        </w:tc>
      </w:tr>
      <w:tr w:rsidR="004719D2" w:rsidRPr="004A47DC" w14:paraId="3ACC043D" w14:textId="77777777" w:rsidTr="00D70BDE">
        <w:tc>
          <w:tcPr>
            <w:tcW w:w="2053" w:type="pct"/>
            <w:tcBorders>
              <w:top w:val="single" w:sz="4" w:space="0" w:color="auto"/>
              <w:left w:val="single" w:sz="4" w:space="0" w:color="auto"/>
              <w:bottom w:val="single" w:sz="4" w:space="0" w:color="auto"/>
              <w:right w:val="single" w:sz="4" w:space="0" w:color="auto"/>
            </w:tcBorders>
          </w:tcPr>
          <w:p w14:paraId="4B80EAAE" w14:textId="7EAA5F4F" w:rsidR="004719D2" w:rsidRPr="004A47DC" w:rsidRDefault="00365D48" w:rsidP="002A46A0">
            <w:pPr>
              <w:rPr>
                <w:rFonts w:ascii="Garamond" w:hAnsi="Garamond"/>
                <w:color w:val="000000" w:themeColor="text1"/>
                <w:sz w:val="16"/>
                <w:szCs w:val="16"/>
              </w:rPr>
            </w:pPr>
            <w:r w:rsidRPr="004A47DC">
              <w:rPr>
                <w:rFonts w:ascii="Garamond" w:hAnsi="Garamond"/>
                <w:color w:val="000000" w:themeColor="text1"/>
                <w:sz w:val="16"/>
                <w:szCs w:val="16"/>
              </w:rPr>
              <w:t xml:space="preserve">3. </w:t>
            </w:r>
            <w:r w:rsidR="004719D2" w:rsidRPr="004A47DC">
              <w:rPr>
                <w:rFonts w:ascii="Garamond" w:hAnsi="Garamond"/>
                <w:color w:val="000000" w:themeColor="text1"/>
                <w:sz w:val="16"/>
                <w:szCs w:val="16"/>
              </w:rPr>
              <w:t>Numri i operatorëve ekonomikë të autorizuar</w:t>
            </w:r>
          </w:p>
        </w:tc>
        <w:tc>
          <w:tcPr>
            <w:tcW w:w="751" w:type="pct"/>
            <w:tcBorders>
              <w:top w:val="single" w:sz="4" w:space="0" w:color="auto"/>
              <w:left w:val="single" w:sz="4" w:space="0" w:color="auto"/>
              <w:bottom w:val="single" w:sz="4" w:space="0" w:color="auto"/>
              <w:right w:val="single" w:sz="4" w:space="0" w:color="auto"/>
            </w:tcBorders>
            <w:vAlign w:val="center"/>
          </w:tcPr>
          <w:p w14:paraId="2BB7F3B2"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545" w:type="pct"/>
            <w:tcBorders>
              <w:top w:val="single" w:sz="4" w:space="0" w:color="auto"/>
              <w:left w:val="single" w:sz="4" w:space="0" w:color="auto"/>
              <w:bottom w:val="single" w:sz="4" w:space="0" w:color="auto"/>
              <w:right w:val="single" w:sz="4" w:space="0" w:color="auto"/>
            </w:tcBorders>
            <w:vAlign w:val="center"/>
          </w:tcPr>
          <w:p w14:paraId="4B0CCF6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13</w:t>
            </w:r>
          </w:p>
        </w:tc>
        <w:tc>
          <w:tcPr>
            <w:tcW w:w="550" w:type="pct"/>
            <w:tcBorders>
              <w:top w:val="single" w:sz="4" w:space="0" w:color="auto"/>
              <w:left w:val="single" w:sz="4" w:space="0" w:color="auto"/>
              <w:bottom w:val="single" w:sz="4" w:space="0" w:color="auto"/>
              <w:right w:val="single" w:sz="4" w:space="0" w:color="auto"/>
            </w:tcBorders>
            <w:vAlign w:val="center"/>
          </w:tcPr>
          <w:p w14:paraId="457C7C4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Trend rritës</w:t>
            </w:r>
          </w:p>
        </w:tc>
        <w:tc>
          <w:tcPr>
            <w:tcW w:w="550" w:type="pct"/>
            <w:tcBorders>
              <w:top w:val="single" w:sz="4" w:space="0" w:color="auto"/>
              <w:left w:val="single" w:sz="4" w:space="0" w:color="auto"/>
              <w:bottom w:val="single" w:sz="4" w:space="0" w:color="auto"/>
              <w:right w:val="single" w:sz="4" w:space="0" w:color="auto"/>
            </w:tcBorders>
            <w:vAlign w:val="center"/>
          </w:tcPr>
          <w:p w14:paraId="53B97B6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Trend rritës</w:t>
            </w:r>
          </w:p>
        </w:tc>
        <w:tc>
          <w:tcPr>
            <w:tcW w:w="550" w:type="pct"/>
            <w:tcBorders>
              <w:top w:val="single" w:sz="4" w:space="0" w:color="auto"/>
              <w:left w:val="single" w:sz="4" w:space="0" w:color="auto"/>
              <w:bottom w:val="single" w:sz="4" w:space="0" w:color="auto"/>
              <w:right w:val="single" w:sz="4" w:space="0" w:color="auto"/>
            </w:tcBorders>
            <w:vAlign w:val="center"/>
          </w:tcPr>
          <w:p w14:paraId="0DC0DC3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Trend rritës</w:t>
            </w:r>
          </w:p>
        </w:tc>
      </w:tr>
      <w:tr w:rsidR="004719D2" w:rsidRPr="004A47DC" w14:paraId="5D5E8B21" w14:textId="77777777" w:rsidTr="00D70BDE">
        <w:tc>
          <w:tcPr>
            <w:tcW w:w="2053" w:type="pct"/>
            <w:tcBorders>
              <w:top w:val="single" w:sz="4" w:space="0" w:color="auto"/>
              <w:left w:val="single" w:sz="4" w:space="0" w:color="auto"/>
              <w:bottom w:val="single" w:sz="4" w:space="0" w:color="auto"/>
              <w:right w:val="single" w:sz="4" w:space="0" w:color="auto"/>
            </w:tcBorders>
          </w:tcPr>
          <w:p w14:paraId="3FCB7A17" w14:textId="38494A3E" w:rsidR="004719D2" w:rsidRPr="004A47DC" w:rsidRDefault="00365D48" w:rsidP="002A46A0">
            <w:pPr>
              <w:rPr>
                <w:rFonts w:ascii="Garamond" w:hAnsi="Garamond"/>
                <w:color w:val="000000" w:themeColor="text1"/>
                <w:sz w:val="16"/>
                <w:szCs w:val="16"/>
              </w:rPr>
            </w:pPr>
            <w:r w:rsidRPr="004A47DC">
              <w:rPr>
                <w:rFonts w:ascii="Garamond" w:hAnsi="Garamond"/>
                <w:bCs/>
                <w:color w:val="000000" w:themeColor="text1"/>
                <w:sz w:val="16"/>
                <w:szCs w:val="16"/>
              </w:rPr>
              <w:t xml:space="preserve">4. </w:t>
            </w:r>
            <w:r w:rsidR="004719D2" w:rsidRPr="004A47DC">
              <w:rPr>
                <w:rFonts w:ascii="Garamond" w:hAnsi="Garamond"/>
                <w:bCs/>
                <w:color w:val="000000" w:themeColor="text1"/>
                <w:sz w:val="16"/>
                <w:szCs w:val="16"/>
              </w:rPr>
              <w:t>Dritarja e Vetme Kombëtare</w:t>
            </w:r>
          </w:p>
        </w:tc>
        <w:tc>
          <w:tcPr>
            <w:tcW w:w="751" w:type="pct"/>
            <w:tcBorders>
              <w:top w:val="single" w:sz="4" w:space="0" w:color="auto"/>
              <w:left w:val="single" w:sz="4" w:space="0" w:color="auto"/>
              <w:bottom w:val="single" w:sz="4" w:space="0" w:color="auto"/>
              <w:right w:val="single" w:sz="4" w:space="0" w:color="auto"/>
            </w:tcBorders>
            <w:vAlign w:val="center"/>
          </w:tcPr>
          <w:p w14:paraId="7C17ADB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45" w:type="pct"/>
            <w:tcBorders>
              <w:top w:val="single" w:sz="4" w:space="0" w:color="auto"/>
              <w:left w:val="single" w:sz="4" w:space="0" w:color="auto"/>
              <w:bottom w:val="single" w:sz="4" w:space="0" w:color="auto"/>
              <w:right w:val="single" w:sz="4" w:space="0" w:color="auto"/>
            </w:tcBorders>
            <w:vAlign w:val="center"/>
          </w:tcPr>
          <w:p w14:paraId="336FBB1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60684B9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1C281C6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49D722C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2026</w:t>
            </w:r>
          </w:p>
        </w:tc>
      </w:tr>
      <w:tr w:rsidR="004719D2" w:rsidRPr="004A47DC" w14:paraId="7B3B26B3" w14:textId="77777777" w:rsidTr="00D70BDE">
        <w:tc>
          <w:tcPr>
            <w:tcW w:w="2053" w:type="pct"/>
            <w:tcBorders>
              <w:top w:val="single" w:sz="4" w:space="0" w:color="auto"/>
              <w:left w:val="single" w:sz="4" w:space="0" w:color="auto"/>
              <w:bottom w:val="single" w:sz="4" w:space="0" w:color="auto"/>
              <w:right w:val="single" w:sz="4" w:space="0" w:color="auto"/>
            </w:tcBorders>
          </w:tcPr>
          <w:p w14:paraId="0F0C5279" w14:textId="704E6961" w:rsidR="004719D2" w:rsidRPr="004A47DC" w:rsidRDefault="00365D48" w:rsidP="002A46A0">
            <w:pPr>
              <w:rPr>
                <w:rFonts w:ascii="Garamond" w:hAnsi="Garamond"/>
                <w:bCs/>
                <w:color w:val="000000" w:themeColor="text1"/>
                <w:sz w:val="16"/>
                <w:szCs w:val="16"/>
              </w:rPr>
            </w:pPr>
            <w:r w:rsidRPr="004A47DC">
              <w:rPr>
                <w:rFonts w:ascii="Garamond" w:hAnsi="Garamond"/>
                <w:bCs/>
                <w:color w:val="000000" w:themeColor="text1"/>
                <w:sz w:val="16"/>
                <w:szCs w:val="16"/>
              </w:rPr>
              <w:t xml:space="preserve">5. </w:t>
            </w:r>
            <w:r w:rsidR="004719D2" w:rsidRPr="004A47DC">
              <w:rPr>
                <w:rFonts w:ascii="Garamond" w:hAnsi="Garamond"/>
                <w:bCs/>
                <w:color w:val="000000" w:themeColor="text1"/>
                <w:sz w:val="16"/>
                <w:szCs w:val="16"/>
              </w:rPr>
              <w:t>Sistemi i Ri i Kompjuterizuar i Transitit (SRKT)</w:t>
            </w:r>
          </w:p>
        </w:tc>
        <w:tc>
          <w:tcPr>
            <w:tcW w:w="751" w:type="pct"/>
            <w:tcBorders>
              <w:top w:val="single" w:sz="4" w:space="0" w:color="auto"/>
              <w:left w:val="single" w:sz="4" w:space="0" w:color="auto"/>
              <w:bottom w:val="single" w:sz="4" w:space="0" w:color="auto"/>
              <w:right w:val="single" w:sz="4" w:space="0" w:color="auto"/>
            </w:tcBorders>
            <w:vAlign w:val="center"/>
          </w:tcPr>
          <w:p w14:paraId="66C4AB7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45" w:type="pct"/>
            <w:tcBorders>
              <w:top w:val="single" w:sz="4" w:space="0" w:color="auto"/>
              <w:left w:val="single" w:sz="4" w:space="0" w:color="auto"/>
              <w:bottom w:val="single" w:sz="4" w:space="0" w:color="auto"/>
              <w:right w:val="single" w:sz="4" w:space="0" w:color="auto"/>
            </w:tcBorders>
            <w:vAlign w:val="center"/>
          </w:tcPr>
          <w:p w14:paraId="21F4022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2904466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240E816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550" w:type="pct"/>
            <w:tcBorders>
              <w:top w:val="single" w:sz="4" w:space="0" w:color="auto"/>
              <w:left w:val="single" w:sz="4" w:space="0" w:color="auto"/>
              <w:bottom w:val="single" w:sz="4" w:space="0" w:color="auto"/>
              <w:right w:val="single" w:sz="4" w:space="0" w:color="auto"/>
            </w:tcBorders>
            <w:vAlign w:val="center"/>
          </w:tcPr>
          <w:p w14:paraId="5B8793B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2026</w:t>
            </w:r>
          </w:p>
        </w:tc>
      </w:tr>
    </w:tbl>
    <w:p w14:paraId="2748A2F4" w14:textId="77777777" w:rsidR="004719D2" w:rsidRPr="004A47DC" w:rsidRDefault="004719D2" w:rsidP="004719D2">
      <w:pPr>
        <w:rPr>
          <w:rFonts w:ascii="Garamond" w:hAnsi="Garamond"/>
          <w:b/>
          <w:color w:val="000000" w:themeColor="text1"/>
        </w:rPr>
      </w:pPr>
    </w:p>
    <w:p w14:paraId="28978233" w14:textId="31160530" w:rsidR="004719D2" w:rsidRPr="004A47DC" w:rsidRDefault="0080353E" w:rsidP="0080353E">
      <w:pPr>
        <w:pStyle w:val="TEKSTIII"/>
        <w:rPr>
          <w:b/>
        </w:rPr>
      </w:pPr>
      <w:r w:rsidRPr="004A47DC">
        <w:rPr>
          <w:b/>
        </w:rPr>
        <w:t xml:space="preserve">5. </w:t>
      </w:r>
      <w:bookmarkStart w:id="26" w:name="_Toc168918688"/>
      <w:r w:rsidR="004719D2" w:rsidRPr="004A47DC">
        <w:rPr>
          <w:b/>
        </w:rPr>
        <w:t xml:space="preserve">Shtylla 4: Kontabiliteti dhe </w:t>
      </w:r>
      <w:r w:rsidR="00610D03" w:rsidRPr="004A47DC">
        <w:rPr>
          <w:b/>
        </w:rPr>
        <w:t xml:space="preserve">Menaxhimi </w:t>
      </w:r>
      <w:r w:rsidR="00D70BDE" w:rsidRPr="004A47DC">
        <w:rPr>
          <w:b/>
        </w:rPr>
        <w:t xml:space="preserve">i </w:t>
      </w:r>
      <w:r w:rsidR="00610D03" w:rsidRPr="004A47DC">
        <w:rPr>
          <w:b/>
        </w:rPr>
        <w:t xml:space="preserve">Zbatimit </w:t>
      </w:r>
      <w:r w:rsidR="00D70BDE" w:rsidRPr="004A47DC">
        <w:rPr>
          <w:b/>
        </w:rPr>
        <w:t xml:space="preserve">të </w:t>
      </w:r>
      <w:r w:rsidR="00610D03" w:rsidRPr="004A47DC">
        <w:rPr>
          <w:b/>
        </w:rPr>
        <w:t>Buxhetit</w:t>
      </w:r>
      <w:bookmarkEnd w:id="26"/>
    </w:p>
    <w:p w14:paraId="318C3E37" w14:textId="6A2F71D9" w:rsidR="004719D2" w:rsidRPr="004A47DC" w:rsidRDefault="0080353E" w:rsidP="0080353E">
      <w:pPr>
        <w:pStyle w:val="TEKSTIII"/>
        <w:rPr>
          <w:b/>
        </w:rPr>
      </w:pPr>
      <w:bookmarkStart w:id="27" w:name="_Toc168918689"/>
      <w:r w:rsidRPr="004A47DC">
        <w:rPr>
          <w:b/>
        </w:rPr>
        <w:t xml:space="preserve">5.1 </w:t>
      </w:r>
      <w:r w:rsidR="004719D2" w:rsidRPr="004A47DC">
        <w:rPr>
          <w:b/>
        </w:rPr>
        <w:t>Hyrje</w:t>
      </w:r>
      <w:bookmarkEnd w:id="27"/>
    </w:p>
    <w:p w14:paraId="41B8A5C9" w14:textId="20CDDA98" w:rsidR="004719D2" w:rsidRPr="004A47DC" w:rsidRDefault="004719D2" w:rsidP="0080353E">
      <w:pPr>
        <w:pStyle w:val="TEKSTIII"/>
      </w:pPr>
      <w:r w:rsidRPr="004A47DC">
        <w:t xml:space="preserve">Objektivi Specifik 4 </w:t>
      </w:r>
      <w:r w:rsidR="00E33A13" w:rsidRPr="004A47DC">
        <w:t>“</w:t>
      </w:r>
      <w:r w:rsidRPr="004A47DC">
        <w:t xml:space="preserve">Menaxhimi i </w:t>
      </w:r>
      <w:r w:rsidR="002E2041" w:rsidRPr="004A47DC">
        <w:t>zbatimit të buxhetit dhe praktikat e kontabilitetit të përmirësuara dhe të përafruara me standardet ndërkombëtare d</w:t>
      </w:r>
      <w:r w:rsidRPr="004A47DC">
        <w:t>he kërkesat e BE-së</w:t>
      </w:r>
      <w:r w:rsidR="00E33A13" w:rsidRPr="004A47DC">
        <w:t>”</w:t>
      </w:r>
      <w:r w:rsidRPr="004A47DC">
        <w:t xml:space="preserve"> mbulon </w:t>
      </w:r>
      <w:r w:rsidR="002E2041" w:rsidRPr="004A47DC">
        <w:t>llogaritë kombëtare të qeverisë, kontabilitetin, prokurimin publik, menaxhimin e borxhit, menaxhimin e likuiditetit, dhe menaxhimin e aseteve</w:t>
      </w:r>
      <w:r w:rsidRPr="004A47DC">
        <w:t>.</w:t>
      </w:r>
    </w:p>
    <w:p w14:paraId="224B0E17" w14:textId="211CE7C6"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 4.1 Llogaritë </w:t>
      </w:r>
      <w:r w:rsidR="002E2041" w:rsidRPr="004A47DC">
        <w:rPr>
          <w:rFonts w:ascii="Garamond" w:hAnsi="Garamond" w:cs="Garamond"/>
          <w:b/>
          <w:bCs/>
          <w:lang w:eastAsia="sq-AL"/>
        </w:rPr>
        <w:t>kombëtare të qeverisë</w:t>
      </w:r>
    </w:p>
    <w:p w14:paraId="2826AAB7" w14:textId="77777777" w:rsidR="002E2041" w:rsidRDefault="0018266B" w:rsidP="0018266B">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Statistikat financiare të </w:t>
      </w:r>
      <w:r w:rsidR="002E2041">
        <w:rPr>
          <w:rFonts w:ascii="Garamond" w:hAnsi="Garamond" w:cs="Garamond"/>
          <w:lang w:eastAsia="sq-AL"/>
        </w:rPr>
        <w:t>q</w:t>
      </w:r>
      <w:r w:rsidRPr="004A47DC">
        <w:rPr>
          <w:rFonts w:ascii="Garamond" w:hAnsi="Garamond" w:cs="Garamond"/>
          <w:lang w:eastAsia="sq-AL"/>
        </w:rPr>
        <w:t xml:space="preserve">everisë (SFQ) dhe </w:t>
      </w:r>
      <w:r w:rsidR="002E2041" w:rsidRPr="004A47DC">
        <w:rPr>
          <w:rFonts w:ascii="Garamond" w:hAnsi="Garamond" w:cs="Garamond"/>
          <w:lang w:eastAsia="sq-AL"/>
        </w:rPr>
        <w:t xml:space="preserve">tabelat e procedurës së defiçitit </w:t>
      </w:r>
      <w:r w:rsidRPr="004A47DC">
        <w:rPr>
          <w:rFonts w:ascii="Garamond" w:hAnsi="Garamond" w:cs="Garamond"/>
          <w:lang w:eastAsia="sq-AL"/>
        </w:rPr>
        <w:t xml:space="preserve">të </w:t>
      </w:r>
      <w:r w:rsidR="002E2041">
        <w:rPr>
          <w:rFonts w:ascii="Garamond" w:hAnsi="Garamond" w:cs="Garamond"/>
          <w:lang w:eastAsia="sq-AL"/>
        </w:rPr>
        <w:t>t</w:t>
      </w:r>
      <w:r w:rsidRPr="004A47DC">
        <w:rPr>
          <w:rFonts w:ascii="Garamond" w:hAnsi="Garamond" w:cs="Garamond"/>
          <w:lang w:eastAsia="sq-AL"/>
        </w:rPr>
        <w:t>ejkaluar (TPDT)</w:t>
      </w:r>
      <w:r w:rsidR="002E2041">
        <w:rPr>
          <w:rFonts w:ascii="Garamond" w:hAnsi="Garamond" w:cs="Garamond"/>
          <w:lang w:eastAsia="sq-AL"/>
        </w:rPr>
        <w:t>,</w:t>
      </w:r>
      <w:r w:rsidRPr="004A47DC">
        <w:rPr>
          <w:rFonts w:ascii="Garamond" w:hAnsi="Garamond" w:cs="Garamond"/>
          <w:lang w:eastAsia="sq-AL"/>
        </w:rPr>
        <w:t xml:space="preserve"> në përputhje me standardet e BE-së. </w:t>
      </w:r>
    </w:p>
    <w:p w14:paraId="1FAF1654" w14:textId="27169389"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 për vitet </w:t>
      </w:r>
      <w:r w:rsidR="00DB1D7E" w:rsidRPr="004A47DC">
        <w:rPr>
          <w:rFonts w:ascii="Garamond" w:hAnsi="Garamond" w:cs="Garamond"/>
          <w:lang w:eastAsia="sq-AL"/>
        </w:rPr>
        <w:t>2023–2026</w:t>
      </w:r>
      <w:r w:rsidRPr="004A47DC">
        <w:rPr>
          <w:rFonts w:ascii="Garamond" w:hAnsi="Garamond" w:cs="Garamond"/>
          <w:lang w:eastAsia="sq-AL"/>
        </w:rPr>
        <w:t>:</w:t>
      </w:r>
      <w:r w:rsidRPr="004A47DC">
        <w:rPr>
          <w:rFonts w:ascii="Garamond" w:hAnsi="Garamond" w:cs="Symbol"/>
          <w:color w:val="0070C0"/>
          <w:lang w:eastAsia="sq-AL"/>
        </w:rPr>
        <w:t xml:space="preserve">· </w:t>
      </w:r>
    </w:p>
    <w:p w14:paraId="58C16D22" w14:textId="77777777" w:rsidR="002E2041"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4.1.1 Përmirësimi i mëtejshëm i statistikave SFQ dhe PDT me standardet e BE-së (SELL 2010).</w:t>
      </w:r>
    </w:p>
    <w:p w14:paraId="69C8B4E3" w14:textId="77777777" w:rsidR="002E2041"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4.2 Kontabiliteti</w:t>
      </w:r>
      <w:r w:rsidR="00D70BDE" w:rsidRPr="004A47DC">
        <w:rPr>
          <w:rFonts w:ascii="Garamond" w:hAnsi="Garamond" w:cs="Garamond"/>
          <w:b/>
          <w:bCs/>
          <w:lang w:eastAsia="sq-AL"/>
        </w:rPr>
        <w:t xml:space="preserve"> </w:t>
      </w:r>
    </w:p>
    <w:p w14:paraId="1ABD4BF6" w14:textId="4FAB6FD7" w:rsidR="0018266B" w:rsidRPr="004A47DC" w:rsidRDefault="0018266B" w:rsidP="002E2041">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përgatitja dhe publikimi i pasqyrave financiare (të konsoliduara)</w:t>
      </w:r>
      <w:r w:rsidR="002E2041">
        <w:rPr>
          <w:rFonts w:ascii="Garamond" w:hAnsi="Garamond" w:cs="Garamond"/>
          <w:lang w:eastAsia="sq-AL"/>
        </w:rPr>
        <w:t>,</w:t>
      </w:r>
      <w:r w:rsidRPr="004A47DC">
        <w:rPr>
          <w:rFonts w:ascii="Garamond" w:hAnsi="Garamond" w:cs="Garamond"/>
          <w:lang w:eastAsia="sq-AL"/>
        </w:rPr>
        <w:t xml:space="preserve"> në përputhje me SNKSP, pas shtrirjes së SNKSP</w:t>
      </w:r>
      <w:r w:rsidR="002E2041">
        <w:rPr>
          <w:rFonts w:ascii="Garamond" w:hAnsi="Garamond" w:cs="Garamond"/>
          <w:lang w:eastAsia="sq-AL"/>
        </w:rPr>
        <w:t>-</w:t>
      </w:r>
      <w:r w:rsidR="005A2A99">
        <w:rPr>
          <w:rFonts w:ascii="Garamond" w:hAnsi="Garamond" w:cs="Garamond"/>
          <w:lang w:eastAsia="sq-AL"/>
        </w:rPr>
        <w:t>ve</w:t>
      </w:r>
      <w:r w:rsidRPr="004A47DC">
        <w:rPr>
          <w:rFonts w:ascii="Garamond" w:hAnsi="Garamond" w:cs="Garamond"/>
          <w:lang w:eastAsia="sq-AL"/>
        </w:rPr>
        <w:t xml:space="preserve"> në të gjitha institucionet e qeverisë qendrore.</w:t>
      </w:r>
    </w:p>
    <w:p w14:paraId="419870D3" w14:textId="64F694C4" w:rsidR="0018266B" w:rsidRPr="004A47DC" w:rsidRDefault="0018266B" w:rsidP="0018266B">
      <w:pPr>
        <w:tabs>
          <w:tab w:val="left" w:pos="9071"/>
        </w:tabs>
        <w:autoSpaceDE w:val="0"/>
        <w:autoSpaceDN w:val="0"/>
        <w:adjustRightInd w:val="0"/>
        <w:ind w:firstLine="284"/>
        <w:jc w:val="both"/>
        <w:rPr>
          <w:rFonts w:ascii="Garamond" w:hAnsi="Garamond" w:cs="Symbol"/>
          <w:b/>
          <w:color w:val="0070C0"/>
          <w:lang w:eastAsia="sq-AL"/>
        </w:rPr>
      </w:pPr>
      <w:r w:rsidRPr="004A47DC">
        <w:rPr>
          <w:rFonts w:ascii="Garamond" w:hAnsi="Garamond" w:cs="Garamond"/>
          <w:b/>
          <w:lang w:eastAsia="sq-AL"/>
        </w:rPr>
        <w:t xml:space="preserve">Masat </w:t>
      </w:r>
      <w:r w:rsidR="00DB1D7E" w:rsidRPr="004A47DC">
        <w:rPr>
          <w:rFonts w:ascii="Garamond" w:hAnsi="Garamond" w:cs="Garamond"/>
          <w:b/>
          <w:lang w:eastAsia="sq-AL"/>
        </w:rPr>
        <w:t>2023–2026</w:t>
      </w:r>
      <w:r w:rsidRPr="004A47DC">
        <w:rPr>
          <w:rFonts w:ascii="Garamond" w:hAnsi="Garamond" w:cs="Garamond"/>
          <w:b/>
          <w:lang w:eastAsia="sq-AL"/>
        </w:rPr>
        <w:t>:</w:t>
      </w:r>
    </w:p>
    <w:p w14:paraId="7D0E4482" w14:textId="27672398" w:rsidR="002E2041"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4.2.1 Rritja e aksesit dhe përdorimit të SIFQ</w:t>
      </w:r>
      <w:r w:rsidR="002E2041">
        <w:rPr>
          <w:rFonts w:ascii="Garamond" w:hAnsi="Garamond" w:cs="Garamond"/>
          <w:color w:val="000000"/>
          <w:lang w:eastAsia="sq-AL"/>
        </w:rPr>
        <w:t>-së</w:t>
      </w:r>
      <w:r w:rsidRPr="004A47DC">
        <w:rPr>
          <w:rFonts w:ascii="Garamond" w:hAnsi="Garamond" w:cs="Garamond"/>
          <w:color w:val="000000"/>
          <w:lang w:eastAsia="sq-AL"/>
        </w:rPr>
        <w:t>;</w:t>
      </w:r>
      <w:r w:rsidRPr="004A47DC">
        <w:rPr>
          <w:rFonts w:ascii="Garamond" w:hAnsi="Garamond" w:cs="Symbol"/>
          <w:color w:val="0070C0"/>
          <w:lang w:eastAsia="sq-AL"/>
        </w:rPr>
        <w:t xml:space="preserve"> </w:t>
      </w:r>
    </w:p>
    <w:p w14:paraId="0FAF338D" w14:textId="6D7C8562"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4.2.2 Zhvillimi i kuadrit ligjor dhe rregullator për reformat e kontabilitetit;</w:t>
      </w:r>
    </w:p>
    <w:p w14:paraId="2E27519D" w14:textId="6CBE59EF"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4.2.3 Përmirësimi i funksionaliteteve të SIFQ</w:t>
      </w:r>
      <w:r w:rsidR="002E2041">
        <w:rPr>
          <w:rFonts w:ascii="Garamond" w:hAnsi="Garamond" w:cs="Garamond"/>
          <w:color w:val="000000"/>
          <w:lang w:eastAsia="sq-AL"/>
        </w:rPr>
        <w:t>-së</w:t>
      </w:r>
      <w:r w:rsidRPr="004A47DC">
        <w:rPr>
          <w:rFonts w:ascii="Garamond" w:hAnsi="Garamond" w:cs="Garamond"/>
          <w:color w:val="000000"/>
          <w:lang w:eastAsia="sq-AL"/>
        </w:rPr>
        <w:t xml:space="preserve"> për të absorbuar reformat e kontabilitetit;</w:t>
      </w:r>
    </w:p>
    <w:p w14:paraId="1053BBEC" w14:textId="7CA7CA6C"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4.2.4</w:t>
      </w:r>
      <w:r w:rsidR="00D70BDE" w:rsidRPr="004A47DC">
        <w:rPr>
          <w:rFonts w:ascii="Garamond" w:hAnsi="Garamond" w:cs="Garamond"/>
          <w:color w:val="000000"/>
          <w:lang w:eastAsia="sq-AL"/>
        </w:rPr>
        <w:t>:</w:t>
      </w:r>
      <w:r w:rsidRPr="004A47DC">
        <w:rPr>
          <w:rFonts w:ascii="Garamond" w:hAnsi="Garamond" w:cs="Garamond"/>
          <w:color w:val="000000"/>
          <w:lang w:eastAsia="sq-AL"/>
        </w:rPr>
        <w:t xml:space="preserve"> Përgatitja, ofrimi dhe institucionalizimi i zhvillimit të kapaciteteve të kontabilistëve për të absorbuar reformat e kontabilitetit.</w:t>
      </w:r>
    </w:p>
    <w:p w14:paraId="452E912E" w14:textId="6B6CF0E0"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Komponenti 4.3 Prokurimi </w:t>
      </w:r>
      <w:r w:rsidR="005A2A99" w:rsidRPr="004A47DC">
        <w:rPr>
          <w:rFonts w:ascii="Garamond" w:hAnsi="Garamond" w:cs="Garamond"/>
          <w:b/>
          <w:bCs/>
          <w:lang w:eastAsia="sq-AL"/>
        </w:rPr>
        <w:t>publik</w:t>
      </w:r>
    </w:p>
    <w:p w14:paraId="3E7E3028" w14:textId="180E52AC" w:rsidR="0018266B" w:rsidRPr="004A47DC" w:rsidRDefault="0018266B" w:rsidP="0018266B">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garantimi i një sistemi eficient dhe të qëndrueshëm</w:t>
      </w:r>
      <w:r w:rsidR="002E2041">
        <w:rPr>
          <w:rFonts w:ascii="Garamond" w:hAnsi="Garamond" w:cs="Garamond"/>
          <w:lang w:eastAsia="sq-AL"/>
        </w:rPr>
        <w:t>,</w:t>
      </w:r>
      <w:r w:rsidRPr="004A47DC">
        <w:rPr>
          <w:rFonts w:ascii="Garamond" w:hAnsi="Garamond" w:cs="Garamond"/>
          <w:lang w:eastAsia="sq-AL"/>
        </w:rPr>
        <w:t xml:space="preserve"> duke promovuar përmirësimin e tij drejt një qasjeje moderne dhe eficiente të bazuar në praktikat më të mira ndërkombëtare, në përputhje me parimet e transparencës, konkurrencës së lirë dhe të ndershme, mosdiskriminimit dhe trajtimit të barabartë, duke promovuar dhe nxitur një sistem të qëndrueshëm që garanton vlerën për para.</w:t>
      </w:r>
    </w:p>
    <w:p w14:paraId="40F9414E" w14:textId="77777777" w:rsidR="002E2041"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w:t>
      </w:r>
      <w:r w:rsidR="00DB1D7E" w:rsidRPr="004A47DC">
        <w:rPr>
          <w:rFonts w:ascii="Garamond" w:hAnsi="Garamond" w:cs="Garamond"/>
          <w:lang w:eastAsia="sq-AL"/>
        </w:rPr>
        <w:t>2023–2026</w:t>
      </w:r>
      <w:r w:rsidRPr="004A47DC">
        <w:rPr>
          <w:rFonts w:ascii="Garamond" w:hAnsi="Garamond" w:cs="Garamond"/>
          <w:lang w:eastAsia="sq-AL"/>
        </w:rPr>
        <w:t>:</w:t>
      </w:r>
      <w:r w:rsidRPr="004A47DC">
        <w:rPr>
          <w:rFonts w:ascii="Garamond" w:hAnsi="Garamond" w:cs="Symbol"/>
          <w:color w:val="0070C0"/>
          <w:lang w:eastAsia="sq-AL"/>
        </w:rPr>
        <w:t xml:space="preserve"> </w:t>
      </w:r>
    </w:p>
    <w:p w14:paraId="3AD0FB77" w14:textId="354B27B3"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4.3.1 Përmirësimi i cilësisë dhe efic</w:t>
      </w:r>
      <w:r w:rsidR="00D70BDE" w:rsidRPr="004A47DC">
        <w:rPr>
          <w:rFonts w:ascii="Garamond" w:hAnsi="Garamond" w:cs="Garamond"/>
          <w:color w:val="000000"/>
          <w:lang w:eastAsia="sq-AL"/>
        </w:rPr>
        <w:t>i</w:t>
      </w:r>
      <w:r w:rsidRPr="004A47DC">
        <w:rPr>
          <w:rFonts w:ascii="Garamond" w:hAnsi="Garamond" w:cs="Garamond"/>
          <w:color w:val="000000"/>
          <w:lang w:eastAsia="sq-AL"/>
        </w:rPr>
        <w:t>encës në procedurat e prokurimit;</w:t>
      </w:r>
    </w:p>
    <w:p w14:paraId="142F3348" w14:textId="146D58E7" w:rsidR="0018266B" w:rsidRPr="002E2041" w:rsidRDefault="0018266B" w:rsidP="002E2041">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4.3.2 Hartimi dhe zbatimi i prokurimit publik të gjelbër;</w:t>
      </w:r>
    </w:p>
    <w:p w14:paraId="301F336F" w14:textId="178BA850"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4.3.3 Rritja e efi</w:t>
      </w:r>
      <w:r w:rsidR="00D70BDE" w:rsidRPr="004A47DC">
        <w:rPr>
          <w:rFonts w:ascii="Garamond" w:hAnsi="Garamond" w:cs="Garamond"/>
          <w:color w:val="000000"/>
          <w:lang w:eastAsia="sq-AL"/>
        </w:rPr>
        <w:t>ci</w:t>
      </w:r>
      <w:r w:rsidRPr="004A47DC">
        <w:rPr>
          <w:rFonts w:ascii="Garamond" w:hAnsi="Garamond" w:cs="Garamond"/>
          <w:color w:val="000000"/>
          <w:lang w:eastAsia="sq-AL"/>
        </w:rPr>
        <w:t xml:space="preserve">encës </w:t>
      </w:r>
      <w:r w:rsidR="002E2041">
        <w:rPr>
          <w:rFonts w:ascii="Garamond" w:hAnsi="Garamond" w:cs="Garamond"/>
          <w:color w:val="000000"/>
          <w:lang w:eastAsia="sq-AL"/>
        </w:rPr>
        <w:t>s</w:t>
      </w:r>
      <w:r w:rsidRPr="004A47DC">
        <w:rPr>
          <w:rFonts w:ascii="Garamond" w:hAnsi="Garamond" w:cs="Garamond"/>
          <w:color w:val="000000"/>
          <w:lang w:eastAsia="sq-AL"/>
        </w:rPr>
        <w:t>ë sistemit të shqyrtimit të ankesave</w:t>
      </w:r>
      <w:r w:rsidR="002E2041">
        <w:rPr>
          <w:rFonts w:ascii="Garamond" w:hAnsi="Garamond" w:cs="Garamond"/>
          <w:color w:val="000000"/>
          <w:lang w:eastAsia="sq-AL"/>
        </w:rPr>
        <w:t>,</w:t>
      </w:r>
      <w:r w:rsidRPr="004A47DC">
        <w:rPr>
          <w:rFonts w:ascii="Garamond" w:hAnsi="Garamond" w:cs="Garamond"/>
          <w:color w:val="000000"/>
          <w:lang w:eastAsia="sq-AL"/>
        </w:rPr>
        <w:t xml:space="preserve"> duke rritur shpejtësinë e vendimmarrjes;</w:t>
      </w:r>
    </w:p>
    <w:p w14:paraId="3431AA1A" w14:textId="77777777"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4.3.4 Përmirësimi i kuadrit ligjor dhe institucional për koncesionet dhe partneritetin publik-privat.</w:t>
      </w:r>
    </w:p>
    <w:p w14:paraId="6704EAD4" w14:textId="77777777"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p>
    <w:p w14:paraId="373A97C7" w14:textId="0EC58257"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Komponenti 4.4 Menaxhimi i </w:t>
      </w:r>
      <w:r w:rsidR="002E2041">
        <w:rPr>
          <w:rFonts w:ascii="Garamond" w:hAnsi="Garamond" w:cs="Garamond"/>
          <w:b/>
          <w:bCs/>
          <w:lang w:eastAsia="sq-AL"/>
        </w:rPr>
        <w:t>b</w:t>
      </w:r>
      <w:r w:rsidRPr="004A47DC">
        <w:rPr>
          <w:rFonts w:ascii="Garamond" w:hAnsi="Garamond" w:cs="Garamond"/>
          <w:b/>
          <w:bCs/>
          <w:lang w:eastAsia="sq-AL"/>
        </w:rPr>
        <w:t>orxhit</w:t>
      </w:r>
    </w:p>
    <w:p w14:paraId="15FABC03" w14:textId="525712F6" w:rsidR="0018266B" w:rsidRPr="004A47DC" w:rsidRDefault="0018266B" w:rsidP="0018266B">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të funksionojë një </w:t>
      </w:r>
      <w:r w:rsidR="002E2041" w:rsidRPr="004A47DC">
        <w:rPr>
          <w:rFonts w:ascii="Garamond" w:hAnsi="Garamond" w:cs="Garamond"/>
          <w:lang w:eastAsia="sq-AL"/>
        </w:rPr>
        <w:t xml:space="preserve">sistem gjithëpërfshirës </w:t>
      </w:r>
      <w:r w:rsidR="002E2041">
        <w:rPr>
          <w:rFonts w:ascii="Garamond" w:hAnsi="Garamond" w:cs="Garamond"/>
          <w:lang w:eastAsia="sq-AL"/>
        </w:rPr>
        <w:t>të</w:t>
      </w:r>
      <w:r w:rsidR="002E2041" w:rsidRPr="004A47DC">
        <w:rPr>
          <w:rFonts w:ascii="Garamond" w:hAnsi="Garamond" w:cs="Garamond"/>
          <w:lang w:eastAsia="sq-AL"/>
        </w:rPr>
        <w:t xml:space="preserve"> menaxhimit të borxhit </w:t>
      </w:r>
      <w:r w:rsidRPr="004A47DC">
        <w:rPr>
          <w:rFonts w:ascii="Garamond" w:hAnsi="Garamond" w:cs="Garamond"/>
          <w:lang w:eastAsia="sq-AL"/>
        </w:rPr>
        <w:t>që siguron që nevojat e qeverisë për financim dhe detyrimet e saj për pagesën e borxhit të përmbushen me koston më të ulët të mundshme</w:t>
      </w:r>
      <w:r w:rsidR="002E2041">
        <w:rPr>
          <w:rFonts w:ascii="Garamond" w:hAnsi="Garamond" w:cs="Garamond"/>
          <w:lang w:eastAsia="sq-AL"/>
        </w:rPr>
        <w:t>,</w:t>
      </w:r>
      <w:r w:rsidRPr="004A47DC">
        <w:rPr>
          <w:rFonts w:ascii="Garamond" w:hAnsi="Garamond" w:cs="Garamond"/>
          <w:lang w:eastAsia="sq-AL"/>
        </w:rPr>
        <w:t xml:space="preserve"> në periudhën afatmesme dhe afatgjatë</w:t>
      </w:r>
      <w:r w:rsidR="002E2041">
        <w:rPr>
          <w:rFonts w:ascii="Garamond" w:hAnsi="Garamond" w:cs="Garamond"/>
          <w:lang w:eastAsia="sq-AL"/>
        </w:rPr>
        <w:t>,</w:t>
      </w:r>
      <w:r w:rsidRPr="004A47DC">
        <w:rPr>
          <w:rFonts w:ascii="Garamond" w:hAnsi="Garamond" w:cs="Garamond"/>
          <w:lang w:eastAsia="sq-AL"/>
        </w:rPr>
        <w:t xml:space="preserve"> në përputhje me një shkallë të kujdesshme risku.</w:t>
      </w:r>
    </w:p>
    <w:p w14:paraId="04008452" w14:textId="599D5A73"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w:t>
      </w:r>
      <w:r w:rsidR="00DB1D7E" w:rsidRPr="004A47DC">
        <w:rPr>
          <w:rFonts w:ascii="Garamond" w:hAnsi="Garamond" w:cs="Garamond"/>
          <w:lang w:eastAsia="sq-AL"/>
        </w:rPr>
        <w:t>2023–2026</w:t>
      </w:r>
      <w:r w:rsidRPr="004A47DC">
        <w:rPr>
          <w:rFonts w:ascii="Garamond" w:hAnsi="Garamond" w:cs="Garamond"/>
          <w:lang w:eastAsia="sq-AL"/>
        </w:rPr>
        <w:t>:</w:t>
      </w:r>
    </w:p>
    <w:p w14:paraId="559AF7B9" w14:textId="77777777"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4.4.1 Forcimi i raportimit mbi menaxhimin e borxhit dhe marrëdhënieve me investitorët;</w:t>
      </w:r>
    </w:p>
    <w:p w14:paraId="3F64B234" w14:textId="717F3776"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4.4.2 Zhvillimi i një kuadri gjithëpërfshirës për sigurimin e garancive dhe nënhuadhënies;</w:t>
      </w:r>
    </w:p>
    <w:p w14:paraId="6AE22B7A" w14:textId="15AC1AB4"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 xml:space="preserve">Masa 4.4.3 Fillimi i zhvillimit gradualisht të vlerësimit të nevojshëm për instrumente të reja alternative të financimit (të </w:t>
      </w:r>
      <w:r w:rsidR="002E2041" w:rsidRPr="004A47DC">
        <w:rPr>
          <w:rFonts w:ascii="Garamond" w:hAnsi="Garamond" w:cs="Garamond"/>
          <w:color w:val="000000"/>
          <w:lang w:eastAsia="sq-AL"/>
        </w:rPr>
        <w:t xml:space="preserve">gjelbër, socialë, të qëndrueshmërisë </w:t>
      </w:r>
      <w:r w:rsidRPr="004A47DC">
        <w:rPr>
          <w:rFonts w:ascii="Garamond" w:hAnsi="Garamond" w:cs="Garamond"/>
          <w:color w:val="000000"/>
          <w:lang w:eastAsia="sq-AL"/>
        </w:rPr>
        <w:t>ose instrumente të tjera).</w:t>
      </w:r>
    </w:p>
    <w:p w14:paraId="135E7E91" w14:textId="5590FF54"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4.5</w:t>
      </w:r>
      <w:r w:rsidR="00D70BDE" w:rsidRPr="004A47DC">
        <w:rPr>
          <w:rFonts w:ascii="Garamond" w:hAnsi="Garamond" w:cs="Garamond"/>
          <w:b/>
          <w:bCs/>
          <w:lang w:eastAsia="sq-AL"/>
        </w:rPr>
        <w:t>:</w:t>
      </w:r>
      <w:r w:rsidRPr="004A47DC">
        <w:rPr>
          <w:rFonts w:ascii="Garamond" w:hAnsi="Garamond" w:cs="Garamond"/>
          <w:b/>
          <w:bCs/>
          <w:lang w:eastAsia="sq-AL"/>
        </w:rPr>
        <w:t xml:space="preserve"> Menaxhimi i </w:t>
      </w:r>
      <w:r w:rsidR="00D70BDE" w:rsidRPr="004A47DC">
        <w:rPr>
          <w:rFonts w:ascii="Garamond" w:hAnsi="Garamond" w:cs="Garamond"/>
          <w:b/>
          <w:bCs/>
          <w:lang w:eastAsia="sq-AL"/>
        </w:rPr>
        <w:t>l</w:t>
      </w:r>
      <w:r w:rsidRPr="004A47DC">
        <w:rPr>
          <w:rFonts w:ascii="Garamond" w:hAnsi="Garamond" w:cs="Garamond"/>
          <w:b/>
          <w:bCs/>
          <w:lang w:eastAsia="sq-AL"/>
        </w:rPr>
        <w:t>ikuiditetit</w:t>
      </w:r>
    </w:p>
    <w:p w14:paraId="0E47B787" w14:textId="77777777" w:rsidR="0018266B" w:rsidRPr="004A47DC" w:rsidRDefault="0018266B" w:rsidP="0018266B">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Synimi për vitin 2030 është që të ketë sisteme të avancuara të planifikimit dhe menaxhimit të likuiditetit për të siguruar operacione efikase dhe efektive të thesarit.</w:t>
      </w:r>
    </w:p>
    <w:p w14:paraId="3F49D27F" w14:textId="57E77FFF"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w:t>
      </w:r>
      <w:r w:rsidR="00DB1D7E" w:rsidRPr="004A47DC">
        <w:rPr>
          <w:rFonts w:ascii="Garamond" w:hAnsi="Garamond" w:cs="Garamond"/>
          <w:lang w:eastAsia="sq-AL"/>
        </w:rPr>
        <w:t>2023–2026</w:t>
      </w:r>
      <w:r w:rsidRPr="004A47DC">
        <w:rPr>
          <w:rFonts w:ascii="Garamond" w:hAnsi="Garamond" w:cs="Garamond"/>
          <w:lang w:eastAsia="sq-AL"/>
        </w:rPr>
        <w:t>:</w:t>
      </w:r>
    </w:p>
    <w:p w14:paraId="10C82083" w14:textId="423AE258"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4.5.1 Përmirësimi i procesit të parashikimit të likuiditetit;</w:t>
      </w:r>
    </w:p>
    <w:p w14:paraId="7E276065" w14:textId="6557CD09"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4.5.2 Prezantimi i një sistemi gjithëpërfshirës të monitorimit të performancës për parashikimin e likuiditetit;</w:t>
      </w:r>
    </w:p>
    <w:p w14:paraId="5F3568D6" w14:textId="77777777" w:rsidR="0018266B" w:rsidRPr="004A47DC" w:rsidRDefault="0018266B" w:rsidP="0018266B">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4.5.3 Përmirësimi i instrumenteve të menaxhimit të likuiditetit.</w:t>
      </w:r>
    </w:p>
    <w:p w14:paraId="6C5AC94E" w14:textId="671F25C6" w:rsidR="0018266B" w:rsidRPr="004A47DC" w:rsidRDefault="0018266B" w:rsidP="0018266B">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Komponenti 4.6 Menaxhimi i </w:t>
      </w:r>
      <w:r w:rsidR="002E2041">
        <w:rPr>
          <w:rFonts w:ascii="Garamond" w:hAnsi="Garamond" w:cs="Garamond"/>
          <w:b/>
          <w:bCs/>
          <w:lang w:eastAsia="sq-AL"/>
        </w:rPr>
        <w:t>a</w:t>
      </w:r>
      <w:r w:rsidRPr="004A47DC">
        <w:rPr>
          <w:rFonts w:ascii="Garamond" w:hAnsi="Garamond" w:cs="Garamond"/>
          <w:b/>
          <w:bCs/>
          <w:lang w:eastAsia="sq-AL"/>
        </w:rPr>
        <w:t>seteve</w:t>
      </w:r>
    </w:p>
    <w:p w14:paraId="2E679AFD" w14:textId="30F913D8" w:rsidR="0018266B" w:rsidRPr="004A47DC" w:rsidRDefault="0018266B" w:rsidP="0018266B">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procedurat dhe sistemet për regjistrimin dhe vlerësimin e të gjitha </w:t>
      </w:r>
      <w:r w:rsidRPr="002E2041">
        <w:rPr>
          <w:rFonts w:ascii="Garamond" w:hAnsi="Garamond" w:cs="Garamond"/>
          <w:bCs/>
          <w:lang w:eastAsia="sq-AL"/>
        </w:rPr>
        <w:t>aseteve</w:t>
      </w:r>
      <w:r w:rsidRPr="004A47DC">
        <w:rPr>
          <w:rFonts w:ascii="Garamond" w:hAnsi="Garamond" w:cs="Garamond"/>
          <w:lang w:eastAsia="sq-AL"/>
        </w:rPr>
        <w:t xml:space="preserve"> publike</w:t>
      </w:r>
      <w:r w:rsidR="002E2041">
        <w:rPr>
          <w:rFonts w:ascii="Garamond" w:hAnsi="Garamond" w:cs="Garamond"/>
          <w:lang w:eastAsia="sq-AL"/>
        </w:rPr>
        <w:t>,</w:t>
      </w:r>
      <w:r w:rsidRPr="004A47DC">
        <w:rPr>
          <w:rFonts w:ascii="Garamond" w:hAnsi="Garamond" w:cs="Garamond"/>
          <w:lang w:eastAsia="sq-AL"/>
        </w:rPr>
        <w:t xml:space="preserve"> në përputhje me standardet e</w:t>
      </w:r>
      <w:r w:rsidRPr="004A47DC">
        <w:rPr>
          <w:rFonts w:ascii="Garamond" w:hAnsi="Garamond" w:cs="Garamond"/>
          <w:b/>
          <w:bCs/>
          <w:lang w:eastAsia="sq-AL"/>
        </w:rPr>
        <w:t xml:space="preserve"> </w:t>
      </w:r>
      <w:r w:rsidRPr="002E2041">
        <w:rPr>
          <w:rFonts w:ascii="Garamond" w:hAnsi="Garamond" w:cs="Garamond"/>
          <w:bCs/>
          <w:lang w:eastAsia="sq-AL"/>
        </w:rPr>
        <w:t>miratuara të</w:t>
      </w:r>
      <w:r w:rsidRPr="004A47DC">
        <w:rPr>
          <w:rFonts w:ascii="Garamond" w:hAnsi="Garamond" w:cs="Garamond"/>
          <w:lang w:eastAsia="sq-AL"/>
        </w:rPr>
        <w:t xml:space="preserve"> kontabilitetit janë përfunduar.</w:t>
      </w:r>
    </w:p>
    <w:p w14:paraId="1F1C70C2" w14:textId="30313C21" w:rsidR="0018266B" w:rsidRPr="004A47DC" w:rsidRDefault="0018266B" w:rsidP="0018266B">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 për vitet </w:t>
      </w:r>
      <w:r w:rsidR="00DB1D7E" w:rsidRPr="004A47DC">
        <w:rPr>
          <w:rFonts w:ascii="Garamond" w:hAnsi="Garamond" w:cs="Garamond"/>
          <w:lang w:eastAsia="sq-AL"/>
        </w:rPr>
        <w:t>2023–2026</w:t>
      </w:r>
      <w:r w:rsidRPr="004A47DC">
        <w:rPr>
          <w:rFonts w:ascii="Garamond" w:hAnsi="Garamond" w:cs="Garamond"/>
          <w:lang w:eastAsia="sq-AL"/>
        </w:rPr>
        <w:t>:</w:t>
      </w:r>
    </w:p>
    <w:p w14:paraId="10369196" w14:textId="6BDC841E" w:rsidR="0018266B" w:rsidRPr="002E2041" w:rsidRDefault="0018266B" w:rsidP="002E2041">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color w:val="000000"/>
          <w:lang w:eastAsia="sq-AL"/>
        </w:rPr>
        <w:t>Masa 4.6.1 Finalizimi i reformës për regjistrimin e aseteve për qëllime kontabiliteti.</w:t>
      </w:r>
      <w:bookmarkStart w:id="28" w:name="_Toc168918690"/>
      <w:bookmarkStart w:id="29" w:name="_Toc152719053"/>
    </w:p>
    <w:p w14:paraId="32F6E1E7" w14:textId="6069DF15" w:rsidR="004719D2" w:rsidRPr="004A47DC" w:rsidRDefault="005B5D9C" w:rsidP="00AD0BF7">
      <w:pPr>
        <w:pStyle w:val="TEKSTIII"/>
        <w:rPr>
          <w:b/>
        </w:rPr>
      </w:pPr>
      <w:r w:rsidRPr="004A47DC">
        <w:rPr>
          <w:b/>
        </w:rPr>
        <w:t xml:space="preserve">5.2 </w:t>
      </w:r>
      <w:r w:rsidR="004719D2" w:rsidRPr="004A47DC">
        <w:rPr>
          <w:b/>
        </w:rPr>
        <w:t xml:space="preserve">Komponenti 4.1 Llogaritë </w:t>
      </w:r>
      <w:r w:rsidR="002E2041" w:rsidRPr="004A47DC">
        <w:rPr>
          <w:b/>
        </w:rPr>
        <w:t>kombëtare të qeverisë</w:t>
      </w:r>
      <w:bookmarkEnd w:id="28"/>
      <w:r w:rsidR="002E2041" w:rsidRPr="004A47DC">
        <w:rPr>
          <w:b/>
        </w:rPr>
        <w:t xml:space="preserve"> </w:t>
      </w:r>
    </w:p>
    <w:p w14:paraId="2DB26BE6" w14:textId="77777777" w:rsidR="004719D2" w:rsidRPr="004A47DC" w:rsidRDefault="004719D2" w:rsidP="00AD0BF7">
      <w:pPr>
        <w:pStyle w:val="TEKSTIII"/>
        <w:rPr>
          <w:b/>
        </w:rPr>
      </w:pPr>
      <w:r w:rsidRPr="004A47DC">
        <w:rPr>
          <w:b/>
        </w:rPr>
        <w:t>Objektivi</w:t>
      </w:r>
    </w:p>
    <w:p w14:paraId="30E2345E" w14:textId="555A7E40" w:rsidR="004719D2" w:rsidRPr="004A47DC" w:rsidRDefault="004719D2" w:rsidP="00AD0BF7">
      <w:pPr>
        <w:pStyle w:val="TEKSTIII"/>
      </w:pPr>
      <w:r w:rsidRPr="004A47DC">
        <w:t xml:space="preserve">Synimi për vitin 2030 është prodhimi i </w:t>
      </w:r>
      <w:r w:rsidR="002E2041" w:rsidRPr="004A47DC">
        <w:t xml:space="preserve">statistikave financiare të qeverisë </w:t>
      </w:r>
      <w:r w:rsidRPr="004A47DC">
        <w:t xml:space="preserve">(SFQ) dhe </w:t>
      </w:r>
      <w:r w:rsidR="002E2041" w:rsidRPr="004A47DC">
        <w:t>tabelave të procedurës së deficitit të tejkaluar (</w:t>
      </w:r>
      <w:r w:rsidRPr="004A47DC">
        <w:t>TPDT)</w:t>
      </w:r>
      <w:r w:rsidR="002E2041">
        <w:t>,</w:t>
      </w:r>
      <w:r w:rsidRPr="004A47DC">
        <w:t xml:space="preserve"> në përputhje me kërkesat e Sistemit Evropian të Llogarive (SELL 2010).</w:t>
      </w:r>
    </w:p>
    <w:p w14:paraId="1E160962" w14:textId="77777777" w:rsidR="004719D2" w:rsidRPr="004A47DC" w:rsidRDefault="004719D2" w:rsidP="00AD0BF7">
      <w:pPr>
        <w:pStyle w:val="TEKSTIII"/>
        <w:rPr>
          <w:b/>
        </w:rPr>
      </w:pPr>
      <w:r w:rsidRPr="004A47DC">
        <w:rPr>
          <w:b/>
        </w:rPr>
        <w:t xml:space="preserve">Konteksti </w:t>
      </w:r>
    </w:p>
    <w:p w14:paraId="4E72B078" w14:textId="04BEA07D" w:rsidR="004719D2" w:rsidRPr="004A47DC" w:rsidRDefault="004719D2" w:rsidP="00AD0BF7">
      <w:pPr>
        <w:pStyle w:val="TEKSTIII"/>
      </w:pPr>
      <w:r w:rsidRPr="004A47DC">
        <w:t xml:space="preserve">Burimi kryesor i të dhënave të përdorura për përpilimin e </w:t>
      </w:r>
      <w:r w:rsidR="002E2041" w:rsidRPr="004A47DC">
        <w:t xml:space="preserve">statistikave financiare të qeverisë </w:t>
      </w:r>
      <w:r w:rsidRPr="004A47DC">
        <w:t>janë: i</w:t>
      </w:r>
      <w:r w:rsidR="00D70BDE" w:rsidRPr="004A47DC">
        <w:t>.</w:t>
      </w:r>
      <w:r w:rsidRPr="004A47DC">
        <w:t xml:space="preserve"> Sistemi i Informacionit Financiar të Qeverisë së Shqipërisë (SIFQSh) për të dhënat që lidhen me njësitë buxhetore</w:t>
      </w:r>
      <w:r w:rsidR="00D70BDE" w:rsidRPr="004A47DC">
        <w:t>;</w:t>
      </w:r>
      <w:r w:rsidRPr="004A47DC">
        <w:t xml:space="preserve"> ii</w:t>
      </w:r>
      <w:r w:rsidR="00D70BDE" w:rsidRPr="004A47DC">
        <w:t>.</w:t>
      </w:r>
      <w:r w:rsidRPr="004A47DC">
        <w:t xml:space="preserve"> pasqyrat financiare për njësitë ekstra-buxhetore</w:t>
      </w:r>
      <w:r w:rsidR="00D70BDE" w:rsidRPr="004A47DC">
        <w:t>;</w:t>
      </w:r>
      <w:r w:rsidRPr="004A47DC">
        <w:t xml:space="preserve"> iii</w:t>
      </w:r>
      <w:r w:rsidR="00D70BDE" w:rsidRPr="004A47DC">
        <w:t>.</w:t>
      </w:r>
      <w:r w:rsidRPr="004A47DC">
        <w:t xml:space="preserve"> </w:t>
      </w:r>
      <w:r w:rsidRPr="004A47DC">
        <w:rPr>
          <w:rStyle w:val="rynqvb"/>
          <w:color w:val="000000" w:themeColor="text1"/>
        </w:rPr>
        <w:t>Sistemi i Menaxhimit të Borxhit dhe Analizës Financiare (SMBAF)</w:t>
      </w:r>
      <w:r w:rsidR="00D70BDE" w:rsidRPr="004A47DC">
        <w:rPr>
          <w:rStyle w:val="rynqvb"/>
          <w:color w:val="000000" w:themeColor="text1"/>
        </w:rPr>
        <w:t>;</w:t>
      </w:r>
      <w:r w:rsidRPr="004A47DC">
        <w:rPr>
          <w:rStyle w:val="rynqvb"/>
          <w:color w:val="000000" w:themeColor="text1"/>
        </w:rPr>
        <w:t xml:space="preserve"> iv</w:t>
      </w:r>
      <w:r w:rsidR="00D70BDE" w:rsidRPr="004A47DC">
        <w:rPr>
          <w:rStyle w:val="rynqvb"/>
          <w:color w:val="000000" w:themeColor="text1"/>
        </w:rPr>
        <w:t xml:space="preserve">. </w:t>
      </w:r>
      <w:r w:rsidR="002E2041" w:rsidRPr="004A47DC">
        <w:rPr>
          <w:rStyle w:val="rynqvb"/>
          <w:color w:val="000000" w:themeColor="text1"/>
        </w:rPr>
        <w:t xml:space="preserve">llogarive financiare </w:t>
      </w:r>
      <w:r w:rsidRPr="004A47DC">
        <w:rPr>
          <w:rStyle w:val="rynqvb"/>
          <w:color w:val="000000" w:themeColor="text1"/>
        </w:rPr>
        <w:t>për sektorin e QP</w:t>
      </w:r>
      <w:r w:rsidR="002E2041">
        <w:rPr>
          <w:rStyle w:val="rynqvb"/>
          <w:color w:val="000000" w:themeColor="text1"/>
        </w:rPr>
        <w:t>-së</w:t>
      </w:r>
      <w:r w:rsidRPr="004A47DC">
        <w:rPr>
          <w:rStyle w:val="rynqvb"/>
          <w:color w:val="000000" w:themeColor="text1"/>
        </w:rPr>
        <w:t xml:space="preserve"> nga Banka e Shqipërisë</w:t>
      </w:r>
      <w:r w:rsidR="00D70BDE" w:rsidRPr="004A47DC">
        <w:rPr>
          <w:rStyle w:val="rynqvb"/>
          <w:color w:val="000000" w:themeColor="text1"/>
        </w:rPr>
        <w:t>;</w:t>
      </w:r>
      <w:r w:rsidRPr="004A47DC">
        <w:rPr>
          <w:rStyle w:val="rynqvb"/>
          <w:color w:val="000000" w:themeColor="text1"/>
        </w:rPr>
        <w:t xml:space="preserve"> dhe v</w:t>
      </w:r>
      <w:r w:rsidR="00D70BDE" w:rsidRPr="004A47DC">
        <w:rPr>
          <w:rStyle w:val="rynqvb"/>
          <w:color w:val="000000" w:themeColor="text1"/>
        </w:rPr>
        <w:t>.</w:t>
      </w:r>
      <w:r w:rsidRPr="004A47DC">
        <w:rPr>
          <w:rStyle w:val="rynqvb"/>
          <w:color w:val="000000" w:themeColor="text1"/>
        </w:rPr>
        <w:t xml:space="preserve"> të dhëna të tjera plotësuese të përpiluara dhe përgatitura nga INSTAT</w:t>
      </w:r>
      <w:r w:rsidR="002E2041">
        <w:rPr>
          <w:rStyle w:val="rynqvb"/>
          <w:color w:val="000000" w:themeColor="text1"/>
        </w:rPr>
        <w:t>-i</w:t>
      </w:r>
      <w:r w:rsidRPr="004A47DC">
        <w:rPr>
          <w:rStyle w:val="rynqvb"/>
          <w:color w:val="000000" w:themeColor="text1"/>
        </w:rPr>
        <w:t>.</w:t>
      </w:r>
      <w:r w:rsidRPr="004A47DC">
        <w:t xml:space="preserve"> INSTAT</w:t>
      </w:r>
      <w:r w:rsidR="00D70BDE" w:rsidRPr="004A47DC">
        <w:t>-i</w:t>
      </w:r>
      <w:r w:rsidRPr="004A47DC">
        <w:t xml:space="preserve"> mbështetet nga Eurostat për përafrimin e </w:t>
      </w:r>
      <w:r w:rsidR="002E2041" w:rsidRPr="004A47DC">
        <w:t xml:space="preserve">statistikave financiare të qeverisë </w:t>
      </w:r>
      <w:r w:rsidRPr="004A47DC">
        <w:t>me kërkesat e BE-së dhe transmeton rregullisht tabelat</w:t>
      </w:r>
      <w:r w:rsidRPr="002E2041">
        <w:rPr>
          <w:rStyle w:val="FootnoteReference"/>
          <w:rFonts w:ascii="Garamond" w:hAnsi="Garamond"/>
          <w:color w:val="000000" w:themeColor="text1"/>
          <w:sz w:val="24"/>
          <w:szCs w:val="24"/>
        </w:rPr>
        <w:footnoteReference w:id="46"/>
      </w:r>
      <w:r w:rsidRPr="004A47DC">
        <w:t xml:space="preserve"> e SFQ</w:t>
      </w:r>
      <w:r w:rsidR="002E2041">
        <w:t>-së</w:t>
      </w:r>
      <w:r w:rsidRPr="004A47DC">
        <w:t xml:space="preserve"> dhe </w:t>
      </w:r>
      <w:r w:rsidR="002E2041" w:rsidRPr="004A47DC">
        <w:t>tabelat e procedurës së deficitit të tejkaluar në</w:t>
      </w:r>
      <w:r w:rsidRPr="004A47DC">
        <w:t xml:space="preserve"> Eurostat me statusin </w:t>
      </w:r>
      <w:r w:rsidR="00E33A13" w:rsidRPr="004A47DC">
        <w:t>“</w:t>
      </w:r>
      <w:r w:rsidRPr="004A47DC">
        <w:t>jo për publikim</w:t>
      </w:r>
      <w:r w:rsidR="00E33A13" w:rsidRPr="004A47DC">
        <w:t>”</w:t>
      </w:r>
      <w:r w:rsidRPr="004A47DC">
        <w:t>. Aktualisht, ekziston nevoja për të përmirësuar më tej statistikat SFQ dhe PDT</w:t>
      </w:r>
      <w:r w:rsidR="002E2041">
        <w:t>,</w:t>
      </w:r>
      <w:r w:rsidRPr="004A47DC">
        <w:t xml:space="preserve"> për të qenë në përputhje me standardet ndërkombëtare dhe metodologjinë SELL 2010. Programi Pesëvjeçar i Statistikave Zyrtare i miratuar nga Kuvendi i Republikës së Shqipërisë (PSZ) 2022–2026</w:t>
      </w:r>
      <w:r w:rsidRPr="004A47DC">
        <w:rPr>
          <w:rStyle w:val="FootnoteReference"/>
          <w:rFonts w:ascii="Garamond" w:hAnsi="Garamond"/>
          <w:color w:val="000000" w:themeColor="text1"/>
        </w:rPr>
        <w:footnoteReference w:id="47"/>
      </w:r>
      <w:r w:rsidRPr="004A47DC">
        <w:t xml:space="preserve"> paraqet strategjinë për zhvillimin e statistikave zyrtare dhe të sistemit kombëtar statistikor, duke përfshirë përmirësimin e SFQ</w:t>
      </w:r>
      <w:r w:rsidR="002E2041">
        <w:t>-së</w:t>
      </w:r>
      <w:r w:rsidRPr="004A47DC">
        <w:t xml:space="preserve">. Memorandumi i </w:t>
      </w:r>
      <w:r w:rsidR="002E2041">
        <w:t>b</w:t>
      </w:r>
      <w:r w:rsidRPr="004A47DC">
        <w:t>ashkëpunimit ndërmjet INSTAT</w:t>
      </w:r>
      <w:r w:rsidR="002E2041">
        <w:t>-it</w:t>
      </w:r>
      <w:r w:rsidRPr="004A47DC">
        <w:t xml:space="preserve">, MF-së dhe Bankës së Shqipërisë për </w:t>
      </w:r>
      <w:r w:rsidR="002E2041" w:rsidRPr="004A47DC">
        <w:t>statistikat financiare të qeverisë dhe tabelave të procedurës së deficitit të tejkaluar përfshi</w:t>
      </w:r>
      <w:r w:rsidRPr="004A47DC">
        <w:t>n detyrimet dhe përgjegjësitë e secilit institucion</w:t>
      </w:r>
      <w:r w:rsidR="002E2041">
        <w:t>,</w:t>
      </w:r>
      <w:r w:rsidRPr="004A47DC">
        <w:t xml:space="preserve"> të cilat rregullohen me akte ligjore të Bashkimit Evropian në fushën e prodhimit të </w:t>
      </w:r>
      <w:r w:rsidR="002E2041" w:rsidRPr="004A47DC">
        <w:t xml:space="preserve">statistikave financiare të qeverisë </w:t>
      </w:r>
      <w:r w:rsidRPr="004A47DC">
        <w:t>dhe raportimit të Procedurës së Deficitit të Tejkaluar.</w:t>
      </w:r>
    </w:p>
    <w:p w14:paraId="1DAB9C55" w14:textId="77777777" w:rsidR="004719D2" w:rsidRPr="004A47DC" w:rsidRDefault="004719D2" w:rsidP="00AD0BF7">
      <w:pPr>
        <w:pStyle w:val="TEKSTIII"/>
        <w:rPr>
          <w:b/>
        </w:rPr>
      </w:pPr>
      <w:r w:rsidRPr="004A47DC">
        <w:rPr>
          <w:b/>
        </w:rPr>
        <w:t>Prioritetet</w:t>
      </w:r>
    </w:p>
    <w:p w14:paraId="5B993AB3" w14:textId="69625C75" w:rsidR="004719D2" w:rsidRPr="004A47DC" w:rsidRDefault="004719D2" w:rsidP="00AD0BF7">
      <w:pPr>
        <w:pStyle w:val="TEKSTIII"/>
      </w:pPr>
      <w:r w:rsidRPr="004A47DC">
        <w:t xml:space="preserve">Prioritetet për periudhën </w:t>
      </w:r>
      <w:r w:rsidR="00DB1D7E" w:rsidRPr="004A47DC">
        <w:t>2023–2026</w:t>
      </w:r>
      <w:r w:rsidRPr="004A47DC">
        <w:t xml:space="preserve"> janë:</w:t>
      </w:r>
    </w:p>
    <w:p w14:paraId="206DCC5B" w14:textId="26A8005A" w:rsidR="004719D2" w:rsidRPr="004A47DC" w:rsidRDefault="005B5D9C" w:rsidP="00AD0BF7">
      <w:pPr>
        <w:pStyle w:val="TEKSTIII"/>
      </w:pPr>
      <w:r w:rsidRPr="004A47DC">
        <w:t xml:space="preserve">- </w:t>
      </w:r>
      <w:r w:rsidR="004719D2" w:rsidRPr="004A47DC">
        <w:t xml:space="preserve">Rritja e nivelit të përafrimit të </w:t>
      </w:r>
      <w:r w:rsidR="002E2041">
        <w:t>s</w:t>
      </w:r>
      <w:r w:rsidR="004719D2" w:rsidRPr="004A47DC">
        <w:t>tatistikave SFQ dhe PDT</w:t>
      </w:r>
      <w:r w:rsidR="002E2041">
        <w:t>,</w:t>
      </w:r>
      <w:r w:rsidR="004719D2" w:rsidRPr="004A47DC">
        <w:t xml:space="preserve"> sipas metodologjisë SELL 2010;</w:t>
      </w:r>
    </w:p>
    <w:p w14:paraId="2F45850B" w14:textId="449F5B1C" w:rsidR="004719D2" w:rsidRPr="004A47DC" w:rsidRDefault="005B5D9C" w:rsidP="00AD0BF7">
      <w:pPr>
        <w:pStyle w:val="TEKSTIII"/>
        <w:rPr>
          <w:b/>
          <w:bCs/>
        </w:rPr>
      </w:pPr>
      <w:r w:rsidRPr="004A47DC">
        <w:t xml:space="preserve">- </w:t>
      </w:r>
      <w:r w:rsidR="004719D2" w:rsidRPr="004A47DC">
        <w:t>Të transmetojë tabelat SFQ dhe PDT në Eurostat sipas Programit të Transmetimit SELL 2010.</w:t>
      </w:r>
    </w:p>
    <w:p w14:paraId="190DC380" w14:textId="77777777" w:rsidR="004719D2" w:rsidRPr="004A47DC" w:rsidRDefault="004719D2" w:rsidP="004719D2">
      <w:pPr>
        <w:pStyle w:val="H5"/>
        <w:spacing w:after="0" w:line="240" w:lineRule="auto"/>
        <w:rPr>
          <w:rFonts w:ascii="Garamond" w:hAnsi="Garamond"/>
          <w:color w:val="000000" w:themeColor="text1"/>
        </w:rPr>
      </w:pPr>
    </w:p>
    <w:p w14:paraId="4011CA6F"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395"/>
        <w:gridCol w:w="3797"/>
        <w:gridCol w:w="692"/>
        <w:gridCol w:w="854"/>
        <w:gridCol w:w="1323"/>
      </w:tblGrid>
      <w:tr w:rsidR="004719D2" w:rsidRPr="004A47DC" w14:paraId="19E4868B" w14:textId="77777777" w:rsidTr="00D70BDE">
        <w:trPr>
          <w:trHeight w:val="182"/>
          <w:tblHeader/>
        </w:trPr>
        <w:tc>
          <w:tcPr>
            <w:tcW w:w="1322" w:type="pct"/>
            <w:shd w:val="clear" w:color="auto" w:fill="D9D9D9" w:themeFill="background1" w:themeFillShade="D9"/>
            <w:vAlign w:val="center"/>
          </w:tcPr>
          <w:p w14:paraId="058FE25D"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2095" w:type="pct"/>
            <w:shd w:val="clear" w:color="auto" w:fill="D9D9D9" w:themeFill="background1" w:themeFillShade="D9"/>
            <w:vAlign w:val="center"/>
          </w:tcPr>
          <w:p w14:paraId="7BEBBBAF"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2" w:type="pct"/>
            <w:shd w:val="clear" w:color="auto" w:fill="D9D9D9" w:themeFill="background1" w:themeFillShade="D9"/>
            <w:vAlign w:val="center"/>
          </w:tcPr>
          <w:p w14:paraId="1D8C27BB"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24DCEDDA"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730" w:type="pct"/>
            <w:shd w:val="clear" w:color="auto" w:fill="D9D9D9" w:themeFill="background1" w:themeFillShade="D9"/>
            <w:vAlign w:val="center"/>
          </w:tcPr>
          <w:p w14:paraId="4A9D9185" w14:textId="77777777" w:rsidR="004719D2" w:rsidRPr="004A47DC" w:rsidRDefault="004719D2" w:rsidP="00D70BDE">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4E45B706" w14:textId="77777777" w:rsidTr="00D70BDE">
        <w:trPr>
          <w:trHeight w:val="662"/>
        </w:trPr>
        <w:tc>
          <w:tcPr>
            <w:tcW w:w="1322" w:type="pct"/>
            <w:vMerge w:val="restart"/>
            <w:shd w:val="clear" w:color="auto" w:fill="auto"/>
          </w:tcPr>
          <w:p w14:paraId="6F0A3332" w14:textId="77777777" w:rsidR="004719D2" w:rsidRPr="004A47DC" w:rsidRDefault="004719D2" w:rsidP="00CF7CEC">
            <w:pPr>
              <w:pStyle w:val="EcorysBody"/>
              <w:spacing w:line="240" w:lineRule="auto"/>
              <w:rPr>
                <w:rFonts w:ascii="Garamond" w:eastAsia="Times New Roman" w:hAnsi="Garamond" w:cs="Arial"/>
                <w:b/>
                <w:bCs/>
                <w:color w:val="000000" w:themeColor="text1"/>
                <w:sz w:val="16"/>
                <w:szCs w:val="16"/>
              </w:rPr>
            </w:pPr>
            <w:r w:rsidRPr="004A47DC">
              <w:rPr>
                <w:rFonts w:ascii="Garamond" w:hAnsi="Garamond" w:cs="Arial"/>
                <w:b/>
                <w:bCs/>
                <w:color w:val="000000" w:themeColor="text1"/>
                <w:sz w:val="16"/>
                <w:szCs w:val="16"/>
              </w:rPr>
              <w:t xml:space="preserve">Masa 4.1.1 </w:t>
            </w:r>
            <w:r w:rsidRPr="004A47DC">
              <w:rPr>
                <w:rFonts w:ascii="Garamond" w:eastAsia="Times New Roman" w:hAnsi="Garamond" w:cs="Arial"/>
                <w:b/>
                <w:bCs/>
                <w:color w:val="000000" w:themeColor="text1"/>
                <w:sz w:val="16"/>
                <w:szCs w:val="16"/>
              </w:rPr>
              <w:t>Përmirësimi i mëtejshëm i statistikave SFQ dhe PDT me standardet e BE-së (SELL 2010)</w:t>
            </w:r>
          </w:p>
        </w:tc>
        <w:tc>
          <w:tcPr>
            <w:tcW w:w="2095" w:type="pct"/>
            <w:vAlign w:val="center"/>
          </w:tcPr>
          <w:p w14:paraId="755B07E9" w14:textId="35E42302" w:rsidR="004719D2" w:rsidRPr="004A47DC" w:rsidRDefault="002A5A5B" w:rsidP="002A5A5B">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Investimi në ndërtimin e sistemit të shkëmbimit të informacionit (</w:t>
            </w:r>
            <w:r w:rsidR="002E2041" w:rsidRPr="002E2041">
              <w:rPr>
                <w:rFonts w:ascii="Garamond" w:hAnsi="Garamond"/>
                <w:i/>
                <w:sz w:val="16"/>
                <w:szCs w:val="16"/>
              </w:rPr>
              <w:t>web service</w:t>
            </w:r>
            <w:r w:rsidR="004719D2" w:rsidRPr="004A47DC">
              <w:rPr>
                <w:rFonts w:ascii="Garamond" w:hAnsi="Garamond"/>
                <w:sz w:val="16"/>
                <w:szCs w:val="16"/>
              </w:rPr>
              <w:t>) i cili do të lehtësojë shkëmbimin e të dhënave ndërmjet MF-së, INSTAT</w:t>
            </w:r>
            <w:r w:rsidR="002E2041">
              <w:rPr>
                <w:rFonts w:ascii="Garamond" w:hAnsi="Garamond"/>
                <w:sz w:val="16"/>
                <w:szCs w:val="16"/>
              </w:rPr>
              <w:t>-it</w:t>
            </w:r>
            <w:r w:rsidR="004719D2" w:rsidRPr="004A47DC">
              <w:rPr>
                <w:rFonts w:ascii="Garamond" w:hAnsi="Garamond"/>
                <w:sz w:val="16"/>
                <w:szCs w:val="16"/>
              </w:rPr>
              <w:t xml:space="preserve"> dhe Bankës së Shqipërisë.</w:t>
            </w:r>
          </w:p>
        </w:tc>
        <w:tc>
          <w:tcPr>
            <w:tcW w:w="382" w:type="pct"/>
            <w:shd w:val="clear" w:color="auto" w:fill="auto"/>
            <w:vAlign w:val="center"/>
          </w:tcPr>
          <w:p w14:paraId="404B748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vAlign w:val="center"/>
          </w:tcPr>
          <w:p w14:paraId="29C119E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30" w:type="pct"/>
            <w:vMerge w:val="restart"/>
          </w:tcPr>
          <w:p w14:paraId="700BB717"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0C7BD715" w14:textId="3E971B2D"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INSTAT</w:t>
            </w:r>
            <w:r w:rsidR="002E2041">
              <w:rPr>
                <w:rFonts w:ascii="Garamond" w:hAnsi="Garamond"/>
                <w:color w:val="000000" w:themeColor="text1"/>
                <w:sz w:val="16"/>
                <w:szCs w:val="16"/>
              </w:rPr>
              <w:t>-i</w:t>
            </w:r>
            <w:r w:rsidRPr="004A47DC">
              <w:rPr>
                <w:rFonts w:ascii="Garamond" w:hAnsi="Garamond"/>
                <w:color w:val="000000" w:themeColor="text1"/>
                <w:sz w:val="16"/>
                <w:szCs w:val="16"/>
              </w:rPr>
              <w:t xml:space="preserve"> (lider), MF-DPPM</w:t>
            </w:r>
          </w:p>
          <w:p w14:paraId="05F6FF7F" w14:textId="77777777" w:rsidR="004719D2" w:rsidRPr="004A47DC" w:rsidRDefault="004719D2" w:rsidP="00CF7CEC">
            <w:pPr>
              <w:rPr>
                <w:rFonts w:ascii="Garamond" w:hAnsi="Garamond"/>
                <w:color w:val="000000" w:themeColor="text1"/>
                <w:sz w:val="16"/>
                <w:szCs w:val="16"/>
              </w:rPr>
            </w:pPr>
          </w:p>
          <w:p w14:paraId="6FB46DD2"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77E60473" w14:textId="3477958A"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Eurostat</w:t>
            </w:r>
            <w:r w:rsidR="002E2041">
              <w:rPr>
                <w:rFonts w:ascii="Garamond" w:hAnsi="Garamond"/>
                <w:color w:val="000000" w:themeColor="text1"/>
                <w:sz w:val="16"/>
                <w:szCs w:val="16"/>
              </w:rPr>
              <w:t>-i</w:t>
            </w:r>
          </w:p>
        </w:tc>
      </w:tr>
      <w:tr w:rsidR="004719D2" w:rsidRPr="004A47DC" w14:paraId="494F6313" w14:textId="77777777" w:rsidTr="00D70BDE">
        <w:trPr>
          <w:trHeight w:val="20"/>
        </w:trPr>
        <w:tc>
          <w:tcPr>
            <w:tcW w:w="1322" w:type="pct"/>
            <w:vMerge/>
            <w:shd w:val="clear" w:color="auto" w:fill="auto"/>
          </w:tcPr>
          <w:p w14:paraId="638B35C6"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95" w:type="pct"/>
            <w:vAlign w:val="center"/>
          </w:tcPr>
          <w:p w14:paraId="6E9AC98A" w14:textId="0C1FE2BD" w:rsidR="004719D2" w:rsidRPr="004A47DC" w:rsidRDefault="002A5A5B" w:rsidP="002A5A5B">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Raportimi i të dhënave mbi bazën e të drejtave dhe detyrimeve të konstatuara dhe parave të gatshme nga MF-ja</w:t>
            </w:r>
            <w:r w:rsidR="002E2041">
              <w:rPr>
                <w:rFonts w:ascii="Garamond" w:hAnsi="Garamond"/>
                <w:sz w:val="16"/>
                <w:szCs w:val="16"/>
              </w:rPr>
              <w:t>,</w:t>
            </w:r>
            <w:r w:rsidR="004719D2" w:rsidRPr="004A47DC">
              <w:rPr>
                <w:rFonts w:ascii="Garamond" w:hAnsi="Garamond"/>
                <w:sz w:val="16"/>
                <w:szCs w:val="16"/>
              </w:rPr>
              <w:t xml:space="preserve"> në përputhje me Standardet Ndërkombëtare të Kontabilitetit për Sektorin Publik (SNKSP).</w:t>
            </w:r>
          </w:p>
        </w:tc>
        <w:tc>
          <w:tcPr>
            <w:tcW w:w="382" w:type="pct"/>
            <w:shd w:val="clear" w:color="auto" w:fill="auto"/>
            <w:vAlign w:val="center"/>
          </w:tcPr>
          <w:p w14:paraId="4332A07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vAlign w:val="center"/>
          </w:tcPr>
          <w:p w14:paraId="08425C9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&gt; 2026</w:t>
            </w:r>
          </w:p>
        </w:tc>
        <w:tc>
          <w:tcPr>
            <w:tcW w:w="730" w:type="pct"/>
            <w:vMerge/>
          </w:tcPr>
          <w:p w14:paraId="74E67CD1" w14:textId="77777777" w:rsidR="004719D2" w:rsidRPr="004A47DC" w:rsidRDefault="004719D2" w:rsidP="00CF7CEC">
            <w:pPr>
              <w:rPr>
                <w:rFonts w:ascii="Garamond" w:hAnsi="Garamond"/>
                <w:b/>
                <w:bCs/>
                <w:color w:val="000000" w:themeColor="text1"/>
                <w:sz w:val="16"/>
                <w:szCs w:val="16"/>
              </w:rPr>
            </w:pPr>
          </w:p>
        </w:tc>
      </w:tr>
      <w:tr w:rsidR="004719D2" w:rsidRPr="004A47DC" w14:paraId="07F2D693" w14:textId="77777777" w:rsidTr="00D70BDE">
        <w:trPr>
          <w:trHeight w:val="662"/>
        </w:trPr>
        <w:tc>
          <w:tcPr>
            <w:tcW w:w="1322" w:type="pct"/>
            <w:vMerge/>
            <w:shd w:val="clear" w:color="auto" w:fill="auto"/>
          </w:tcPr>
          <w:p w14:paraId="0598A134"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tc>
        <w:tc>
          <w:tcPr>
            <w:tcW w:w="2095" w:type="pct"/>
            <w:vAlign w:val="center"/>
          </w:tcPr>
          <w:p w14:paraId="4B6CFE70" w14:textId="0168FE70" w:rsidR="004719D2" w:rsidRPr="004A47DC" w:rsidRDefault="002A5A5B" w:rsidP="002A5A5B">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Mbledhja dhe përfshirja e informacionit për PPP-të dhe kontratat e koncesionit në statistikat SFQ dhe PDT.</w:t>
            </w:r>
          </w:p>
        </w:tc>
        <w:tc>
          <w:tcPr>
            <w:tcW w:w="382" w:type="pct"/>
            <w:shd w:val="clear" w:color="auto" w:fill="auto"/>
            <w:vAlign w:val="center"/>
          </w:tcPr>
          <w:p w14:paraId="2F69F18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0E63453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30" w:type="pct"/>
            <w:vMerge/>
          </w:tcPr>
          <w:p w14:paraId="11626CC1" w14:textId="77777777" w:rsidR="004719D2" w:rsidRPr="004A47DC" w:rsidRDefault="004719D2" w:rsidP="00CF7CEC">
            <w:pPr>
              <w:rPr>
                <w:rFonts w:ascii="Garamond" w:hAnsi="Garamond"/>
                <w:b/>
                <w:bCs/>
                <w:color w:val="000000" w:themeColor="text1"/>
                <w:sz w:val="16"/>
                <w:szCs w:val="16"/>
              </w:rPr>
            </w:pPr>
          </w:p>
        </w:tc>
      </w:tr>
    </w:tbl>
    <w:p w14:paraId="0A1E6A32" w14:textId="77777777" w:rsidR="004719D2" w:rsidRPr="004A47DC" w:rsidRDefault="004719D2" w:rsidP="004719D2">
      <w:pPr>
        <w:rPr>
          <w:rFonts w:ascii="Garamond" w:hAnsi="Garamond"/>
          <w:color w:val="000000" w:themeColor="text1"/>
        </w:rPr>
      </w:pPr>
    </w:p>
    <w:p w14:paraId="4BDCBAC2"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082"/>
        <w:gridCol w:w="1169"/>
        <w:gridCol w:w="1169"/>
        <w:gridCol w:w="1169"/>
        <w:gridCol w:w="1169"/>
        <w:gridCol w:w="1303"/>
      </w:tblGrid>
      <w:tr w:rsidR="004719D2" w:rsidRPr="004A47DC" w14:paraId="77F9DFB7" w14:textId="77777777" w:rsidTr="00D70BDE">
        <w:trPr>
          <w:cantSplit/>
          <w:tblHeader/>
        </w:trPr>
        <w:tc>
          <w:tcPr>
            <w:tcW w:w="1701"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F57FF6"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45"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3AF840"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54"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52A111"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1E98D5EF" w14:textId="77777777" w:rsidTr="00D70BDE">
        <w:trPr>
          <w:cantSplit/>
          <w:tblHeader/>
        </w:trPr>
        <w:tc>
          <w:tcPr>
            <w:tcW w:w="1701" w:type="pct"/>
            <w:vMerge/>
            <w:tcBorders>
              <w:top w:val="single" w:sz="4" w:space="0" w:color="auto"/>
              <w:left w:val="single" w:sz="4" w:space="0" w:color="auto"/>
              <w:bottom w:val="single" w:sz="4" w:space="0" w:color="auto"/>
              <w:right w:val="single" w:sz="4" w:space="0" w:color="auto"/>
            </w:tcBorders>
            <w:vAlign w:val="center"/>
            <w:hideMark/>
          </w:tcPr>
          <w:p w14:paraId="480867D1" w14:textId="77777777" w:rsidR="004719D2" w:rsidRPr="004A47DC" w:rsidRDefault="004719D2" w:rsidP="00D70BDE">
            <w:pPr>
              <w:pStyle w:val="T-bold"/>
              <w:spacing w:line="240" w:lineRule="auto"/>
              <w:jc w:val="center"/>
              <w:rPr>
                <w:rFonts w:ascii="Garamond" w:hAnsi="Garamond"/>
                <w:color w:val="000000" w:themeColor="text1"/>
              </w:rPr>
            </w:pPr>
          </w:p>
        </w:tc>
        <w:tc>
          <w:tcPr>
            <w:tcW w:w="645" w:type="pct"/>
            <w:vMerge/>
            <w:tcBorders>
              <w:top w:val="single" w:sz="4" w:space="0" w:color="auto"/>
              <w:left w:val="single" w:sz="4" w:space="0" w:color="auto"/>
              <w:bottom w:val="single" w:sz="4" w:space="0" w:color="auto"/>
              <w:right w:val="single" w:sz="4" w:space="0" w:color="auto"/>
            </w:tcBorders>
            <w:vAlign w:val="center"/>
            <w:hideMark/>
          </w:tcPr>
          <w:p w14:paraId="05838BFB" w14:textId="77777777" w:rsidR="004719D2" w:rsidRPr="004A47DC" w:rsidRDefault="004719D2" w:rsidP="00D70BDE">
            <w:pPr>
              <w:pStyle w:val="T-bold"/>
              <w:spacing w:line="240" w:lineRule="auto"/>
              <w:jc w:val="center"/>
              <w:rPr>
                <w:rFonts w:ascii="Garamond" w:hAnsi="Garamond"/>
                <w:color w:val="000000" w:themeColor="text1"/>
              </w:rPr>
            </w:pP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9DC180"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151083"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27303B"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7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721B93" w14:textId="77777777" w:rsidR="004719D2" w:rsidRPr="004A47DC" w:rsidRDefault="004719D2" w:rsidP="00D70BDE">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7D1C5952" w14:textId="77777777" w:rsidTr="00D70BDE">
        <w:tc>
          <w:tcPr>
            <w:tcW w:w="1701" w:type="pct"/>
            <w:tcBorders>
              <w:top w:val="single" w:sz="4" w:space="0" w:color="auto"/>
              <w:left w:val="single" w:sz="4" w:space="0" w:color="auto"/>
              <w:bottom w:val="single" w:sz="4" w:space="0" w:color="auto"/>
              <w:right w:val="single" w:sz="4" w:space="0" w:color="auto"/>
            </w:tcBorders>
            <w:shd w:val="clear" w:color="auto" w:fill="auto"/>
          </w:tcPr>
          <w:p w14:paraId="6853EB4B" w14:textId="2BBE5427" w:rsidR="004719D2" w:rsidRPr="004A47DC" w:rsidRDefault="002A5A5B" w:rsidP="002A5A5B">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Sistemi i shkëmbimit të informacionit (</w:t>
            </w:r>
            <w:r w:rsidR="00CE6AE5" w:rsidRPr="004A47DC">
              <w:rPr>
                <w:rFonts w:ascii="Garamond" w:hAnsi="Garamond"/>
                <w:sz w:val="16"/>
                <w:szCs w:val="16"/>
              </w:rPr>
              <w:t>w</w:t>
            </w:r>
            <w:r w:rsidR="004719D2" w:rsidRPr="004A47DC">
              <w:rPr>
                <w:rFonts w:ascii="Garamond" w:hAnsi="Garamond"/>
                <w:i/>
                <w:sz w:val="16"/>
                <w:szCs w:val="16"/>
              </w:rPr>
              <w:t>eb service</w:t>
            </w:r>
            <w:r w:rsidR="004719D2" w:rsidRPr="004A47DC">
              <w:rPr>
                <w:rFonts w:ascii="Garamond" w:hAnsi="Garamond"/>
                <w:sz w:val="16"/>
                <w:szCs w:val="16"/>
              </w:rPr>
              <w:t>) i krijuar për të lehtësuar shkëmbimin e të dhënave ndërmjet MF</w:t>
            </w:r>
            <w:r w:rsidR="002E2041">
              <w:rPr>
                <w:rFonts w:ascii="Garamond" w:hAnsi="Garamond"/>
                <w:sz w:val="16"/>
                <w:szCs w:val="16"/>
              </w:rPr>
              <w:t>-së</w:t>
            </w:r>
            <w:r w:rsidR="004719D2" w:rsidRPr="004A47DC">
              <w:rPr>
                <w:rFonts w:ascii="Garamond" w:hAnsi="Garamond"/>
                <w:sz w:val="16"/>
                <w:szCs w:val="16"/>
              </w:rPr>
              <w:t>, INSTAT</w:t>
            </w:r>
            <w:r w:rsidR="002E2041">
              <w:rPr>
                <w:rFonts w:ascii="Garamond" w:hAnsi="Garamond"/>
                <w:sz w:val="16"/>
                <w:szCs w:val="16"/>
              </w:rPr>
              <w:t>-it</w:t>
            </w:r>
            <w:r w:rsidR="004719D2" w:rsidRPr="004A47DC">
              <w:rPr>
                <w:rFonts w:ascii="Garamond" w:hAnsi="Garamond"/>
                <w:sz w:val="16"/>
                <w:szCs w:val="16"/>
              </w:rPr>
              <w:t xml:space="preserve"> dhe BSH</w:t>
            </w:r>
            <w:r w:rsidR="002E2041">
              <w:rPr>
                <w:rFonts w:ascii="Garamond" w:hAnsi="Garamond"/>
                <w:sz w:val="16"/>
                <w:szCs w:val="16"/>
              </w:rPr>
              <w:t>-së</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7676824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B71869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vAlign w:val="center"/>
          </w:tcPr>
          <w:p w14:paraId="0D44EE6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vAlign w:val="center"/>
          </w:tcPr>
          <w:p w14:paraId="287AAAF4" w14:textId="49E1F52E" w:rsidR="004719D2" w:rsidRPr="004A47DC" w:rsidRDefault="004719D2" w:rsidP="00CF7CEC">
            <w:pPr>
              <w:pStyle w:val="T-normal"/>
              <w:spacing w:line="240" w:lineRule="auto"/>
              <w:jc w:val="center"/>
              <w:rPr>
                <w:rFonts w:ascii="Garamond" w:hAnsi="Garamond"/>
                <w:color w:val="000000" w:themeColor="text1"/>
                <w:lang w:val="sq-AL"/>
              </w:rPr>
            </w:pPr>
            <w:r w:rsidRPr="004A47DC">
              <w:rPr>
                <w:rStyle w:val="rynqvb"/>
                <w:rFonts w:ascii="Garamond" w:hAnsi="Garamond"/>
                <w:color w:val="000000" w:themeColor="text1"/>
                <w:lang w:val="sq-AL"/>
              </w:rPr>
              <w:t xml:space="preserve">Zhvillimi i </w:t>
            </w:r>
            <w:r w:rsidR="002E2041" w:rsidRPr="004A47DC">
              <w:rPr>
                <w:rStyle w:val="rynqvb"/>
                <w:rFonts w:ascii="Garamond" w:hAnsi="Garamond"/>
                <w:color w:val="000000" w:themeColor="text1"/>
                <w:lang w:val="sq-AL"/>
              </w:rPr>
              <w:t xml:space="preserve">sistemit të shkëmbimit të informacionit </w:t>
            </w:r>
            <w:r w:rsidRPr="004A47DC">
              <w:rPr>
                <w:rStyle w:val="rynqvb"/>
                <w:rFonts w:ascii="Garamond" w:hAnsi="Garamond"/>
                <w:color w:val="000000" w:themeColor="text1"/>
                <w:lang w:val="sq-AL"/>
              </w:rPr>
              <w:t>(</w:t>
            </w:r>
            <w:r w:rsidRPr="004A47DC">
              <w:rPr>
                <w:rStyle w:val="rynqvb"/>
                <w:rFonts w:ascii="Garamond" w:hAnsi="Garamond"/>
                <w:i/>
                <w:color w:val="000000" w:themeColor="text1"/>
                <w:lang w:val="sq-AL"/>
              </w:rPr>
              <w:t>web service</w:t>
            </w:r>
            <w:r w:rsidRPr="004A47DC">
              <w:rPr>
                <w:rStyle w:val="rynqvb"/>
                <w:rFonts w:ascii="Garamond" w:hAnsi="Garamond"/>
                <w:color w:val="000000" w:themeColor="text1"/>
                <w:lang w:val="sq-AL"/>
              </w:rPr>
              <w:t>)</w:t>
            </w:r>
          </w:p>
        </w:tc>
        <w:tc>
          <w:tcPr>
            <w:tcW w:w="719" w:type="pct"/>
            <w:tcBorders>
              <w:top w:val="single" w:sz="4" w:space="0" w:color="auto"/>
              <w:left w:val="single" w:sz="4" w:space="0" w:color="auto"/>
              <w:bottom w:val="single" w:sz="4" w:space="0" w:color="auto"/>
              <w:right w:val="single" w:sz="4" w:space="0" w:color="auto"/>
            </w:tcBorders>
            <w:vAlign w:val="center"/>
          </w:tcPr>
          <w:p w14:paraId="04FD1BB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Style w:val="rynqvb"/>
                <w:rFonts w:ascii="Garamond" w:hAnsi="Garamond"/>
                <w:color w:val="000000" w:themeColor="text1"/>
                <w:lang w:val="sq-AL"/>
              </w:rPr>
              <w:t>Sistemi i shkëmbimit të informacionit (</w:t>
            </w:r>
            <w:r w:rsidRPr="004A47DC">
              <w:rPr>
                <w:rStyle w:val="rynqvb"/>
                <w:rFonts w:ascii="Garamond" w:hAnsi="Garamond"/>
                <w:i/>
                <w:color w:val="000000" w:themeColor="text1"/>
                <w:lang w:val="sq-AL"/>
              </w:rPr>
              <w:t>web service</w:t>
            </w:r>
            <w:r w:rsidRPr="004A47DC">
              <w:rPr>
                <w:rStyle w:val="rynqvb"/>
                <w:rFonts w:ascii="Garamond" w:hAnsi="Garamond"/>
                <w:color w:val="000000" w:themeColor="text1"/>
                <w:lang w:val="sq-AL"/>
              </w:rPr>
              <w:t>) i zhvilluar</w:t>
            </w:r>
          </w:p>
        </w:tc>
      </w:tr>
      <w:tr w:rsidR="004719D2" w:rsidRPr="004A47DC" w14:paraId="01B175B8" w14:textId="77777777" w:rsidTr="00D70BDE">
        <w:tc>
          <w:tcPr>
            <w:tcW w:w="1701" w:type="pct"/>
            <w:tcBorders>
              <w:top w:val="single" w:sz="4" w:space="0" w:color="auto"/>
              <w:left w:val="single" w:sz="4" w:space="0" w:color="auto"/>
              <w:bottom w:val="single" w:sz="4" w:space="0" w:color="auto"/>
              <w:right w:val="single" w:sz="4" w:space="0" w:color="auto"/>
            </w:tcBorders>
            <w:shd w:val="clear" w:color="auto" w:fill="auto"/>
          </w:tcPr>
          <w:p w14:paraId="439BA0F1" w14:textId="38657554" w:rsidR="004719D2" w:rsidRPr="004A47DC" w:rsidRDefault="002A5A5B" w:rsidP="002A5A5B">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Të dhëna për PPP-të dhe kontratat koncesionare përfshihen në SFQ.</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47A04A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1811895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vAlign w:val="center"/>
          </w:tcPr>
          <w:p w14:paraId="73CE55B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45" w:type="pct"/>
            <w:tcBorders>
              <w:top w:val="single" w:sz="4" w:space="0" w:color="auto"/>
              <w:left w:val="single" w:sz="4" w:space="0" w:color="auto"/>
              <w:bottom w:val="single" w:sz="4" w:space="0" w:color="auto"/>
              <w:right w:val="single" w:sz="4" w:space="0" w:color="auto"/>
            </w:tcBorders>
            <w:vAlign w:val="center"/>
          </w:tcPr>
          <w:p w14:paraId="4DBB7DDC" w14:textId="124A5032"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PPP-të dhe kontratat e kon</w:t>
            </w:r>
            <w:r w:rsidR="00CE6AE5" w:rsidRPr="004A47DC">
              <w:rPr>
                <w:rFonts w:ascii="Garamond" w:hAnsi="Garamond"/>
                <w:color w:val="000000" w:themeColor="text1"/>
                <w:lang w:val="sq-AL"/>
              </w:rPr>
              <w:t>c</w:t>
            </w:r>
            <w:r w:rsidRPr="004A47DC">
              <w:rPr>
                <w:rFonts w:ascii="Garamond" w:hAnsi="Garamond"/>
                <w:color w:val="000000" w:themeColor="text1"/>
                <w:lang w:val="sq-AL"/>
              </w:rPr>
              <w:t>esioneve janë përfshirë në SFQ</w:t>
            </w:r>
          </w:p>
        </w:tc>
        <w:tc>
          <w:tcPr>
            <w:tcW w:w="719" w:type="pct"/>
            <w:tcBorders>
              <w:top w:val="single" w:sz="4" w:space="0" w:color="auto"/>
              <w:left w:val="single" w:sz="4" w:space="0" w:color="auto"/>
              <w:bottom w:val="single" w:sz="4" w:space="0" w:color="auto"/>
              <w:right w:val="single" w:sz="4" w:space="0" w:color="auto"/>
            </w:tcBorders>
            <w:vAlign w:val="center"/>
          </w:tcPr>
          <w:p w14:paraId="2CD8513E" w14:textId="7D2B1679"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PPP-të dhe kontratat e kon</w:t>
            </w:r>
            <w:r w:rsidR="00CE6AE5" w:rsidRPr="004A47DC">
              <w:rPr>
                <w:rFonts w:ascii="Garamond" w:hAnsi="Garamond"/>
                <w:color w:val="000000" w:themeColor="text1"/>
                <w:lang w:val="sq-AL"/>
              </w:rPr>
              <w:t>c</w:t>
            </w:r>
            <w:r w:rsidRPr="004A47DC">
              <w:rPr>
                <w:rFonts w:ascii="Garamond" w:hAnsi="Garamond"/>
                <w:color w:val="000000" w:themeColor="text1"/>
                <w:lang w:val="sq-AL"/>
              </w:rPr>
              <w:t>esioneve janë përfshirë në SFQ</w:t>
            </w:r>
          </w:p>
        </w:tc>
      </w:tr>
    </w:tbl>
    <w:p w14:paraId="0FFDBE2E" w14:textId="77777777" w:rsidR="004719D2" w:rsidRPr="004A47DC" w:rsidRDefault="004719D2" w:rsidP="009B1779">
      <w:pPr>
        <w:pStyle w:val="TEKSTIII"/>
      </w:pPr>
    </w:p>
    <w:p w14:paraId="02DD369A" w14:textId="51425DC6" w:rsidR="004719D2" w:rsidRPr="004A47DC" w:rsidRDefault="009B1779" w:rsidP="009B1779">
      <w:pPr>
        <w:pStyle w:val="TEKSTIII"/>
        <w:rPr>
          <w:b/>
        </w:rPr>
      </w:pPr>
      <w:bookmarkStart w:id="30" w:name="_Toc168918691"/>
      <w:r w:rsidRPr="004A47DC">
        <w:rPr>
          <w:b/>
        </w:rPr>
        <w:t xml:space="preserve">5.3 </w:t>
      </w:r>
      <w:r w:rsidR="004719D2" w:rsidRPr="004A47DC">
        <w:rPr>
          <w:b/>
        </w:rPr>
        <w:t>Komponenti 4.2</w:t>
      </w:r>
      <w:r w:rsidR="00CE6AE5" w:rsidRPr="004A47DC">
        <w:rPr>
          <w:b/>
        </w:rPr>
        <w:t>:</w:t>
      </w:r>
      <w:r w:rsidR="004719D2" w:rsidRPr="004A47DC">
        <w:rPr>
          <w:b/>
        </w:rPr>
        <w:t xml:space="preserve"> </w:t>
      </w:r>
      <w:bookmarkEnd w:id="29"/>
      <w:r w:rsidR="004719D2" w:rsidRPr="004A47DC">
        <w:rPr>
          <w:b/>
        </w:rPr>
        <w:t>Kontabiliteti</w:t>
      </w:r>
      <w:bookmarkEnd w:id="30"/>
    </w:p>
    <w:p w14:paraId="22C06010" w14:textId="77777777" w:rsidR="004719D2" w:rsidRPr="004A47DC" w:rsidRDefault="004719D2" w:rsidP="009B1779">
      <w:pPr>
        <w:pStyle w:val="TEKSTIII"/>
        <w:rPr>
          <w:b/>
        </w:rPr>
      </w:pPr>
      <w:r w:rsidRPr="004A47DC">
        <w:rPr>
          <w:b/>
        </w:rPr>
        <w:t>Objektivi</w:t>
      </w:r>
    </w:p>
    <w:p w14:paraId="493216A9" w14:textId="62C3E1C4" w:rsidR="004719D2" w:rsidRPr="004A47DC" w:rsidRDefault="004719D2" w:rsidP="009B1779">
      <w:pPr>
        <w:pStyle w:val="TEKSTIII"/>
      </w:pPr>
      <w:r w:rsidRPr="004A47DC">
        <w:t>Synimi për vitin 2030 është përgatitja dhe publikimi i pasqyrave financiare (të konsoliduara) në përputhje me SNKSP</w:t>
      </w:r>
      <w:r w:rsidR="002B54EA">
        <w:t>-</w:t>
      </w:r>
      <w:r w:rsidR="00D73B52">
        <w:t>t</w:t>
      </w:r>
      <w:r w:rsidR="002B54EA">
        <w:t>ë</w:t>
      </w:r>
      <w:r w:rsidRPr="004A47DC">
        <w:t>, pas shtrirjes së SNKSP</w:t>
      </w:r>
      <w:r w:rsidR="002B54EA">
        <w:t>-</w:t>
      </w:r>
      <w:r w:rsidR="00D73B52">
        <w:t>ve</w:t>
      </w:r>
      <w:r w:rsidRPr="004A47DC">
        <w:t xml:space="preserve"> në të gjitha institucionet e qeverisë qendrore</w:t>
      </w:r>
      <w:r w:rsidR="002B54EA">
        <w:t>.</w:t>
      </w:r>
    </w:p>
    <w:p w14:paraId="7F250F1D" w14:textId="77777777" w:rsidR="004719D2" w:rsidRPr="004A47DC" w:rsidRDefault="004719D2" w:rsidP="009B1779">
      <w:pPr>
        <w:pStyle w:val="TEKSTIII"/>
        <w:rPr>
          <w:b/>
        </w:rPr>
      </w:pPr>
      <w:r w:rsidRPr="004A47DC">
        <w:rPr>
          <w:b/>
        </w:rPr>
        <w:t>Konteksti</w:t>
      </w:r>
    </w:p>
    <w:p w14:paraId="4BC1B988" w14:textId="4844B952" w:rsidR="004719D2" w:rsidRPr="004A47DC" w:rsidRDefault="004719D2" w:rsidP="009B1779">
      <w:pPr>
        <w:pStyle w:val="TEKSTIII"/>
      </w:pPr>
      <w:r w:rsidRPr="004A47DC">
        <w:t>SIFQ</w:t>
      </w:r>
      <w:r w:rsidR="002B54EA">
        <w:t>-ja</w:t>
      </w:r>
      <w:r w:rsidRPr="004A47DC">
        <w:t xml:space="preserve"> është sistemi i informacionit që përdoret për kontabilitetin dhe operacionet e thesarit. Sistemi është zhvilluar me kalimin e kohës, duke përfshirë integrimin e plotë me Sistemin e Informativ të Menaxhimit të Burimeve Njerëzore (SIMBNJ) për listën e pagave në vitin 2022 dhe sistemin e Automatizuar të Prokurimit Publik për prokurimet në vitin 2020. 20 institucionet më të mëdha buxhetore (nga gjithsej afërsisht 1020 </w:t>
      </w:r>
      <w:r w:rsidR="008D3AA4" w:rsidRPr="004A47DC">
        <w:t>institucione buxhetore</w:t>
      </w:r>
      <w:r w:rsidRPr="004A47DC">
        <w:t>) janë të lidhura drejtpërdrejt me SIFQ</w:t>
      </w:r>
      <w:r w:rsidR="008D3AA4">
        <w:t>-në</w:t>
      </w:r>
      <w:r w:rsidRPr="004A47DC">
        <w:t>. Të gjitha këto janë ministri, tre bashki të mëdha dhe disa institucione të tjera të mëdha publike. Institucionet e tjera buxhetore - kryesisht më të vogla - nuk kanë akses të drejtpërdrejtë në SIFQ, por i dorëzojnë dokumentet e tyre kontabël në format elektronik përmes modulit të SIFQ</w:t>
      </w:r>
      <w:r w:rsidR="008D3AA4">
        <w:t>-së</w:t>
      </w:r>
      <w:r w:rsidRPr="004A47DC">
        <w:t xml:space="preserve"> </w:t>
      </w:r>
      <w:r w:rsidR="00CE6AE5" w:rsidRPr="004A47DC">
        <w:t>‘</w:t>
      </w:r>
      <w:r w:rsidRPr="004A47DC">
        <w:t>arkiva elektronike</w:t>
      </w:r>
      <w:r w:rsidR="00CE6AE5" w:rsidRPr="004A47DC">
        <w:t>’</w:t>
      </w:r>
      <w:r w:rsidRPr="004A47DC">
        <w:t xml:space="preserve"> te</w:t>
      </w:r>
      <w:r w:rsidR="00B2411C" w:rsidRPr="004A47DC">
        <w:t xml:space="preserve"> </w:t>
      </w:r>
      <w:r w:rsidRPr="004A47DC">
        <w:t xml:space="preserve">zyrat e </w:t>
      </w:r>
      <w:r w:rsidR="008D3AA4" w:rsidRPr="004A47DC">
        <w:t xml:space="preserve">degëve të thesarit </w:t>
      </w:r>
      <w:r w:rsidRPr="004A47DC">
        <w:t>për përpunim të mëtejshëm.</w:t>
      </w:r>
    </w:p>
    <w:p w14:paraId="61F762C2" w14:textId="4E14A32F" w:rsidR="004719D2" w:rsidRPr="004A47DC" w:rsidRDefault="004719D2" w:rsidP="009B1779">
      <w:pPr>
        <w:pStyle w:val="TEKSTIII"/>
      </w:pPr>
      <w:r w:rsidRPr="004A47DC">
        <w:t>Përafërsisht 300 institucione buxhetore janë të lidhura me sistemin e arkiv</w:t>
      </w:r>
      <w:r w:rsidR="00CE6AE5" w:rsidRPr="004A47DC">
        <w:t>it</w:t>
      </w:r>
      <w:r w:rsidRPr="004A47DC">
        <w:t xml:space="preserve"> elektronik deri në fund të vitit 2022. Është planifikuar që numri i institucioneve buxhetore që kanë akses të arrijë gjithsej në 642 në vitin 2023 dhe 728</w:t>
      </w:r>
      <w:r w:rsidR="00B2411C" w:rsidRPr="004A47DC">
        <w:t xml:space="preserve"> </w:t>
      </w:r>
      <w:r w:rsidRPr="004A47DC">
        <w:t>në vitin 2024. Përafërsisht 250 institucione buxhetore kryesisht më të vogla nuk do të lidhen me SIFQ</w:t>
      </w:r>
      <w:r w:rsidR="008D3AA4">
        <w:t>-në</w:t>
      </w:r>
      <w:r w:rsidRPr="004A47DC">
        <w:t xml:space="preserve"> përmes modulit të </w:t>
      </w:r>
      <w:r w:rsidR="00CE6AE5" w:rsidRPr="004A47DC">
        <w:t>‘</w:t>
      </w:r>
      <w:r w:rsidRPr="004A47DC">
        <w:t>arkiv</w:t>
      </w:r>
      <w:r w:rsidR="00CE6AE5" w:rsidRPr="004A47DC">
        <w:t>it</w:t>
      </w:r>
      <w:r w:rsidRPr="004A47DC">
        <w:t xml:space="preserve"> elektronik</w:t>
      </w:r>
      <w:r w:rsidR="00CE6AE5" w:rsidRPr="004A47DC">
        <w:t>’</w:t>
      </w:r>
      <w:r w:rsidRPr="004A47DC">
        <w:t xml:space="preserve"> në SIFQ</w:t>
      </w:r>
      <w:r w:rsidR="008D3AA4">
        <w:t>,</w:t>
      </w:r>
      <w:r w:rsidRPr="004A47DC">
        <w:t xml:space="preserve"> pasi këto institucione nuk përmbushin kërkesat ligjore për të siguruar tre nënshkrime në urdhërpagesat. Mund të kërkohet një përqendrim i numrit të njësive të vogla shpenzuese</w:t>
      </w:r>
      <w:r w:rsidR="008D3AA4">
        <w:t>,</w:t>
      </w:r>
      <w:r w:rsidRPr="004A47DC">
        <w:t xml:space="preserve"> për qëllim të menaxhimit dhe kontrollit financiar të shëndoshë. Sistemi SIFQ menaxhohet nga MF</w:t>
      </w:r>
      <w:r w:rsidR="008D3AA4">
        <w:t>-ja</w:t>
      </w:r>
      <w:r w:rsidRPr="004A47DC">
        <w:t xml:space="preserve"> dhe mirëmbahet nga AKSHI.</w:t>
      </w:r>
    </w:p>
    <w:p w14:paraId="5F78BD05" w14:textId="58098F35" w:rsidR="004719D2" w:rsidRPr="004A47DC" w:rsidRDefault="004719D2" w:rsidP="009B1779">
      <w:pPr>
        <w:pStyle w:val="TEKSTIII"/>
      </w:pPr>
      <w:r w:rsidRPr="004A47DC">
        <w:t>Menaxhimi adekuat i detyrimeve të prapambetura në sistemin e kontabilitetit ka qenë një prioritet i lartë në vitet e kaluara. Janë krijuar procedura për të siguruar që transaksionet financiare (p.sh. kontratat e prokurimit, urdhrat ekzekutivë që rrjedhin nga çështjet gjyqësore, etj.) të regjistrohen në sistem në kohë. Nënraportimi i detyrimeve të prapambetura ende nuk është eliminuar plotësisht. Në vitin 2018, MF-ja filloi përgatitjet për reformën e kontabilitetit me synimin për të qenë plotësisht në përputhje me SNKSP</w:t>
      </w:r>
      <w:r w:rsidR="008D3AA4">
        <w:t>-</w:t>
      </w:r>
      <w:r w:rsidR="00D73B52">
        <w:t>t</w:t>
      </w:r>
      <w:r w:rsidR="008D3AA4">
        <w:t>ë</w:t>
      </w:r>
      <w:r w:rsidRPr="004A47DC">
        <w:t xml:space="preserve"> deri në vitin 2030. Një njësi e veçantë për reformën e kontabilitetit u krijua brenda DHMFKK</w:t>
      </w:r>
      <w:r w:rsidR="00D73B52">
        <w:t>-së</w:t>
      </w:r>
      <w:r w:rsidRPr="004A47DC">
        <w:t xml:space="preserve"> për të mbështetur procesin e kalimit në kontabilitetin në bazë të drejtash dhe detyrimesh</w:t>
      </w:r>
      <w:r w:rsidR="00D73B52">
        <w:t>,</w:t>
      </w:r>
      <w:r w:rsidRPr="004A47DC">
        <w:t xml:space="preserve"> të konstatuara përmes miratimit të një kuadri rregullator që është bazuar në SNKSP. Si hap i parë, u përgatit Plani i Veprimit Strategjik i Vendit për Reformën e Kontabilitetit 2019</w:t>
      </w:r>
      <w:r w:rsidR="00CE6AE5" w:rsidRPr="004A47DC">
        <w:t>–</w:t>
      </w:r>
      <w:r w:rsidRPr="004A47DC">
        <w:t>2027</w:t>
      </w:r>
      <w:r w:rsidRPr="004A47DC">
        <w:rPr>
          <w:szCs w:val="14"/>
          <w:vertAlign w:val="superscript"/>
        </w:rPr>
        <w:footnoteReference w:id="48"/>
      </w:r>
      <w:r w:rsidRPr="004A47DC">
        <w:t>. Pas miratimit të planit të veprimit, u ndërmorën hapa për zhvillimin e kuadrit ligjor dhe rregullator. Deri më tani, SNKSP</w:t>
      </w:r>
      <w:r w:rsidR="00D73B52">
        <w:t>-të</w:t>
      </w:r>
      <w:r w:rsidRPr="004A47DC">
        <w:t xml:space="preserve"> janë përkthyer në gjuhën shqipe, janë hartuar 10 udhëzime (akte nënligjore) të cilat janë objekt miratimi nga </w:t>
      </w:r>
      <w:r w:rsidR="00D73B52">
        <w:t>m</w:t>
      </w:r>
      <w:r w:rsidRPr="004A47DC">
        <w:t xml:space="preserve">inistri i Financave në fazat e mëvonshme të shoqëruara me manuale specifike që lidhen me këto udhëzime dhe që do të miratohen gjithashtu. Gjithashtu, janë ndërmarrë hapat e parë për hartimin e një ligji të ri të kontabilitetit, dhe është siguruar nga konsulenti struktura që duhet të ketë ligji. Aktivitetet e ngritjes së kapaciteteve kanë filluar dhe 25 individë (stafi i MF-së, kontabilistë të sektorit publik, universitetet, </w:t>
      </w:r>
      <w:r w:rsidR="00D73B52" w:rsidRPr="004A47DC">
        <w:t>organizatat profesionale të kontabilitetit</w:t>
      </w:r>
      <w:r w:rsidRPr="004A47DC">
        <w:t xml:space="preserve">) </w:t>
      </w:r>
      <w:r w:rsidR="00D73B52">
        <w:t>j</w:t>
      </w:r>
      <w:r w:rsidRPr="004A47DC">
        <w:t>anë trajnuar përmes një programi të gjerë trajnimi në SNKSP (siguruar nga Instituti i Financave Publike dhe Kontabilitetit</w:t>
      </w:r>
      <w:r w:rsidR="00D73B52">
        <w:t>)</w:t>
      </w:r>
      <w:r w:rsidRPr="004A47DC">
        <w:t>. Më pas, për 500 (nga rreth 1,100 gjithsej) kontabilistë të qeverisë u zhvillua një trajnim më i shkurtër mbi SNKSP</w:t>
      </w:r>
      <w:r w:rsidR="00D73B52">
        <w:t>-të</w:t>
      </w:r>
      <w:r w:rsidRPr="004A47DC">
        <w:t>. U krye një rishikim i funksionalitetit të SIFQ</w:t>
      </w:r>
      <w:r w:rsidR="00D73B52">
        <w:t>-së</w:t>
      </w:r>
      <w:r w:rsidRPr="004A47DC">
        <w:t xml:space="preserve"> krahasuar me kërkesat e SNKSP</w:t>
      </w:r>
      <w:r w:rsidR="00D73B52">
        <w:t>-ve</w:t>
      </w:r>
      <w:r w:rsidRPr="004A47DC">
        <w:t xml:space="preserve"> në kuadër të projektit të BB-së </w:t>
      </w:r>
      <w:r w:rsidR="00E33A13" w:rsidRPr="004A47DC">
        <w:t>“</w:t>
      </w:r>
      <w:r w:rsidRPr="004A47DC">
        <w:t>Zhvillimi i kontabilitetit të sektorit publik në Shqipëri (SNKSP)</w:t>
      </w:r>
      <w:r w:rsidR="00E33A13" w:rsidRPr="004A47DC">
        <w:t>”</w:t>
      </w:r>
      <w:r w:rsidRPr="004A47DC">
        <w:t xml:space="preserve"> i cili dha rekomandime për shtimin e moduleve dhe llogarive në SIFQ. Për më tepër, ai identifikoi zgjidhje alternative për plotësimin e boshllëqeve të të dhënave përmes mjeteve ose tabelave që mund të përdoren për gjurmimin e informacionit, përpunimin e tij dhe përcaktimin e hyrjeve që do të regjistrohen në sistemin SIFQ në baza periodike. Gjithashtu, është bërë një analizë e përgjegjësive institucionale brenda MF-së dhe funksionit më të gjerë të kontabilitetit të qeverisë qendrore</w:t>
      </w:r>
      <w:r w:rsidR="00D73B52">
        <w:t>,</w:t>
      </w:r>
      <w:r w:rsidRPr="004A47DC">
        <w:t xml:space="preserve"> duke ofruar rekomandime specifike që do të merren parasysh për riorganizimin e mëtejshëm të funksionit brenda </w:t>
      </w:r>
      <w:r w:rsidR="00D73B52">
        <w:t>m</w:t>
      </w:r>
      <w:r w:rsidRPr="004A47DC">
        <w:t>inistrisë.</w:t>
      </w:r>
    </w:p>
    <w:p w14:paraId="0FC8DCB7" w14:textId="77777777" w:rsidR="004719D2" w:rsidRPr="004A47DC" w:rsidRDefault="004719D2" w:rsidP="009B1779">
      <w:pPr>
        <w:pStyle w:val="TEKSTIII"/>
        <w:rPr>
          <w:b/>
        </w:rPr>
      </w:pPr>
      <w:r w:rsidRPr="004A47DC">
        <w:rPr>
          <w:b/>
        </w:rPr>
        <w:t>Prioritetet</w:t>
      </w:r>
    </w:p>
    <w:p w14:paraId="27C8182C" w14:textId="01C7BFF8" w:rsidR="004719D2" w:rsidRPr="004A47DC" w:rsidRDefault="004719D2" w:rsidP="009B1779">
      <w:pPr>
        <w:pStyle w:val="TEKSTIII"/>
      </w:pPr>
      <w:r w:rsidRPr="004A47DC">
        <w:t>Për periudhën 2023–2026</w:t>
      </w:r>
      <w:r w:rsidR="00D73B52">
        <w:t>,</w:t>
      </w:r>
      <w:r w:rsidRPr="004A47DC">
        <w:t xml:space="preserve"> prioritetet kryesore janë:</w:t>
      </w:r>
    </w:p>
    <w:p w14:paraId="42541299" w14:textId="43C8DCFD" w:rsidR="004719D2" w:rsidRPr="004A47DC" w:rsidRDefault="009B1779" w:rsidP="009B1779">
      <w:pPr>
        <w:pStyle w:val="TEKSTIII"/>
      </w:pPr>
      <w:r w:rsidRPr="004A47DC">
        <w:t xml:space="preserve">- </w:t>
      </w:r>
      <w:r w:rsidR="004719D2" w:rsidRPr="004A47DC">
        <w:t>Rritja e aksesit të të gjitha institucioneve buxhetore në Arkiv</w:t>
      </w:r>
      <w:r w:rsidR="00CE6AE5" w:rsidRPr="004A47DC">
        <w:t>in</w:t>
      </w:r>
      <w:r w:rsidR="004719D2" w:rsidRPr="004A47DC">
        <w:t xml:space="preserve"> Elektronik përmes </w:t>
      </w:r>
      <w:r w:rsidR="00CE6AE5" w:rsidRPr="004A47DC">
        <w:rPr>
          <w:i/>
        </w:rPr>
        <w:t>w</w:t>
      </w:r>
      <w:r w:rsidR="004719D2" w:rsidRPr="004A47DC">
        <w:rPr>
          <w:i/>
        </w:rPr>
        <w:t xml:space="preserve">eb </w:t>
      </w:r>
      <w:r w:rsidR="00CE6AE5" w:rsidRPr="004A47DC">
        <w:rPr>
          <w:i/>
        </w:rPr>
        <w:t>p</w:t>
      </w:r>
      <w:r w:rsidR="004719D2" w:rsidRPr="004A47DC">
        <w:rPr>
          <w:i/>
        </w:rPr>
        <w:t>ortalit</w:t>
      </w:r>
      <w:r w:rsidR="00D73B52">
        <w:t>;</w:t>
      </w:r>
    </w:p>
    <w:p w14:paraId="2E5A3D6B" w14:textId="50BDEC24" w:rsidR="004719D2" w:rsidRPr="004A47DC" w:rsidRDefault="009B1779" w:rsidP="009B1779">
      <w:pPr>
        <w:pStyle w:val="TEKSTIII"/>
      </w:pPr>
      <w:r w:rsidRPr="004A47DC">
        <w:t xml:space="preserve">- </w:t>
      </w:r>
      <w:r w:rsidR="004719D2" w:rsidRPr="004A47DC">
        <w:t>Përmirësimi i funksionaliteteve të SIFQ</w:t>
      </w:r>
      <w:r w:rsidR="00D73B52">
        <w:t>-së</w:t>
      </w:r>
      <w:r w:rsidR="004719D2" w:rsidRPr="004A47DC">
        <w:t xml:space="preserve"> për ta bërë sistemin më efikas (paraangazhime të automatizuara për të gjitha institucionet buxhetore q</w:t>
      </w:r>
      <w:r w:rsidR="00266F23" w:rsidRPr="004A47DC">
        <w:t>ë</w:t>
      </w:r>
      <w:r w:rsidR="004719D2" w:rsidRPr="004A47DC">
        <w:t xml:space="preserve"> kanë ose jo akses në SIFQ, lidhja e SIFQ</w:t>
      </w:r>
      <w:r w:rsidR="00D73B52">
        <w:t>-së</w:t>
      </w:r>
      <w:r w:rsidR="004719D2" w:rsidRPr="004A47DC">
        <w:t xml:space="preserve"> me sistemin e fiskalizimit dhe </w:t>
      </w:r>
      <w:r w:rsidR="00D73B52">
        <w:t>p</w:t>
      </w:r>
      <w:r w:rsidR="004719D2" w:rsidRPr="004A47DC">
        <w:t xml:space="preserve">ërmirësimi i </w:t>
      </w:r>
      <w:r w:rsidR="004719D2" w:rsidRPr="004A47DC">
        <w:rPr>
          <w:i/>
        </w:rPr>
        <w:t>hardware</w:t>
      </w:r>
      <w:r w:rsidR="004719D2" w:rsidRPr="004A47DC">
        <w:t xml:space="preserve">-it dhe </w:t>
      </w:r>
      <w:r w:rsidR="004719D2" w:rsidRPr="004A47DC">
        <w:rPr>
          <w:i/>
        </w:rPr>
        <w:t>software</w:t>
      </w:r>
      <w:r w:rsidR="004719D2" w:rsidRPr="004A47DC">
        <w:t>-it të SIFQ</w:t>
      </w:r>
      <w:r w:rsidR="00D73B52">
        <w:t>-së</w:t>
      </w:r>
      <w:r w:rsidR="004719D2" w:rsidRPr="004A47DC">
        <w:t>)</w:t>
      </w:r>
    </w:p>
    <w:p w14:paraId="56F2F06F" w14:textId="621784FE" w:rsidR="004719D2" w:rsidRPr="004A47DC" w:rsidRDefault="009B1779" w:rsidP="009B1779">
      <w:pPr>
        <w:pStyle w:val="TEKSTIII"/>
      </w:pPr>
      <w:r w:rsidRPr="004A47DC">
        <w:t xml:space="preserve">- </w:t>
      </w:r>
      <w:r w:rsidR="004719D2" w:rsidRPr="004A47DC">
        <w:t>Zhvillimi i kuadrit ligjor dhe rregullator, funksionaliteteve të SIFQ</w:t>
      </w:r>
      <w:r w:rsidR="00D73B52">
        <w:t>-së</w:t>
      </w:r>
      <w:r w:rsidR="004719D2" w:rsidRPr="004A47DC">
        <w:t xml:space="preserve"> dhe institucionalizimi i ngritjes së kapaciteteve për kontabilistët në kuadër të reformave të kontabilitetit (SNKSP).</w:t>
      </w:r>
    </w:p>
    <w:p w14:paraId="40FEC5DD" w14:textId="77777777" w:rsidR="004719D2" w:rsidRPr="004A47DC" w:rsidRDefault="004719D2" w:rsidP="004719D2">
      <w:pPr>
        <w:rPr>
          <w:rFonts w:ascii="Garamond" w:hAnsi="Garamond"/>
          <w:b/>
          <w:bCs/>
          <w:color w:val="000000" w:themeColor="text1"/>
          <w:sz w:val="16"/>
          <w:szCs w:val="16"/>
        </w:rPr>
      </w:pPr>
    </w:p>
    <w:p w14:paraId="08F98C93"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Masat dhe aktivitetet</w:t>
      </w:r>
    </w:p>
    <w:tbl>
      <w:tblPr>
        <w:tblStyle w:val="TableGridIDEA1"/>
        <w:tblW w:w="5000" w:type="pct"/>
        <w:tblCellMar>
          <w:top w:w="57" w:type="dxa"/>
          <w:left w:w="57" w:type="dxa"/>
          <w:bottom w:w="57" w:type="dxa"/>
          <w:right w:w="57" w:type="dxa"/>
        </w:tblCellMar>
        <w:tblLook w:val="04A0" w:firstRow="1" w:lastRow="0" w:firstColumn="1" w:lastColumn="0" w:noHBand="0" w:noVBand="1"/>
      </w:tblPr>
      <w:tblGrid>
        <w:gridCol w:w="2733"/>
        <w:gridCol w:w="3978"/>
        <w:gridCol w:w="576"/>
        <w:gridCol w:w="707"/>
        <w:gridCol w:w="1067"/>
      </w:tblGrid>
      <w:tr w:rsidR="004719D2" w:rsidRPr="004A47DC" w14:paraId="26F5F37A" w14:textId="77777777" w:rsidTr="00D73B52">
        <w:trPr>
          <w:trHeight w:val="182"/>
          <w:tblHeader/>
        </w:trPr>
        <w:tc>
          <w:tcPr>
            <w:tcW w:w="15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929C58" w14:textId="77777777" w:rsidR="004719D2" w:rsidRPr="004A47DC" w:rsidRDefault="004719D2" w:rsidP="00CE6AE5">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w:t>
            </w:r>
          </w:p>
        </w:tc>
        <w:tc>
          <w:tcPr>
            <w:tcW w:w="21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84DDF8" w14:textId="77777777" w:rsidR="004719D2" w:rsidRPr="004A47DC" w:rsidRDefault="004719D2" w:rsidP="00CE6AE5">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Aktiviteti</w:t>
            </w:r>
          </w:p>
        </w:tc>
        <w:tc>
          <w:tcPr>
            <w:tcW w:w="31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44528E" w14:textId="77777777" w:rsidR="004719D2" w:rsidRPr="004A47DC" w:rsidRDefault="004719D2" w:rsidP="00CE6AE5">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Fillimi</w:t>
            </w:r>
          </w:p>
        </w:tc>
        <w:tc>
          <w:tcPr>
            <w:tcW w:w="39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1FD4CC" w14:textId="77777777" w:rsidR="004719D2" w:rsidRPr="004A47DC" w:rsidRDefault="004719D2" w:rsidP="00CE6AE5">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Mbarimi</w:t>
            </w:r>
          </w:p>
        </w:tc>
        <w:tc>
          <w:tcPr>
            <w:tcW w:w="5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36D53" w14:textId="77777777" w:rsidR="004719D2" w:rsidRPr="004A47DC" w:rsidRDefault="004719D2" w:rsidP="00CE6AE5">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Grupet e Interesit</w:t>
            </w:r>
          </w:p>
        </w:tc>
      </w:tr>
      <w:tr w:rsidR="004719D2" w:rsidRPr="004A47DC" w14:paraId="7BB46760" w14:textId="77777777" w:rsidTr="00D73B52">
        <w:trPr>
          <w:trHeight w:val="20"/>
        </w:trPr>
        <w:tc>
          <w:tcPr>
            <w:tcW w:w="1508" w:type="pct"/>
            <w:vMerge w:val="restart"/>
            <w:tcBorders>
              <w:top w:val="single" w:sz="4" w:space="0" w:color="auto"/>
              <w:left w:val="single" w:sz="4" w:space="0" w:color="auto"/>
              <w:right w:val="single" w:sz="4" w:space="0" w:color="auto"/>
            </w:tcBorders>
            <w:vAlign w:val="center"/>
            <w:hideMark/>
          </w:tcPr>
          <w:p w14:paraId="448A5F7E" w14:textId="39BE469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4.2.1 Rritja e aksesit dhe përdorimit të SIFQ</w:t>
            </w:r>
            <w:r w:rsidR="00D73B52">
              <w:rPr>
                <w:rFonts w:ascii="Garamond" w:hAnsi="Garamond"/>
                <w:sz w:val="16"/>
                <w:szCs w:val="16"/>
                <w:lang w:val="sq-AL"/>
              </w:rPr>
              <w:t>-së</w:t>
            </w:r>
          </w:p>
          <w:p w14:paraId="0B7E4C41"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40072C" w14:textId="7D302E52"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Rritja e aksesit të institucioneve buxhetore në modulin e arkivit elektronik të SIFQ</w:t>
            </w:r>
            <w:r w:rsidR="00D73B52">
              <w:rPr>
                <w:rFonts w:ascii="Garamond" w:hAnsi="Garamond"/>
                <w:sz w:val="16"/>
                <w:szCs w:val="16"/>
                <w:lang w:val="sq-AL"/>
              </w:rPr>
              <w:t>-së</w:t>
            </w:r>
            <w:r w:rsidR="004719D2" w:rsidRPr="004A47DC">
              <w:rPr>
                <w:rFonts w:ascii="Garamond" w:hAnsi="Garamond"/>
                <w:sz w:val="16"/>
                <w:szCs w:val="16"/>
                <w:lang w:val="sq-AL"/>
              </w:rPr>
              <w:t>.</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5FE73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372193"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589" w:type="pct"/>
            <w:tcBorders>
              <w:top w:val="single" w:sz="4" w:space="0" w:color="auto"/>
              <w:left w:val="single" w:sz="4" w:space="0" w:color="auto"/>
              <w:bottom w:val="single" w:sz="4" w:space="0" w:color="auto"/>
              <w:right w:val="single" w:sz="4" w:space="0" w:color="auto"/>
            </w:tcBorders>
            <w:vAlign w:val="center"/>
            <w:hideMark/>
          </w:tcPr>
          <w:p w14:paraId="5E0FB508"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1BA0C954"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 (llider), AKSHI</w:t>
            </w:r>
          </w:p>
          <w:p w14:paraId="02586014" w14:textId="77777777" w:rsidR="004719D2" w:rsidRPr="004A47DC" w:rsidRDefault="004719D2" w:rsidP="00CF7CEC">
            <w:pPr>
              <w:rPr>
                <w:rFonts w:ascii="Garamond" w:hAnsi="Garamond"/>
                <w:color w:val="000000" w:themeColor="text1"/>
                <w:sz w:val="16"/>
                <w:szCs w:val="16"/>
                <w:lang w:val="sq-AL"/>
              </w:rPr>
            </w:pPr>
          </w:p>
          <w:p w14:paraId="136A9A76"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tc>
      </w:tr>
      <w:tr w:rsidR="004719D2" w:rsidRPr="004A47DC" w14:paraId="7CFDC403" w14:textId="77777777" w:rsidTr="00D73B52">
        <w:trPr>
          <w:trHeight w:val="32"/>
        </w:trPr>
        <w:tc>
          <w:tcPr>
            <w:tcW w:w="1508" w:type="pct"/>
            <w:vMerge/>
            <w:tcBorders>
              <w:left w:val="single" w:sz="4" w:space="0" w:color="auto"/>
              <w:right w:val="single" w:sz="4" w:space="0" w:color="auto"/>
            </w:tcBorders>
            <w:hideMark/>
          </w:tcPr>
          <w:p w14:paraId="52EEBBCB"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vAlign w:val="center"/>
            <w:hideMark/>
          </w:tcPr>
          <w:p w14:paraId="2BA74692" w14:textId="44201303"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 xml:space="preserve">Automatizimi i procesit të kontrollit para angazhimit të shpenzimeve për institucionet buxhetore që nuk kanë akses në </w:t>
            </w:r>
            <w:r w:rsidR="004719D2" w:rsidRPr="004A47DC">
              <w:rPr>
                <w:rFonts w:ascii="Garamond" w:hAnsi="Garamond"/>
                <w:i/>
                <w:sz w:val="16"/>
                <w:szCs w:val="16"/>
                <w:lang w:val="sq-AL"/>
              </w:rPr>
              <w:t>hardware</w:t>
            </w:r>
            <w:r w:rsidR="004719D2" w:rsidRPr="004A47DC">
              <w:rPr>
                <w:rFonts w:ascii="Garamond" w:hAnsi="Garamond"/>
                <w:sz w:val="16"/>
                <w:szCs w:val="16"/>
                <w:lang w:val="sq-AL"/>
              </w:rPr>
              <w:t>-in e SIFQ</w:t>
            </w:r>
            <w:r w:rsidR="00D73B52">
              <w:rPr>
                <w:rFonts w:ascii="Garamond" w:hAnsi="Garamond"/>
                <w:sz w:val="16"/>
                <w:szCs w:val="16"/>
                <w:lang w:val="sq-AL"/>
              </w:rPr>
              <w:t>-së</w:t>
            </w:r>
            <w:r w:rsidR="004719D2" w:rsidRPr="004A47DC">
              <w:rPr>
                <w:rFonts w:ascii="Garamond" w:hAnsi="Garamond"/>
                <w:sz w:val="16"/>
                <w:szCs w:val="16"/>
                <w:lang w:val="sq-AL"/>
              </w:rPr>
              <w:t xml:space="preserve"> dhe me përmirësimin e </w:t>
            </w:r>
            <w:r w:rsidR="004719D2" w:rsidRPr="00D73B52">
              <w:rPr>
                <w:rFonts w:ascii="Garamond" w:hAnsi="Garamond"/>
                <w:i/>
                <w:sz w:val="16"/>
                <w:szCs w:val="16"/>
                <w:lang w:val="sq-AL"/>
              </w:rPr>
              <w:t>software</w:t>
            </w:r>
            <w:r w:rsidR="004719D2" w:rsidRPr="004A47DC">
              <w:rPr>
                <w:rFonts w:ascii="Garamond" w:hAnsi="Garamond"/>
                <w:sz w:val="16"/>
                <w:szCs w:val="16"/>
                <w:lang w:val="sq-AL"/>
              </w:rPr>
              <w:t>-it të SIFQ</w:t>
            </w:r>
            <w:r w:rsidR="00D73B52">
              <w:rPr>
                <w:rFonts w:ascii="Garamond" w:hAnsi="Garamond"/>
                <w:sz w:val="16"/>
                <w:szCs w:val="16"/>
                <w:lang w:val="sq-AL"/>
              </w:rPr>
              <w:t>-së</w:t>
            </w:r>
            <w:r w:rsidR="004719D2" w:rsidRPr="004A47DC">
              <w:rPr>
                <w:rFonts w:ascii="Garamond" w:hAnsi="Garamond"/>
                <w:sz w:val="16"/>
                <w:szCs w:val="16"/>
                <w:lang w:val="sq-AL"/>
              </w:rPr>
              <w:t>.</w:t>
            </w:r>
          </w:p>
        </w:tc>
        <w:tc>
          <w:tcPr>
            <w:tcW w:w="318" w:type="pct"/>
            <w:tcBorders>
              <w:top w:val="single" w:sz="4" w:space="0" w:color="auto"/>
              <w:left w:val="single" w:sz="4" w:space="0" w:color="auto"/>
              <w:bottom w:val="single" w:sz="4" w:space="0" w:color="auto"/>
              <w:right w:val="single" w:sz="4" w:space="0" w:color="auto"/>
            </w:tcBorders>
            <w:vAlign w:val="center"/>
            <w:hideMark/>
          </w:tcPr>
          <w:p w14:paraId="4B4B112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T3 2024</w:t>
            </w:r>
          </w:p>
        </w:tc>
        <w:tc>
          <w:tcPr>
            <w:tcW w:w="390" w:type="pct"/>
            <w:tcBorders>
              <w:top w:val="single" w:sz="4" w:space="0" w:color="auto"/>
              <w:left w:val="single" w:sz="4" w:space="0" w:color="auto"/>
              <w:bottom w:val="single" w:sz="4" w:space="0" w:color="auto"/>
              <w:right w:val="single" w:sz="4" w:space="0" w:color="auto"/>
            </w:tcBorders>
            <w:vAlign w:val="center"/>
          </w:tcPr>
          <w:p w14:paraId="19DCDA69"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val="restart"/>
            <w:tcBorders>
              <w:top w:val="single" w:sz="4" w:space="0" w:color="auto"/>
              <w:left w:val="single" w:sz="4" w:space="0" w:color="auto"/>
              <w:bottom w:val="single" w:sz="4" w:space="0" w:color="auto"/>
              <w:right w:val="single" w:sz="4" w:space="0" w:color="auto"/>
            </w:tcBorders>
          </w:tcPr>
          <w:p w14:paraId="48B3A332" w14:textId="77777777" w:rsidR="004719D2" w:rsidRPr="004A47DC" w:rsidRDefault="004719D2" w:rsidP="00CF7CEC">
            <w:pPr>
              <w:rPr>
                <w:rFonts w:ascii="Garamond" w:hAnsi="Garamond"/>
                <w:b/>
                <w:bCs/>
                <w:color w:val="000000" w:themeColor="text1"/>
                <w:sz w:val="16"/>
                <w:szCs w:val="16"/>
                <w:lang w:val="sq-AL"/>
              </w:rPr>
            </w:pPr>
          </w:p>
          <w:p w14:paraId="2E887FB8"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4598856B"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 (lider), DHMFKK</w:t>
            </w:r>
          </w:p>
          <w:p w14:paraId="07432FF8" w14:textId="77777777" w:rsidR="004719D2" w:rsidRPr="004A47DC" w:rsidRDefault="004719D2" w:rsidP="00CF7CEC">
            <w:pPr>
              <w:rPr>
                <w:rFonts w:ascii="Garamond" w:hAnsi="Garamond"/>
                <w:color w:val="000000" w:themeColor="text1"/>
                <w:sz w:val="16"/>
                <w:szCs w:val="16"/>
                <w:lang w:val="sq-AL"/>
              </w:rPr>
            </w:pPr>
          </w:p>
          <w:p w14:paraId="3793E542"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3FCED63D" w14:textId="77777777" w:rsidR="004719D2" w:rsidRPr="004A47DC" w:rsidRDefault="004719D2" w:rsidP="00CF7CEC">
            <w:pPr>
              <w:rPr>
                <w:rFonts w:ascii="Garamond" w:hAnsi="Garamond"/>
                <w:color w:val="000000" w:themeColor="text1"/>
                <w:sz w:val="16"/>
                <w:szCs w:val="16"/>
                <w:lang w:val="sq-AL"/>
              </w:rPr>
            </w:pPr>
          </w:p>
        </w:tc>
      </w:tr>
      <w:tr w:rsidR="004719D2" w:rsidRPr="004A47DC" w14:paraId="2DA78C4B" w14:textId="77777777" w:rsidTr="00D73B52">
        <w:trPr>
          <w:trHeight w:val="20"/>
        </w:trPr>
        <w:tc>
          <w:tcPr>
            <w:tcW w:w="1508" w:type="pct"/>
            <w:vMerge/>
            <w:tcBorders>
              <w:left w:val="single" w:sz="4" w:space="0" w:color="auto"/>
              <w:bottom w:val="single" w:sz="4" w:space="0" w:color="auto"/>
              <w:right w:val="single" w:sz="4" w:space="0" w:color="auto"/>
            </w:tcBorders>
            <w:vAlign w:val="center"/>
            <w:hideMark/>
          </w:tcPr>
          <w:p w14:paraId="2E55AFD6"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vAlign w:val="center"/>
            <w:hideMark/>
          </w:tcPr>
          <w:p w14:paraId="28476B40" w14:textId="0D7FE766"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Sigurimi i ndërveprimit me sistemin e fiskalizimit për të përmirësuar kontrollet e brendshme për të parandaluar detyrimet e prapambetura.</w:t>
            </w:r>
          </w:p>
        </w:tc>
        <w:tc>
          <w:tcPr>
            <w:tcW w:w="318" w:type="pct"/>
            <w:tcBorders>
              <w:top w:val="single" w:sz="4" w:space="0" w:color="auto"/>
              <w:left w:val="single" w:sz="4" w:space="0" w:color="auto"/>
              <w:bottom w:val="single" w:sz="4" w:space="0" w:color="auto"/>
              <w:right w:val="single" w:sz="4" w:space="0" w:color="auto"/>
            </w:tcBorders>
            <w:vAlign w:val="center"/>
            <w:hideMark/>
          </w:tcPr>
          <w:p w14:paraId="56EA4D2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T3 2024</w:t>
            </w:r>
          </w:p>
        </w:tc>
        <w:tc>
          <w:tcPr>
            <w:tcW w:w="390" w:type="pct"/>
            <w:tcBorders>
              <w:top w:val="single" w:sz="4" w:space="0" w:color="auto"/>
              <w:left w:val="single" w:sz="4" w:space="0" w:color="auto"/>
              <w:bottom w:val="single" w:sz="4" w:space="0" w:color="auto"/>
              <w:right w:val="single" w:sz="4" w:space="0" w:color="auto"/>
            </w:tcBorders>
            <w:vAlign w:val="center"/>
          </w:tcPr>
          <w:p w14:paraId="759F391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785D4832" w14:textId="77777777" w:rsidR="004719D2" w:rsidRPr="004A47DC" w:rsidRDefault="004719D2" w:rsidP="00CF7CEC">
            <w:pPr>
              <w:rPr>
                <w:rFonts w:ascii="Garamond" w:hAnsi="Garamond"/>
                <w:color w:val="000000" w:themeColor="text1"/>
                <w:sz w:val="16"/>
                <w:szCs w:val="16"/>
                <w:lang w:val="sq-AL"/>
              </w:rPr>
            </w:pPr>
          </w:p>
        </w:tc>
      </w:tr>
      <w:tr w:rsidR="004719D2" w:rsidRPr="004A47DC" w14:paraId="34EEF6B2" w14:textId="77777777" w:rsidTr="00D73B52">
        <w:trPr>
          <w:trHeight w:val="32"/>
        </w:trPr>
        <w:tc>
          <w:tcPr>
            <w:tcW w:w="1508" w:type="pct"/>
            <w:vMerge w:val="restart"/>
            <w:tcBorders>
              <w:top w:val="single" w:sz="4" w:space="0" w:color="auto"/>
              <w:left w:val="single" w:sz="4" w:space="0" w:color="auto"/>
              <w:right w:val="single" w:sz="4" w:space="0" w:color="auto"/>
            </w:tcBorders>
          </w:tcPr>
          <w:p w14:paraId="0FBDE2E7"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4.2.2 Zhvillimi i kuadrit ligjor dhe rregullator për reformat e kontabilitetit</w:t>
            </w:r>
          </w:p>
          <w:p w14:paraId="02B6809A"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vAlign w:val="center"/>
            <w:hideMark/>
          </w:tcPr>
          <w:p w14:paraId="2E704EC4" w14:textId="63B75EBF"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Hartimi dhe miratimi i një ligji të ri të kontabilitetit publik që prezanton reformat e kontabilitetit.</w:t>
            </w:r>
          </w:p>
        </w:tc>
        <w:tc>
          <w:tcPr>
            <w:tcW w:w="318" w:type="pct"/>
            <w:tcBorders>
              <w:top w:val="single" w:sz="4" w:space="0" w:color="auto"/>
              <w:left w:val="single" w:sz="4" w:space="0" w:color="auto"/>
              <w:bottom w:val="single" w:sz="4" w:space="0" w:color="auto"/>
              <w:right w:val="single" w:sz="4" w:space="0" w:color="auto"/>
            </w:tcBorders>
            <w:vAlign w:val="center"/>
            <w:hideMark/>
          </w:tcPr>
          <w:p w14:paraId="258A7F3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4D3FFCF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val="restart"/>
            <w:tcBorders>
              <w:top w:val="single" w:sz="4" w:space="0" w:color="auto"/>
              <w:left w:val="single" w:sz="4" w:space="0" w:color="auto"/>
              <w:right w:val="single" w:sz="4" w:space="0" w:color="auto"/>
            </w:tcBorders>
          </w:tcPr>
          <w:p w14:paraId="2AD82CE1"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423E8077"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DHMFKK (lider), DPTH</w:t>
            </w:r>
          </w:p>
          <w:p w14:paraId="72D32F11" w14:textId="77777777" w:rsidR="004719D2" w:rsidRPr="004A47DC" w:rsidRDefault="004719D2" w:rsidP="00CF7CEC">
            <w:pPr>
              <w:rPr>
                <w:rFonts w:ascii="Garamond" w:hAnsi="Garamond"/>
                <w:color w:val="000000" w:themeColor="text1"/>
                <w:sz w:val="16"/>
                <w:szCs w:val="16"/>
                <w:lang w:val="sq-AL"/>
              </w:rPr>
            </w:pPr>
          </w:p>
          <w:p w14:paraId="2AC19736"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5FD2CC28"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 SECO</w:t>
            </w:r>
          </w:p>
        </w:tc>
      </w:tr>
      <w:tr w:rsidR="004719D2" w:rsidRPr="004A47DC" w14:paraId="0E945A64" w14:textId="77777777" w:rsidTr="00D73B52">
        <w:trPr>
          <w:trHeight w:val="607"/>
        </w:trPr>
        <w:tc>
          <w:tcPr>
            <w:tcW w:w="1508" w:type="pct"/>
            <w:vMerge/>
            <w:tcBorders>
              <w:left w:val="single" w:sz="4" w:space="0" w:color="auto"/>
              <w:right w:val="single" w:sz="4" w:space="0" w:color="auto"/>
            </w:tcBorders>
            <w:vAlign w:val="center"/>
            <w:hideMark/>
          </w:tcPr>
          <w:p w14:paraId="4E7ACE2D"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vAlign w:val="center"/>
            <w:hideMark/>
          </w:tcPr>
          <w:p w14:paraId="58446113" w14:textId="28E573DC"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 xml:space="preserve">Hartimi i udhëzimeve/akteve nënligjore që mbulojnë të gjitha </w:t>
            </w:r>
            <w:r w:rsidR="004719D2" w:rsidRPr="005A2A99">
              <w:rPr>
                <w:rFonts w:ascii="Garamond" w:hAnsi="Garamond"/>
                <w:sz w:val="16"/>
                <w:szCs w:val="16"/>
                <w:lang w:val="sq-AL"/>
              </w:rPr>
              <w:t>SNKSP</w:t>
            </w:r>
            <w:r w:rsidR="00D73B52" w:rsidRPr="005A2A99">
              <w:rPr>
                <w:rFonts w:ascii="Garamond" w:hAnsi="Garamond"/>
                <w:sz w:val="16"/>
                <w:szCs w:val="16"/>
                <w:lang w:val="sq-AL"/>
              </w:rPr>
              <w:t>-të</w:t>
            </w:r>
            <w:r w:rsidR="004719D2" w:rsidRPr="004A47DC">
              <w:rPr>
                <w:rFonts w:ascii="Garamond" w:hAnsi="Garamond"/>
                <w:sz w:val="16"/>
                <w:szCs w:val="16"/>
                <w:lang w:val="sq-AL"/>
              </w:rPr>
              <w:t xml:space="preserve"> e miratuara dhe hartimi i manualeve për çdo akt nënligjor.</w:t>
            </w:r>
          </w:p>
        </w:tc>
        <w:tc>
          <w:tcPr>
            <w:tcW w:w="318" w:type="pct"/>
            <w:tcBorders>
              <w:top w:val="single" w:sz="4" w:space="0" w:color="auto"/>
              <w:left w:val="single" w:sz="4" w:space="0" w:color="auto"/>
              <w:bottom w:val="single" w:sz="4" w:space="0" w:color="auto"/>
              <w:right w:val="single" w:sz="4" w:space="0" w:color="auto"/>
            </w:tcBorders>
            <w:vAlign w:val="center"/>
            <w:hideMark/>
          </w:tcPr>
          <w:p w14:paraId="524CEFBE"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6C961DB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left w:val="single" w:sz="4" w:space="0" w:color="auto"/>
              <w:right w:val="single" w:sz="4" w:space="0" w:color="auto"/>
            </w:tcBorders>
            <w:vAlign w:val="center"/>
            <w:hideMark/>
          </w:tcPr>
          <w:p w14:paraId="55FE0F0D" w14:textId="77777777" w:rsidR="004719D2" w:rsidRPr="004A47DC" w:rsidRDefault="004719D2" w:rsidP="00CF7CEC">
            <w:pPr>
              <w:rPr>
                <w:rFonts w:ascii="Garamond" w:hAnsi="Garamond"/>
                <w:color w:val="000000" w:themeColor="text1"/>
                <w:sz w:val="16"/>
                <w:szCs w:val="16"/>
                <w:lang w:val="sq-AL"/>
              </w:rPr>
            </w:pPr>
          </w:p>
        </w:tc>
      </w:tr>
      <w:tr w:rsidR="004719D2" w:rsidRPr="004A47DC" w14:paraId="741344CE" w14:textId="77777777" w:rsidTr="00D73B52">
        <w:trPr>
          <w:trHeight w:val="607"/>
        </w:trPr>
        <w:tc>
          <w:tcPr>
            <w:tcW w:w="1508" w:type="pct"/>
            <w:vMerge/>
            <w:tcBorders>
              <w:left w:val="single" w:sz="4" w:space="0" w:color="auto"/>
              <w:bottom w:val="single" w:sz="4" w:space="0" w:color="auto"/>
              <w:right w:val="single" w:sz="4" w:space="0" w:color="auto"/>
            </w:tcBorders>
            <w:vAlign w:val="center"/>
          </w:tcPr>
          <w:p w14:paraId="6C5C5AAF"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vAlign w:val="center"/>
          </w:tcPr>
          <w:p w14:paraId="2E0FD9CC" w14:textId="3FA55599"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 xml:space="preserve">Të ndihmohen institucionet buxhetore në hartimin e bilanceve të hapjes dhe zbatimin e kuadrit të ri të kontabilitetit </w:t>
            </w:r>
            <w:r w:rsidR="004719D2" w:rsidRPr="00D73B52">
              <w:rPr>
                <w:rFonts w:ascii="Garamond" w:hAnsi="Garamond"/>
                <w:sz w:val="16"/>
                <w:szCs w:val="16"/>
                <w:vertAlign w:val="superscript"/>
                <w:lang w:val="sq-AL"/>
              </w:rPr>
              <w:footnoteReference w:id="49"/>
            </w:r>
            <w:r w:rsidR="004719D2" w:rsidRPr="004A47DC">
              <w:rPr>
                <w:rFonts w:ascii="Garamond" w:hAnsi="Garamond"/>
                <w:sz w:val="16"/>
                <w:szCs w:val="16"/>
                <w:lang w:val="sq-AL"/>
              </w:rPr>
              <w:t>.</w:t>
            </w:r>
          </w:p>
        </w:tc>
        <w:tc>
          <w:tcPr>
            <w:tcW w:w="318" w:type="pct"/>
            <w:tcBorders>
              <w:top w:val="single" w:sz="4" w:space="0" w:color="auto"/>
              <w:left w:val="single" w:sz="4" w:space="0" w:color="auto"/>
              <w:bottom w:val="single" w:sz="4" w:space="0" w:color="auto"/>
              <w:right w:val="single" w:sz="4" w:space="0" w:color="auto"/>
            </w:tcBorders>
            <w:vAlign w:val="center"/>
          </w:tcPr>
          <w:p w14:paraId="3123221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2025</w:t>
            </w:r>
          </w:p>
        </w:tc>
        <w:tc>
          <w:tcPr>
            <w:tcW w:w="390" w:type="pct"/>
            <w:tcBorders>
              <w:top w:val="single" w:sz="4" w:space="0" w:color="auto"/>
              <w:left w:val="single" w:sz="4" w:space="0" w:color="auto"/>
              <w:bottom w:val="single" w:sz="4" w:space="0" w:color="auto"/>
              <w:right w:val="single" w:sz="4" w:space="0" w:color="auto"/>
            </w:tcBorders>
            <w:vAlign w:val="center"/>
          </w:tcPr>
          <w:p w14:paraId="2BDF313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left w:val="single" w:sz="4" w:space="0" w:color="auto"/>
              <w:bottom w:val="single" w:sz="4" w:space="0" w:color="auto"/>
              <w:right w:val="single" w:sz="4" w:space="0" w:color="auto"/>
            </w:tcBorders>
            <w:vAlign w:val="center"/>
          </w:tcPr>
          <w:p w14:paraId="2C7087B7" w14:textId="77777777" w:rsidR="004719D2" w:rsidRPr="004A47DC" w:rsidRDefault="004719D2" w:rsidP="00CF7CEC">
            <w:pPr>
              <w:rPr>
                <w:rFonts w:ascii="Garamond" w:hAnsi="Garamond"/>
                <w:color w:val="000000" w:themeColor="text1"/>
                <w:sz w:val="16"/>
                <w:szCs w:val="16"/>
                <w:lang w:val="sq-AL"/>
              </w:rPr>
            </w:pPr>
          </w:p>
        </w:tc>
      </w:tr>
      <w:tr w:rsidR="004719D2" w:rsidRPr="004A47DC" w14:paraId="3B51311D" w14:textId="77777777" w:rsidTr="00D73B52">
        <w:trPr>
          <w:trHeight w:val="180"/>
        </w:trPr>
        <w:tc>
          <w:tcPr>
            <w:tcW w:w="1508" w:type="pct"/>
            <w:vMerge w:val="restart"/>
            <w:tcBorders>
              <w:top w:val="single" w:sz="4" w:space="0" w:color="auto"/>
              <w:left w:val="single" w:sz="4" w:space="0" w:color="auto"/>
              <w:bottom w:val="single" w:sz="4" w:space="0" w:color="auto"/>
              <w:right w:val="single" w:sz="4" w:space="0" w:color="auto"/>
            </w:tcBorders>
          </w:tcPr>
          <w:p w14:paraId="22437E0F" w14:textId="059A7CF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4.2.3 Përmirësimi i funksionaliteteve të SIFQ</w:t>
            </w:r>
            <w:r w:rsidR="00D73B52" w:rsidRPr="00D73B52">
              <w:rPr>
                <w:rFonts w:ascii="Garamond" w:hAnsi="Garamond"/>
                <w:b/>
                <w:sz w:val="16"/>
                <w:szCs w:val="16"/>
                <w:lang w:val="sq-AL"/>
              </w:rPr>
              <w:t>-së</w:t>
            </w:r>
            <w:r w:rsidRPr="004A47DC">
              <w:rPr>
                <w:rFonts w:ascii="Garamond" w:hAnsi="Garamond"/>
                <w:b/>
                <w:bCs/>
                <w:color w:val="000000" w:themeColor="text1"/>
                <w:sz w:val="16"/>
                <w:szCs w:val="16"/>
                <w:lang w:val="sq-AL"/>
              </w:rPr>
              <w:t xml:space="preserve"> për të absorbuar reformat e kontabilitetit</w:t>
            </w:r>
          </w:p>
        </w:tc>
        <w:tc>
          <w:tcPr>
            <w:tcW w:w="2195" w:type="pct"/>
            <w:tcBorders>
              <w:top w:val="single" w:sz="4" w:space="0" w:color="auto"/>
              <w:left w:val="single" w:sz="4" w:space="0" w:color="auto"/>
              <w:bottom w:val="single" w:sz="4" w:space="0" w:color="auto"/>
              <w:right w:val="single" w:sz="4" w:space="0" w:color="auto"/>
            </w:tcBorders>
            <w:hideMark/>
          </w:tcPr>
          <w:p w14:paraId="1247DC98" w14:textId="12B8D27F"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Përgatitja e dokumentit të kërkesave funksionale dhe planit të përmirësimit të SIFQ</w:t>
            </w:r>
            <w:r w:rsidR="00D73B52">
              <w:rPr>
                <w:rFonts w:ascii="Garamond" w:hAnsi="Garamond"/>
                <w:sz w:val="16"/>
                <w:szCs w:val="16"/>
                <w:lang w:val="sq-AL"/>
              </w:rPr>
              <w:t>-së</w:t>
            </w:r>
            <w:r w:rsidR="004719D2" w:rsidRPr="004A47DC">
              <w:rPr>
                <w:rFonts w:ascii="Garamond" w:hAnsi="Garamond"/>
                <w:sz w:val="16"/>
                <w:szCs w:val="16"/>
                <w:lang w:val="sq-AL"/>
              </w:rPr>
              <w:t xml:space="preserve"> për të absorbuar reformat e planifikuara të kontabilitetit.</w:t>
            </w:r>
          </w:p>
        </w:tc>
        <w:tc>
          <w:tcPr>
            <w:tcW w:w="318" w:type="pct"/>
            <w:tcBorders>
              <w:top w:val="single" w:sz="4" w:space="0" w:color="auto"/>
              <w:left w:val="single" w:sz="4" w:space="0" w:color="auto"/>
              <w:bottom w:val="single" w:sz="4" w:space="0" w:color="auto"/>
              <w:right w:val="single" w:sz="4" w:space="0" w:color="auto"/>
            </w:tcBorders>
            <w:vAlign w:val="center"/>
            <w:hideMark/>
          </w:tcPr>
          <w:p w14:paraId="69E6703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T3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486B9BE9"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val="restart"/>
            <w:tcBorders>
              <w:top w:val="single" w:sz="4" w:space="0" w:color="auto"/>
              <w:left w:val="single" w:sz="4" w:space="0" w:color="auto"/>
              <w:bottom w:val="single" w:sz="4" w:space="0" w:color="auto"/>
              <w:right w:val="single" w:sz="4" w:space="0" w:color="auto"/>
            </w:tcBorders>
          </w:tcPr>
          <w:p w14:paraId="634920BE"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077A16D5"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 (lider), DHMFKK</w:t>
            </w:r>
          </w:p>
          <w:p w14:paraId="71CA9BE1" w14:textId="77777777" w:rsidR="004719D2" w:rsidRPr="004A47DC" w:rsidRDefault="004719D2" w:rsidP="00CF7CEC">
            <w:pPr>
              <w:rPr>
                <w:rFonts w:ascii="Garamond" w:hAnsi="Garamond"/>
                <w:color w:val="000000" w:themeColor="text1"/>
                <w:sz w:val="16"/>
                <w:szCs w:val="16"/>
                <w:lang w:val="sq-AL"/>
              </w:rPr>
            </w:pPr>
          </w:p>
          <w:p w14:paraId="04CAF0EA"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78890351"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 SECO</w:t>
            </w:r>
          </w:p>
        </w:tc>
      </w:tr>
      <w:tr w:rsidR="004719D2" w:rsidRPr="004A47DC" w14:paraId="28BE3E5B" w14:textId="77777777" w:rsidTr="00D73B52">
        <w:trPr>
          <w:trHeight w:val="215"/>
        </w:trPr>
        <w:tc>
          <w:tcPr>
            <w:tcW w:w="1508" w:type="pct"/>
            <w:vMerge/>
            <w:tcBorders>
              <w:top w:val="single" w:sz="4" w:space="0" w:color="auto"/>
              <w:left w:val="single" w:sz="4" w:space="0" w:color="auto"/>
              <w:bottom w:val="single" w:sz="4" w:space="0" w:color="auto"/>
              <w:right w:val="single" w:sz="4" w:space="0" w:color="auto"/>
            </w:tcBorders>
            <w:vAlign w:val="center"/>
            <w:hideMark/>
          </w:tcPr>
          <w:p w14:paraId="34D5F496"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hideMark/>
          </w:tcPr>
          <w:p w14:paraId="0F14EA2C" w14:textId="7EAB542E"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Zhvillimi i testit dhe vendosja e përmirësuar/funksionalitete shtesë të nevojshme për të siguruar përputhjen me legjislacionin e ri.</w:t>
            </w:r>
          </w:p>
        </w:tc>
        <w:tc>
          <w:tcPr>
            <w:tcW w:w="318" w:type="pct"/>
            <w:tcBorders>
              <w:top w:val="single" w:sz="4" w:space="0" w:color="auto"/>
              <w:left w:val="single" w:sz="4" w:space="0" w:color="auto"/>
              <w:bottom w:val="single" w:sz="4" w:space="0" w:color="auto"/>
              <w:right w:val="single" w:sz="4" w:space="0" w:color="auto"/>
            </w:tcBorders>
            <w:vAlign w:val="center"/>
            <w:hideMark/>
          </w:tcPr>
          <w:p w14:paraId="30685EF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2F111B4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3E5046F0" w14:textId="77777777" w:rsidR="004719D2" w:rsidRPr="004A47DC" w:rsidRDefault="004719D2" w:rsidP="00CF7CEC">
            <w:pPr>
              <w:rPr>
                <w:rFonts w:ascii="Garamond" w:hAnsi="Garamond"/>
                <w:color w:val="000000" w:themeColor="text1"/>
                <w:sz w:val="16"/>
                <w:szCs w:val="16"/>
                <w:lang w:val="sq-AL"/>
              </w:rPr>
            </w:pPr>
          </w:p>
        </w:tc>
      </w:tr>
      <w:tr w:rsidR="004719D2" w:rsidRPr="004A47DC" w14:paraId="6CF47447" w14:textId="77777777" w:rsidTr="00D73B52">
        <w:trPr>
          <w:trHeight w:val="607"/>
        </w:trPr>
        <w:tc>
          <w:tcPr>
            <w:tcW w:w="1508" w:type="pct"/>
            <w:vMerge w:val="restart"/>
            <w:tcBorders>
              <w:top w:val="single" w:sz="4" w:space="0" w:color="auto"/>
              <w:left w:val="single" w:sz="4" w:space="0" w:color="auto"/>
              <w:right w:val="single" w:sz="4" w:space="0" w:color="auto"/>
            </w:tcBorders>
          </w:tcPr>
          <w:p w14:paraId="256AE261" w14:textId="0DC95D01"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4.2.4 Përgatitja, ofrimi dhe institucionalizimi i zhvillimit të kapaciteteve të kontabilistëve për të absorbuar reformat e kontabilitetit</w:t>
            </w:r>
          </w:p>
          <w:p w14:paraId="107B7B5B"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hideMark/>
          </w:tcPr>
          <w:p w14:paraId="6C381CE9" w14:textId="03EFD37F"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Zhvillimi i një plani gjithëpërfshirës të zhvillimit të kapaciteteve, duke përfshirë mekanizmat për ZHPV dhe certifikimin e kontabilistëve të sektorit publik</w:t>
            </w:r>
          </w:p>
        </w:tc>
        <w:tc>
          <w:tcPr>
            <w:tcW w:w="318" w:type="pct"/>
            <w:tcBorders>
              <w:top w:val="single" w:sz="4" w:space="0" w:color="auto"/>
              <w:left w:val="single" w:sz="4" w:space="0" w:color="auto"/>
              <w:bottom w:val="single" w:sz="4" w:space="0" w:color="auto"/>
              <w:right w:val="single" w:sz="4" w:space="0" w:color="auto"/>
            </w:tcBorders>
            <w:vAlign w:val="center"/>
            <w:hideMark/>
          </w:tcPr>
          <w:p w14:paraId="3FBA021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5DEF187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val="restart"/>
            <w:tcBorders>
              <w:top w:val="single" w:sz="4" w:space="0" w:color="auto"/>
              <w:left w:val="single" w:sz="4" w:space="0" w:color="auto"/>
              <w:right w:val="single" w:sz="4" w:space="0" w:color="auto"/>
            </w:tcBorders>
          </w:tcPr>
          <w:p w14:paraId="388ADE48"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427E4174"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DHMFKK (lider), DPTH</w:t>
            </w:r>
          </w:p>
          <w:p w14:paraId="00A1DC0E" w14:textId="77777777" w:rsidR="004719D2" w:rsidRPr="004A47DC" w:rsidRDefault="004719D2" w:rsidP="00CF7CEC">
            <w:pPr>
              <w:rPr>
                <w:rFonts w:ascii="Garamond" w:hAnsi="Garamond"/>
                <w:color w:val="000000" w:themeColor="text1"/>
                <w:sz w:val="16"/>
                <w:szCs w:val="16"/>
                <w:lang w:val="sq-AL"/>
              </w:rPr>
            </w:pPr>
          </w:p>
          <w:p w14:paraId="5C83C18D"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45A52E77"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 SECO</w:t>
            </w:r>
          </w:p>
        </w:tc>
      </w:tr>
      <w:tr w:rsidR="004719D2" w:rsidRPr="004A47DC" w14:paraId="5F8B0E01" w14:textId="77777777" w:rsidTr="00D73B52">
        <w:trPr>
          <w:trHeight w:val="20"/>
        </w:trPr>
        <w:tc>
          <w:tcPr>
            <w:tcW w:w="1508" w:type="pct"/>
            <w:vMerge/>
            <w:tcBorders>
              <w:left w:val="single" w:sz="4" w:space="0" w:color="auto"/>
              <w:right w:val="single" w:sz="4" w:space="0" w:color="auto"/>
            </w:tcBorders>
            <w:vAlign w:val="center"/>
            <w:hideMark/>
          </w:tcPr>
          <w:p w14:paraId="791DBAF4"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hideMark/>
          </w:tcPr>
          <w:p w14:paraId="049A29E4" w14:textId="741C4055"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Përgatitja dhe ofrimi i trajnimeve dhe mbështetjes në punë për të gjithë kontabilistët e sektorit publik sipas planit.</w:t>
            </w:r>
          </w:p>
        </w:tc>
        <w:tc>
          <w:tcPr>
            <w:tcW w:w="318" w:type="pct"/>
            <w:tcBorders>
              <w:top w:val="single" w:sz="4" w:space="0" w:color="auto"/>
              <w:left w:val="single" w:sz="4" w:space="0" w:color="auto"/>
              <w:bottom w:val="single" w:sz="4" w:space="0" w:color="auto"/>
              <w:right w:val="single" w:sz="4" w:space="0" w:color="auto"/>
            </w:tcBorders>
            <w:vAlign w:val="center"/>
            <w:hideMark/>
          </w:tcPr>
          <w:p w14:paraId="2945BE1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390" w:type="pct"/>
            <w:tcBorders>
              <w:top w:val="single" w:sz="4" w:space="0" w:color="auto"/>
              <w:left w:val="single" w:sz="4" w:space="0" w:color="auto"/>
              <w:bottom w:val="single" w:sz="4" w:space="0" w:color="auto"/>
              <w:right w:val="single" w:sz="4" w:space="0" w:color="auto"/>
            </w:tcBorders>
            <w:vAlign w:val="center"/>
            <w:hideMark/>
          </w:tcPr>
          <w:p w14:paraId="7399220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left w:val="single" w:sz="4" w:space="0" w:color="auto"/>
              <w:right w:val="single" w:sz="4" w:space="0" w:color="auto"/>
            </w:tcBorders>
            <w:vAlign w:val="center"/>
            <w:hideMark/>
          </w:tcPr>
          <w:p w14:paraId="54BC86C5" w14:textId="77777777" w:rsidR="004719D2" w:rsidRPr="004A47DC" w:rsidRDefault="004719D2" w:rsidP="00CF7CEC">
            <w:pPr>
              <w:rPr>
                <w:rFonts w:ascii="Garamond" w:hAnsi="Garamond"/>
                <w:color w:val="000000" w:themeColor="text1"/>
                <w:sz w:val="16"/>
                <w:szCs w:val="16"/>
                <w:lang w:val="sq-AL"/>
              </w:rPr>
            </w:pPr>
          </w:p>
        </w:tc>
      </w:tr>
      <w:tr w:rsidR="004719D2" w:rsidRPr="004A47DC" w14:paraId="1C8C92BC" w14:textId="77777777" w:rsidTr="00D73B52">
        <w:trPr>
          <w:trHeight w:val="20"/>
        </w:trPr>
        <w:tc>
          <w:tcPr>
            <w:tcW w:w="1508" w:type="pct"/>
            <w:vMerge/>
            <w:tcBorders>
              <w:left w:val="single" w:sz="4" w:space="0" w:color="auto"/>
              <w:bottom w:val="single" w:sz="4" w:space="0" w:color="auto"/>
              <w:right w:val="single" w:sz="4" w:space="0" w:color="auto"/>
            </w:tcBorders>
            <w:vAlign w:val="center"/>
          </w:tcPr>
          <w:p w14:paraId="74A51F6A" w14:textId="77777777" w:rsidR="004719D2" w:rsidRPr="004A47DC" w:rsidRDefault="004719D2" w:rsidP="00CF7CEC">
            <w:pPr>
              <w:rPr>
                <w:rFonts w:ascii="Garamond" w:hAnsi="Garamond"/>
                <w:b/>
                <w:bCs/>
                <w:color w:val="000000" w:themeColor="text1"/>
                <w:sz w:val="16"/>
                <w:szCs w:val="16"/>
                <w:lang w:val="sq-AL"/>
              </w:rPr>
            </w:pPr>
          </w:p>
        </w:tc>
        <w:tc>
          <w:tcPr>
            <w:tcW w:w="2195" w:type="pct"/>
            <w:tcBorders>
              <w:top w:val="single" w:sz="4" w:space="0" w:color="auto"/>
              <w:left w:val="single" w:sz="4" w:space="0" w:color="auto"/>
              <w:bottom w:val="single" w:sz="4" w:space="0" w:color="auto"/>
              <w:right w:val="single" w:sz="4" w:space="0" w:color="auto"/>
            </w:tcBorders>
          </w:tcPr>
          <w:p w14:paraId="7DB32AA7" w14:textId="01019F3F"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Riorganizimi i degëve të thesarit</w:t>
            </w:r>
            <w:r w:rsidR="00D73B52">
              <w:rPr>
                <w:rFonts w:ascii="Garamond" w:hAnsi="Garamond"/>
                <w:sz w:val="16"/>
                <w:szCs w:val="16"/>
                <w:lang w:val="sq-AL"/>
              </w:rPr>
              <w:t>,</w:t>
            </w:r>
            <w:r w:rsidR="004719D2" w:rsidRPr="004A47DC">
              <w:rPr>
                <w:rFonts w:ascii="Garamond" w:hAnsi="Garamond"/>
                <w:sz w:val="16"/>
                <w:szCs w:val="16"/>
                <w:lang w:val="sq-AL"/>
              </w:rPr>
              <w:t xml:space="preserve"> si dhe i strukturës përgjegjëse për metodologjinë e kontabilitetit të sektorit publik, bazuar në praktikat më të mira ndërkombëtare dhe duke mbështetur zbatimin e kontabilitetit në bazë të drejtash dhe detyrimesh të konstatuara</w:t>
            </w:r>
          </w:p>
        </w:tc>
        <w:tc>
          <w:tcPr>
            <w:tcW w:w="318" w:type="pct"/>
            <w:tcBorders>
              <w:top w:val="single" w:sz="4" w:space="0" w:color="auto"/>
              <w:left w:val="single" w:sz="4" w:space="0" w:color="auto"/>
              <w:bottom w:val="single" w:sz="4" w:space="0" w:color="auto"/>
              <w:right w:val="single" w:sz="4" w:space="0" w:color="auto"/>
            </w:tcBorders>
            <w:vAlign w:val="center"/>
          </w:tcPr>
          <w:p w14:paraId="5D78405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T3 2024</w:t>
            </w:r>
          </w:p>
        </w:tc>
        <w:tc>
          <w:tcPr>
            <w:tcW w:w="390" w:type="pct"/>
            <w:tcBorders>
              <w:top w:val="single" w:sz="4" w:space="0" w:color="auto"/>
              <w:left w:val="single" w:sz="4" w:space="0" w:color="auto"/>
              <w:bottom w:val="single" w:sz="4" w:space="0" w:color="auto"/>
              <w:right w:val="single" w:sz="4" w:space="0" w:color="auto"/>
            </w:tcBorders>
            <w:vAlign w:val="center"/>
          </w:tcPr>
          <w:p w14:paraId="6948B38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589" w:type="pct"/>
            <w:vMerge/>
            <w:tcBorders>
              <w:left w:val="single" w:sz="4" w:space="0" w:color="auto"/>
              <w:bottom w:val="single" w:sz="4" w:space="0" w:color="auto"/>
              <w:right w:val="single" w:sz="4" w:space="0" w:color="auto"/>
            </w:tcBorders>
            <w:vAlign w:val="center"/>
          </w:tcPr>
          <w:p w14:paraId="251B1F4D" w14:textId="77777777" w:rsidR="004719D2" w:rsidRPr="004A47DC" w:rsidRDefault="004719D2" w:rsidP="00CF7CEC">
            <w:pPr>
              <w:rPr>
                <w:rFonts w:ascii="Garamond" w:hAnsi="Garamond"/>
                <w:color w:val="000000" w:themeColor="text1"/>
                <w:sz w:val="16"/>
                <w:szCs w:val="16"/>
                <w:lang w:val="sq-AL"/>
              </w:rPr>
            </w:pPr>
          </w:p>
        </w:tc>
      </w:tr>
    </w:tbl>
    <w:p w14:paraId="57E5EDE4" w14:textId="77777777" w:rsidR="004719D2" w:rsidRPr="004A47DC" w:rsidRDefault="004719D2" w:rsidP="004719D2">
      <w:pPr>
        <w:rPr>
          <w:rFonts w:ascii="Garamond" w:hAnsi="Garamond"/>
          <w:color w:val="000000" w:themeColor="text1"/>
          <w:szCs w:val="20"/>
        </w:rPr>
      </w:pPr>
    </w:p>
    <w:p w14:paraId="2AE43B7D"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Treguesit e performancës dhe vlerat e synuara</w:t>
      </w:r>
    </w:p>
    <w:tbl>
      <w:tblPr>
        <w:tblStyle w:val="TableGridIDEA1"/>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4D6F292A" w14:textId="77777777" w:rsidTr="006D20A2">
        <w:trPr>
          <w:cantSplit/>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CB0753"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4B79E" w14:textId="11C16E1D"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 xml:space="preserve">Vlera </w:t>
            </w:r>
            <w:r w:rsidR="006D20A2" w:rsidRPr="004A47DC">
              <w:rPr>
                <w:rFonts w:ascii="Garamond" w:hAnsi="Garamond"/>
                <w:b/>
                <w:sz w:val="16"/>
                <w:szCs w:val="16"/>
                <w:lang w:val="sq-AL"/>
              </w:rPr>
              <w:t>b</w:t>
            </w:r>
            <w:r w:rsidRPr="004A47DC">
              <w:rPr>
                <w:rFonts w:ascii="Garamond" w:hAnsi="Garamond"/>
                <w:b/>
                <w:sz w:val="16"/>
                <w:szCs w:val="16"/>
                <w:lang w:val="sq-AL"/>
              </w:rPr>
              <w:t>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6518A3"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Vlera e Synuar</w:t>
            </w:r>
          </w:p>
        </w:tc>
      </w:tr>
      <w:tr w:rsidR="004719D2" w:rsidRPr="004A47DC" w14:paraId="7D3ECA7D" w14:textId="77777777" w:rsidTr="006D20A2">
        <w:trPr>
          <w:cantSplit/>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3C8B0527" w14:textId="77777777" w:rsidR="004719D2" w:rsidRPr="004A47DC" w:rsidRDefault="004719D2" w:rsidP="006D20A2">
            <w:pPr>
              <w:jc w:val="center"/>
              <w:rPr>
                <w:rFonts w:ascii="Garamond" w:hAnsi="Garamond"/>
                <w:b/>
                <w:sz w:val="16"/>
                <w:szCs w:val="16"/>
                <w:lang w:val="sq-AL"/>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3C517B4A" w14:textId="77777777" w:rsidR="004719D2" w:rsidRPr="004A47DC" w:rsidRDefault="004719D2" w:rsidP="006D20A2">
            <w:pPr>
              <w:jc w:val="center"/>
              <w:rPr>
                <w:rFonts w:ascii="Garamond" w:hAnsi="Garamond"/>
                <w:b/>
                <w:sz w:val="16"/>
                <w:szCs w:val="16"/>
                <w:lang w:val="sq-AL"/>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F3A2B9"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B648B5"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1015C0"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1F6A54" w14:textId="77777777" w:rsidR="004719D2" w:rsidRPr="004A47DC" w:rsidRDefault="004719D2" w:rsidP="006D20A2">
            <w:pPr>
              <w:jc w:val="center"/>
              <w:rPr>
                <w:rFonts w:ascii="Garamond" w:hAnsi="Garamond"/>
                <w:b/>
                <w:sz w:val="16"/>
                <w:szCs w:val="16"/>
                <w:lang w:val="sq-AL"/>
              </w:rPr>
            </w:pPr>
            <w:r w:rsidRPr="004A47DC">
              <w:rPr>
                <w:rFonts w:ascii="Garamond" w:hAnsi="Garamond"/>
                <w:b/>
                <w:sz w:val="16"/>
                <w:szCs w:val="16"/>
                <w:lang w:val="sq-AL"/>
              </w:rPr>
              <w:t>2026</w:t>
            </w:r>
          </w:p>
        </w:tc>
      </w:tr>
      <w:tr w:rsidR="004719D2" w:rsidRPr="004A47DC" w14:paraId="33432E6D" w14:textId="77777777" w:rsidTr="006D20A2">
        <w:tc>
          <w:tcPr>
            <w:tcW w:w="1727" w:type="pct"/>
            <w:tcBorders>
              <w:top w:val="single" w:sz="4" w:space="0" w:color="auto"/>
              <w:left w:val="single" w:sz="4" w:space="0" w:color="auto"/>
              <w:bottom w:val="single" w:sz="4" w:space="0" w:color="auto"/>
              <w:right w:val="single" w:sz="4" w:space="0" w:color="auto"/>
            </w:tcBorders>
          </w:tcPr>
          <w:p w14:paraId="6CEB2388" w14:textId="706416DE"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Numri shtesë i Institucioneve Buxhetore që kanë akses në SIFQ dhe arkiv</w:t>
            </w:r>
            <w:r w:rsidR="006D20A2" w:rsidRPr="004A47DC">
              <w:rPr>
                <w:rFonts w:ascii="Garamond" w:hAnsi="Garamond"/>
                <w:sz w:val="16"/>
                <w:szCs w:val="16"/>
                <w:lang w:val="sq-AL"/>
              </w:rPr>
              <w:t>in</w:t>
            </w:r>
            <w:r w:rsidR="004719D2" w:rsidRPr="004A47DC">
              <w:rPr>
                <w:rFonts w:ascii="Garamond" w:hAnsi="Garamond"/>
                <w:sz w:val="16"/>
                <w:szCs w:val="16"/>
                <w:lang w:val="sq-AL"/>
              </w:rPr>
              <w:t xml:space="preserve"> elektronik (AE).</w:t>
            </w:r>
          </w:p>
        </w:tc>
        <w:tc>
          <w:tcPr>
            <w:tcW w:w="654" w:type="pct"/>
            <w:tcBorders>
              <w:top w:val="single" w:sz="4" w:space="0" w:color="auto"/>
              <w:left w:val="single" w:sz="4" w:space="0" w:color="auto"/>
              <w:bottom w:val="single" w:sz="4" w:space="0" w:color="auto"/>
              <w:right w:val="single" w:sz="4" w:space="0" w:color="auto"/>
            </w:tcBorders>
            <w:vAlign w:val="center"/>
          </w:tcPr>
          <w:p w14:paraId="13BEF7A5"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202F2353" w14:textId="24F6506D" w:rsidR="004719D2" w:rsidRPr="004A47DC" w:rsidRDefault="004719D2" w:rsidP="009B1779">
            <w:pPr>
              <w:rPr>
                <w:rFonts w:ascii="Garamond" w:hAnsi="Garamond"/>
                <w:sz w:val="16"/>
                <w:szCs w:val="16"/>
                <w:lang w:val="sq-AL"/>
              </w:rPr>
            </w:pPr>
            <w:r w:rsidRPr="004A47DC">
              <w:rPr>
                <w:rFonts w:ascii="Garamond" w:hAnsi="Garamond"/>
                <w:sz w:val="16"/>
                <w:szCs w:val="16"/>
                <w:lang w:val="sq-AL"/>
              </w:rPr>
              <w:t>5 në SIFQ,</w:t>
            </w:r>
            <w:r w:rsidR="00B2411C" w:rsidRPr="004A47DC">
              <w:rPr>
                <w:rFonts w:ascii="Garamond" w:hAnsi="Garamond"/>
                <w:sz w:val="16"/>
                <w:szCs w:val="16"/>
                <w:lang w:val="sq-AL"/>
              </w:rPr>
              <w:t xml:space="preserve"> </w:t>
            </w:r>
          </w:p>
          <w:p w14:paraId="4B6AEB56"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300 në AE</w:t>
            </w:r>
          </w:p>
        </w:tc>
        <w:tc>
          <w:tcPr>
            <w:tcW w:w="654" w:type="pct"/>
            <w:tcBorders>
              <w:top w:val="single" w:sz="4" w:space="0" w:color="auto"/>
              <w:left w:val="single" w:sz="4" w:space="0" w:color="auto"/>
              <w:bottom w:val="single" w:sz="4" w:space="0" w:color="auto"/>
              <w:right w:val="single" w:sz="4" w:space="0" w:color="auto"/>
            </w:tcBorders>
            <w:vAlign w:val="center"/>
          </w:tcPr>
          <w:p w14:paraId="5FD32752"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86 në AE</w:t>
            </w:r>
          </w:p>
        </w:tc>
        <w:tc>
          <w:tcPr>
            <w:tcW w:w="655" w:type="pct"/>
            <w:tcBorders>
              <w:top w:val="single" w:sz="4" w:space="0" w:color="auto"/>
              <w:left w:val="single" w:sz="4" w:space="0" w:color="auto"/>
              <w:bottom w:val="single" w:sz="4" w:space="0" w:color="auto"/>
              <w:right w:val="single" w:sz="4" w:space="0" w:color="auto"/>
            </w:tcBorders>
            <w:vAlign w:val="center"/>
          </w:tcPr>
          <w:p w14:paraId="42984FE7"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683E25F6"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r>
      <w:tr w:rsidR="004719D2" w:rsidRPr="004A47DC" w14:paraId="27029F77" w14:textId="77777777" w:rsidTr="006D20A2">
        <w:tc>
          <w:tcPr>
            <w:tcW w:w="1727" w:type="pct"/>
            <w:tcBorders>
              <w:top w:val="single" w:sz="4" w:space="0" w:color="auto"/>
              <w:left w:val="single" w:sz="4" w:space="0" w:color="auto"/>
              <w:bottom w:val="single" w:sz="4" w:space="0" w:color="auto"/>
              <w:right w:val="single" w:sz="4" w:space="0" w:color="auto"/>
            </w:tcBorders>
          </w:tcPr>
          <w:p w14:paraId="3358E031" w14:textId="6A92DCFC"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Prodhimi i kuadrit rregullator ligjor dhe nënligjor bazuar në SNKSP sipas planit.</w:t>
            </w:r>
          </w:p>
        </w:tc>
        <w:tc>
          <w:tcPr>
            <w:tcW w:w="654" w:type="pct"/>
            <w:tcBorders>
              <w:top w:val="single" w:sz="4" w:space="0" w:color="auto"/>
              <w:left w:val="single" w:sz="4" w:space="0" w:color="auto"/>
              <w:bottom w:val="single" w:sz="4" w:space="0" w:color="auto"/>
              <w:right w:val="single" w:sz="4" w:space="0" w:color="auto"/>
            </w:tcBorders>
            <w:vAlign w:val="center"/>
          </w:tcPr>
          <w:p w14:paraId="739D9469"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7F536D76" w14:textId="2E032D31" w:rsidR="004719D2" w:rsidRPr="004A47DC" w:rsidRDefault="004719D2" w:rsidP="009B1779">
            <w:pPr>
              <w:rPr>
                <w:rFonts w:ascii="Garamond" w:hAnsi="Garamond"/>
                <w:sz w:val="16"/>
                <w:szCs w:val="16"/>
                <w:lang w:val="sq-AL"/>
              </w:rPr>
            </w:pPr>
            <w:r w:rsidRPr="004A47DC">
              <w:rPr>
                <w:rFonts w:ascii="Garamond" w:hAnsi="Garamond"/>
                <w:sz w:val="16"/>
                <w:szCs w:val="16"/>
                <w:lang w:val="sq-AL"/>
              </w:rPr>
              <w:t xml:space="preserve">Përgatitja e </w:t>
            </w:r>
            <w:r w:rsidR="00D73B52" w:rsidRPr="004A47DC">
              <w:rPr>
                <w:rFonts w:ascii="Garamond" w:hAnsi="Garamond"/>
                <w:sz w:val="16"/>
                <w:szCs w:val="16"/>
                <w:lang w:val="sq-AL"/>
              </w:rPr>
              <w:t>dokumentit konce</w:t>
            </w:r>
            <w:r w:rsidRPr="004A47DC">
              <w:rPr>
                <w:rFonts w:ascii="Garamond" w:hAnsi="Garamond"/>
                <w:sz w:val="16"/>
                <w:szCs w:val="16"/>
                <w:lang w:val="sq-AL"/>
              </w:rPr>
              <w:t>ptual</w:t>
            </w:r>
          </w:p>
        </w:tc>
        <w:tc>
          <w:tcPr>
            <w:tcW w:w="654" w:type="pct"/>
            <w:tcBorders>
              <w:top w:val="single" w:sz="4" w:space="0" w:color="auto"/>
              <w:left w:val="single" w:sz="4" w:space="0" w:color="auto"/>
              <w:bottom w:val="single" w:sz="4" w:space="0" w:color="auto"/>
              <w:right w:val="single" w:sz="4" w:space="0" w:color="auto"/>
            </w:tcBorders>
            <w:vAlign w:val="center"/>
          </w:tcPr>
          <w:p w14:paraId="3E9B48AB"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663FAB40"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Kuadri ligjor i hartuar</w:t>
            </w:r>
          </w:p>
        </w:tc>
        <w:tc>
          <w:tcPr>
            <w:tcW w:w="655" w:type="pct"/>
            <w:tcBorders>
              <w:top w:val="single" w:sz="4" w:space="0" w:color="auto"/>
              <w:left w:val="single" w:sz="4" w:space="0" w:color="auto"/>
              <w:bottom w:val="single" w:sz="4" w:space="0" w:color="auto"/>
              <w:right w:val="single" w:sz="4" w:space="0" w:color="auto"/>
            </w:tcBorders>
            <w:vAlign w:val="center"/>
          </w:tcPr>
          <w:p w14:paraId="33999C01"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Kuadri ligjor i miratuar</w:t>
            </w:r>
          </w:p>
        </w:tc>
      </w:tr>
      <w:tr w:rsidR="004719D2" w:rsidRPr="004A47DC" w14:paraId="75E384BE" w14:textId="77777777" w:rsidTr="006D20A2">
        <w:tc>
          <w:tcPr>
            <w:tcW w:w="1727" w:type="pct"/>
            <w:tcBorders>
              <w:top w:val="single" w:sz="4" w:space="0" w:color="auto"/>
              <w:left w:val="single" w:sz="4" w:space="0" w:color="auto"/>
              <w:bottom w:val="single" w:sz="4" w:space="0" w:color="auto"/>
              <w:right w:val="single" w:sz="4" w:space="0" w:color="auto"/>
            </w:tcBorders>
          </w:tcPr>
          <w:p w14:paraId="2AAC6E8D" w14:textId="43F0B366" w:rsidR="004719D2" w:rsidRPr="004A47DC" w:rsidDel="00CF2208" w:rsidRDefault="009B1779" w:rsidP="009B1779">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Përgatitja e bilanceve të hapjes dhe zbatimi i kuadrit të ri kontabël</w:t>
            </w:r>
          </w:p>
        </w:tc>
        <w:tc>
          <w:tcPr>
            <w:tcW w:w="654" w:type="pct"/>
            <w:tcBorders>
              <w:top w:val="single" w:sz="4" w:space="0" w:color="auto"/>
              <w:left w:val="single" w:sz="4" w:space="0" w:color="auto"/>
              <w:bottom w:val="single" w:sz="4" w:space="0" w:color="auto"/>
              <w:right w:val="single" w:sz="4" w:space="0" w:color="auto"/>
            </w:tcBorders>
            <w:vAlign w:val="center"/>
          </w:tcPr>
          <w:p w14:paraId="3419D44A" w14:textId="77777777" w:rsidR="004719D2" w:rsidRPr="004A47DC" w:rsidDel="00CF2208"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DF1F625" w14:textId="77777777" w:rsidR="004719D2" w:rsidRPr="004A47DC" w:rsidDel="00CF2208" w:rsidRDefault="004719D2" w:rsidP="009B1779">
            <w:pPr>
              <w:rPr>
                <w:rFonts w:ascii="Garamond" w:hAnsi="Garamond"/>
                <w:sz w:val="16"/>
                <w:szCs w:val="16"/>
                <w:lang w:val="sq-AL"/>
              </w:rPr>
            </w:pPr>
          </w:p>
        </w:tc>
        <w:tc>
          <w:tcPr>
            <w:tcW w:w="654" w:type="pct"/>
            <w:tcBorders>
              <w:top w:val="single" w:sz="4" w:space="0" w:color="auto"/>
              <w:left w:val="single" w:sz="4" w:space="0" w:color="auto"/>
              <w:bottom w:val="single" w:sz="4" w:space="0" w:color="auto"/>
              <w:right w:val="single" w:sz="4" w:space="0" w:color="auto"/>
            </w:tcBorders>
            <w:vAlign w:val="center"/>
          </w:tcPr>
          <w:p w14:paraId="267CCC6C" w14:textId="77777777" w:rsidR="004719D2" w:rsidRPr="004A47DC" w:rsidDel="00CF2208" w:rsidRDefault="004719D2" w:rsidP="009B1779">
            <w:pPr>
              <w:rPr>
                <w:rFonts w:ascii="Garamond" w:hAnsi="Garamond"/>
                <w:sz w:val="16"/>
                <w:szCs w:val="16"/>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1CBB230E" w14:textId="77777777" w:rsidR="004719D2" w:rsidRPr="004A47DC" w:rsidDel="00CF2208" w:rsidRDefault="004719D2" w:rsidP="009B1779">
            <w:pPr>
              <w:rPr>
                <w:rFonts w:ascii="Garamond" w:hAnsi="Garamond"/>
                <w:sz w:val="16"/>
                <w:szCs w:val="16"/>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523C7F11" w14:textId="77777777" w:rsidR="004719D2" w:rsidRPr="004A47DC" w:rsidDel="00CF2208" w:rsidRDefault="004719D2" w:rsidP="009B1779">
            <w:pPr>
              <w:rPr>
                <w:rFonts w:ascii="Garamond" w:hAnsi="Garamond"/>
                <w:sz w:val="16"/>
                <w:szCs w:val="16"/>
                <w:lang w:val="sq-AL"/>
              </w:rPr>
            </w:pPr>
            <w:r w:rsidRPr="004A47DC">
              <w:rPr>
                <w:rFonts w:ascii="Garamond" w:hAnsi="Garamond"/>
                <w:sz w:val="16"/>
                <w:szCs w:val="16"/>
                <w:lang w:val="sq-AL"/>
              </w:rPr>
              <w:t>I finalizuar</w:t>
            </w:r>
          </w:p>
        </w:tc>
      </w:tr>
      <w:tr w:rsidR="004719D2" w:rsidRPr="004A47DC" w14:paraId="74CB6905" w14:textId="77777777" w:rsidTr="006D20A2">
        <w:tc>
          <w:tcPr>
            <w:tcW w:w="1727" w:type="pct"/>
            <w:tcBorders>
              <w:top w:val="single" w:sz="4" w:space="0" w:color="auto"/>
              <w:left w:val="single" w:sz="4" w:space="0" w:color="auto"/>
              <w:bottom w:val="single" w:sz="4" w:space="0" w:color="auto"/>
              <w:right w:val="single" w:sz="4" w:space="0" w:color="auto"/>
            </w:tcBorders>
          </w:tcPr>
          <w:p w14:paraId="3468577F" w14:textId="6ACE0187" w:rsidR="004719D2" w:rsidRPr="004A47DC" w:rsidRDefault="009B1779" w:rsidP="009B1779">
            <w:pPr>
              <w:rPr>
                <w:rFonts w:ascii="Garamond" w:hAnsi="Garamond"/>
                <w:sz w:val="16"/>
                <w:szCs w:val="16"/>
                <w:lang w:val="sq-AL"/>
              </w:rPr>
            </w:pPr>
            <w:r w:rsidRPr="004A47DC">
              <w:rPr>
                <w:rFonts w:ascii="Garamond" w:hAnsi="Garamond"/>
                <w:sz w:val="16"/>
                <w:szCs w:val="16"/>
                <w:lang w:val="sq-AL"/>
              </w:rPr>
              <w:t xml:space="preserve">4. </w:t>
            </w:r>
            <w:r w:rsidR="004719D2" w:rsidRPr="004A47DC">
              <w:rPr>
                <w:rFonts w:ascii="Garamond" w:hAnsi="Garamond"/>
                <w:sz w:val="16"/>
                <w:szCs w:val="16"/>
                <w:lang w:val="sq-AL"/>
              </w:rPr>
              <w:t>Përqindja e kontabilistëve të qeverisë që kanë përfunduar trajnimin SNKSP</w:t>
            </w:r>
          </w:p>
        </w:tc>
        <w:tc>
          <w:tcPr>
            <w:tcW w:w="654" w:type="pct"/>
            <w:tcBorders>
              <w:top w:val="single" w:sz="4" w:space="0" w:color="auto"/>
              <w:left w:val="single" w:sz="4" w:space="0" w:color="auto"/>
              <w:bottom w:val="single" w:sz="4" w:space="0" w:color="auto"/>
              <w:right w:val="single" w:sz="4" w:space="0" w:color="auto"/>
            </w:tcBorders>
            <w:vAlign w:val="center"/>
          </w:tcPr>
          <w:p w14:paraId="21F18153"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48FB0CFE"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40%</w:t>
            </w:r>
          </w:p>
        </w:tc>
        <w:tc>
          <w:tcPr>
            <w:tcW w:w="654" w:type="pct"/>
            <w:tcBorders>
              <w:top w:val="single" w:sz="4" w:space="0" w:color="auto"/>
              <w:left w:val="single" w:sz="4" w:space="0" w:color="auto"/>
              <w:bottom w:val="single" w:sz="4" w:space="0" w:color="auto"/>
              <w:right w:val="single" w:sz="4" w:space="0" w:color="auto"/>
            </w:tcBorders>
            <w:vAlign w:val="center"/>
          </w:tcPr>
          <w:p w14:paraId="622E3CD2"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60%</w:t>
            </w:r>
          </w:p>
        </w:tc>
        <w:tc>
          <w:tcPr>
            <w:tcW w:w="655" w:type="pct"/>
            <w:tcBorders>
              <w:top w:val="single" w:sz="4" w:space="0" w:color="auto"/>
              <w:left w:val="single" w:sz="4" w:space="0" w:color="auto"/>
              <w:bottom w:val="single" w:sz="4" w:space="0" w:color="auto"/>
              <w:right w:val="single" w:sz="4" w:space="0" w:color="auto"/>
            </w:tcBorders>
            <w:vAlign w:val="center"/>
          </w:tcPr>
          <w:p w14:paraId="22E0283F"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80%</w:t>
            </w:r>
          </w:p>
        </w:tc>
        <w:tc>
          <w:tcPr>
            <w:tcW w:w="655" w:type="pct"/>
            <w:tcBorders>
              <w:top w:val="single" w:sz="4" w:space="0" w:color="auto"/>
              <w:left w:val="single" w:sz="4" w:space="0" w:color="auto"/>
              <w:bottom w:val="single" w:sz="4" w:space="0" w:color="auto"/>
              <w:right w:val="single" w:sz="4" w:space="0" w:color="auto"/>
            </w:tcBorders>
            <w:vAlign w:val="center"/>
          </w:tcPr>
          <w:p w14:paraId="0C74B834" w14:textId="77777777" w:rsidR="004719D2" w:rsidRPr="004A47DC" w:rsidRDefault="004719D2" w:rsidP="009B1779">
            <w:pPr>
              <w:rPr>
                <w:rFonts w:ascii="Garamond" w:hAnsi="Garamond"/>
                <w:sz w:val="16"/>
                <w:szCs w:val="16"/>
                <w:lang w:val="sq-AL"/>
              </w:rPr>
            </w:pPr>
            <w:r w:rsidRPr="004A47DC">
              <w:rPr>
                <w:rFonts w:ascii="Garamond" w:hAnsi="Garamond"/>
                <w:sz w:val="16"/>
                <w:szCs w:val="16"/>
                <w:lang w:val="sq-AL"/>
              </w:rPr>
              <w:t>100%</w:t>
            </w:r>
          </w:p>
        </w:tc>
      </w:tr>
    </w:tbl>
    <w:p w14:paraId="3A88E59E" w14:textId="77777777" w:rsidR="004719D2" w:rsidRPr="004A47DC" w:rsidRDefault="004719D2" w:rsidP="00962437">
      <w:pPr>
        <w:pStyle w:val="TEKSTIII"/>
      </w:pPr>
    </w:p>
    <w:p w14:paraId="46563DCC" w14:textId="40CA5048" w:rsidR="004719D2" w:rsidRPr="004A47DC" w:rsidRDefault="00962437" w:rsidP="00962437">
      <w:pPr>
        <w:pStyle w:val="TEKSTIII"/>
        <w:rPr>
          <w:rFonts w:eastAsiaTheme="minorHAnsi"/>
          <w:b/>
        </w:rPr>
      </w:pPr>
      <w:bookmarkStart w:id="31" w:name="_Toc168918692"/>
      <w:r w:rsidRPr="004A47DC">
        <w:rPr>
          <w:rFonts w:eastAsiaTheme="minorHAnsi"/>
          <w:b/>
        </w:rPr>
        <w:t xml:space="preserve">5.4 </w:t>
      </w:r>
      <w:r w:rsidR="004719D2" w:rsidRPr="004A47DC">
        <w:rPr>
          <w:rFonts w:eastAsiaTheme="minorHAnsi"/>
          <w:b/>
        </w:rPr>
        <w:t>Komponenti 4.3</w:t>
      </w:r>
      <w:r w:rsidR="006D20A2" w:rsidRPr="004A47DC">
        <w:rPr>
          <w:rFonts w:eastAsiaTheme="minorHAnsi"/>
          <w:b/>
        </w:rPr>
        <w:t>:</w:t>
      </w:r>
      <w:r w:rsidR="004719D2" w:rsidRPr="004A47DC">
        <w:rPr>
          <w:rFonts w:eastAsiaTheme="minorHAnsi"/>
          <w:b/>
        </w:rPr>
        <w:t xml:space="preserve"> Prokurimi </w:t>
      </w:r>
      <w:r w:rsidR="006D20A2" w:rsidRPr="004A47DC">
        <w:rPr>
          <w:rFonts w:eastAsiaTheme="minorHAnsi"/>
          <w:b/>
        </w:rPr>
        <w:t>p</w:t>
      </w:r>
      <w:r w:rsidR="004719D2" w:rsidRPr="004A47DC">
        <w:rPr>
          <w:rFonts w:eastAsiaTheme="minorHAnsi"/>
          <w:b/>
        </w:rPr>
        <w:t>ublik</w:t>
      </w:r>
      <w:bookmarkEnd w:id="31"/>
    </w:p>
    <w:p w14:paraId="51AF55EF" w14:textId="77777777" w:rsidR="004719D2" w:rsidRPr="004A47DC" w:rsidRDefault="004719D2" w:rsidP="00962437">
      <w:pPr>
        <w:pStyle w:val="TEKSTIII"/>
        <w:rPr>
          <w:b/>
          <w:bCs/>
          <w:i/>
        </w:rPr>
      </w:pPr>
      <w:r w:rsidRPr="004A47DC">
        <w:rPr>
          <w:b/>
          <w:bCs/>
        </w:rPr>
        <w:t>Objektivi</w:t>
      </w:r>
    </w:p>
    <w:p w14:paraId="4E809541" w14:textId="4AE97C1A" w:rsidR="004719D2" w:rsidRPr="004A47DC" w:rsidRDefault="004719D2" w:rsidP="00962437">
      <w:pPr>
        <w:pStyle w:val="TEKSTIII"/>
      </w:pPr>
      <w:r w:rsidRPr="004A47DC">
        <w:t xml:space="preserve">Synimi për vitin 2030 është </w:t>
      </w:r>
      <w:r w:rsidRPr="004A47DC">
        <w:rPr>
          <w:iCs/>
        </w:rPr>
        <w:t xml:space="preserve">garantimi i një sistemi </w:t>
      </w:r>
      <w:r w:rsidRPr="004A47DC">
        <w:t>eficient dhe të qëndrueshëm</w:t>
      </w:r>
      <w:r w:rsidR="00D73B52">
        <w:t>,</w:t>
      </w:r>
      <w:r w:rsidRPr="004A47DC">
        <w:t xml:space="preserve"> duke promovuar përmirësimin e tij drejt një qasjeje moderne dhe eficiente të bazuar në praktikat më të mira ndërkombëtare, në përputhje me parimet e transparencës, konkurrencës së lirë dhe të ndershme, mosdiskriminimit </w:t>
      </w:r>
      <w:r w:rsidRPr="004A47DC">
        <w:rPr>
          <w:iCs/>
        </w:rPr>
        <w:t xml:space="preserve">dhe trajtimit të barabartë, </w:t>
      </w:r>
      <w:r w:rsidRPr="004A47DC">
        <w:t>duke promovuar dhe nxitur një sistem të qëndrueshëm që garanton vlerën për para.</w:t>
      </w:r>
    </w:p>
    <w:p w14:paraId="08E9A95C" w14:textId="77777777" w:rsidR="004719D2" w:rsidRPr="004A47DC" w:rsidRDefault="004719D2" w:rsidP="00962437">
      <w:pPr>
        <w:pStyle w:val="TEKSTIII"/>
        <w:rPr>
          <w:b/>
          <w:bCs/>
        </w:rPr>
      </w:pPr>
      <w:r w:rsidRPr="004A47DC">
        <w:rPr>
          <w:b/>
          <w:bCs/>
        </w:rPr>
        <w:t xml:space="preserve">Konteksti </w:t>
      </w:r>
    </w:p>
    <w:p w14:paraId="0712DFE1" w14:textId="258D3CDA" w:rsidR="004719D2" w:rsidRPr="004A47DC" w:rsidRDefault="004719D2" w:rsidP="00962437">
      <w:pPr>
        <w:pStyle w:val="TEKSTIII"/>
        <w:rPr>
          <w:rFonts w:eastAsia="Times New Roman"/>
        </w:rPr>
      </w:pPr>
      <w:r w:rsidRPr="004A47DC">
        <w:rPr>
          <w:rFonts w:eastAsia="Times New Roman"/>
        </w:rPr>
        <w:t xml:space="preserve">Vitet e fundit, është bërë përparim domethënës në përafrimin e legjislacionit të prokurimit publik me direktivat e BE-së. Është miratuar </w:t>
      </w:r>
      <w:r w:rsidR="00D73B52" w:rsidRPr="004A47DC">
        <w:rPr>
          <w:rFonts w:eastAsia="Times New Roman"/>
        </w:rPr>
        <w:t xml:space="preserve">ligji për prokurimin publik </w:t>
      </w:r>
      <w:r w:rsidRPr="004A47DC">
        <w:rPr>
          <w:rStyle w:val="FootnoteReference"/>
          <w:rFonts w:ascii="Garamond" w:eastAsia="Times New Roman" w:hAnsi="Garamond"/>
          <w:color w:val="000000" w:themeColor="text1"/>
          <w:sz w:val="24"/>
          <w:szCs w:val="24"/>
        </w:rPr>
        <w:footnoteReference w:id="50"/>
      </w:r>
      <w:r w:rsidRPr="004A47DC">
        <w:rPr>
          <w:rFonts w:eastAsia="Times New Roman"/>
        </w:rPr>
        <w:t xml:space="preserve"> dhe janë miratuar një sërë aktesh nënligjore dhe rregulloresh, d</w:t>
      </w:r>
      <w:r w:rsidRPr="004A47DC">
        <w:rPr>
          <w:rFonts w:eastAsia="Times New Roman"/>
          <w:iCs/>
        </w:rPr>
        <w:t xml:space="preserve">uke përfshirë miratimin e rregullave të prokurimit publik, VKM për prokurimin e shërbimeve sociale dhe shërbimeve të tjera specifike, fjalorin e përbashkët të prokurimit etj. </w:t>
      </w:r>
      <w:r w:rsidRPr="004A47DC">
        <w:rPr>
          <w:rFonts w:eastAsia="Times New Roman"/>
        </w:rPr>
        <w:t>Sistemi i Prokurimit Elektronik ka ardhur duke u përmirësuar</w:t>
      </w:r>
      <w:r w:rsidRPr="004A47DC">
        <w:rPr>
          <w:rFonts w:eastAsia="Times New Roman"/>
          <w:iCs/>
        </w:rPr>
        <w:t>,</w:t>
      </w:r>
      <w:r w:rsidRPr="004A47DC">
        <w:rPr>
          <w:rFonts w:eastAsia="Times New Roman"/>
        </w:rPr>
        <w:t xml:space="preserve"> duke përfshirë realizimin e funksionaliteteve të reja në SPE për </w:t>
      </w:r>
      <w:r w:rsidR="00D70BDE" w:rsidRPr="004A47DC">
        <w:rPr>
          <w:rFonts w:eastAsia="Times New Roman"/>
        </w:rPr>
        <w:t>t</w:t>
      </w:r>
      <w:r w:rsidR="00CE6AE5" w:rsidRPr="004A47DC">
        <w:rPr>
          <w:rFonts w:eastAsia="Times New Roman"/>
        </w:rPr>
        <w:t>’</w:t>
      </w:r>
      <w:r w:rsidR="00D70BDE" w:rsidRPr="004A47DC">
        <w:rPr>
          <w:rFonts w:eastAsia="Times New Roman"/>
        </w:rPr>
        <w:t>u</w:t>
      </w:r>
      <w:r w:rsidR="00B2411C" w:rsidRPr="004A47DC">
        <w:rPr>
          <w:rFonts w:eastAsia="Times New Roman"/>
        </w:rPr>
        <w:t xml:space="preserve"> </w:t>
      </w:r>
      <w:r w:rsidRPr="004A47DC">
        <w:rPr>
          <w:rFonts w:eastAsia="Times New Roman"/>
        </w:rPr>
        <w:t>përafruar me ndryshimet e ligjit të ri. Një ndërfaqe ndërmjet SIFQ dhe SPE u krijua në vitin 2020, duke siguruar që autoritetet kontraktore të mund të verifikonin disponueshmërinë e fondeve përpara se të vazhdonin me procedurat e prokurimit.</w:t>
      </w:r>
    </w:p>
    <w:p w14:paraId="3B9B8D6A" w14:textId="4CB6685E" w:rsidR="004719D2" w:rsidRPr="004A47DC" w:rsidRDefault="004719D2" w:rsidP="00962437">
      <w:pPr>
        <w:pStyle w:val="TEKSTIII"/>
      </w:pPr>
      <w:r w:rsidRPr="004A47DC">
        <w:t>Agjencia Shqiptare e Prokurimit Publik (APP)</w:t>
      </w:r>
      <w:r w:rsidR="00D73B52">
        <w:t>,</w:t>
      </w:r>
      <w:r w:rsidRPr="004A47DC">
        <w:t xml:space="preserve"> në cilësinë e saj si rregullatore e prokurimit publik</w:t>
      </w:r>
      <w:r w:rsidR="00D73B52">
        <w:t>,</w:t>
      </w:r>
      <w:r w:rsidRPr="004A47DC">
        <w:t xml:space="preserve"> vazhdon të mbikëqyrë zbatimin e ligjit të ri të prokurimit publik. APP</w:t>
      </w:r>
      <w:r w:rsidR="00D73B52">
        <w:t>-ja</w:t>
      </w:r>
      <w:r w:rsidRPr="004A47DC">
        <w:t xml:space="preserve"> ka publikuar një udhërrëfyes</w:t>
      </w:r>
      <w:r w:rsidR="00D73B52">
        <w:t>,</w:t>
      </w:r>
      <w:r w:rsidRPr="004A47DC">
        <w:t xml:space="preserve"> në lidhje me përdorimin e prokurimit publik të gjelbër, duke përfshirë një metodologji për kriteret dhe specifikimet teknike përkatëse. Përdorimi i kritereve të gjelbra në prokurimin publik kërkon rritje të kapaciteteve dhe njohurive mbi konceptin e Prokurimit Publik të Gjelbër nga autoritetet kontraktore.</w:t>
      </w:r>
    </w:p>
    <w:p w14:paraId="0C714E41" w14:textId="3C37ED18" w:rsidR="004719D2" w:rsidRPr="004A47DC" w:rsidRDefault="004719D2" w:rsidP="00962437">
      <w:pPr>
        <w:pStyle w:val="TEKSTIII"/>
        <w:rPr>
          <w:rFonts w:eastAsia="Times New Roman"/>
        </w:rPr>
      </w:pPr>
      <w:r w:rsidRPr="004A47DC">
        <w:rPr>
          <w:rFonts w:eastAsia="Times New Roman"/>
        </w:rPr>
        <w:t>Komisioni Shqiptar i Prokurimit Publik (KPP)</w:t>
      </w:r>
      <w:r w:rsidRPr="004A47DC">
        <w:rPr>
          <w:rStyle w:val="FootnoteReference"/>
          <w:rFonts w:ascii="Garamond" w:eastAsia="Times New Roman" w:hAnsi="Garamond"/>
          <w:color w:val="000000" w:themeColor="text1"/>
          <w:sz w:val="24"/>
          <w:szCs w:val="24"/>
        </w:rPr>
        <w:footnoteReference w:id="51"/>
      </w:r>
      <w:r w:rsidRPr="004A47DC">
        <w:rPr>
          <w:rFonts w:eastAsia="Times New Roman"/>
        </w:rPr>
        <w:t xml:space="preserve"> ka forcuar pavarësinë e tij me zbatimin e ndryshimeve ligjore në vitin 2018. Një sistem elektronik i menaxhimit të ankesave për prokurimet publike u bë funksional që nga viti 2021. Të gjitha vendet vakante të planifikuara u plotësuan deri në fund të vitit 2022 dhe në të njëjtin vitin, KPP-ja përmirësoi efikasitetin e shqyrtimit të ankesave, si për sa i përket numrit të ankesave të trajtuara jashtë afatit, ashtu edhe për kohën e nevojshme për shqyrtimin e ankesave. KPP</w:t>
      </w:r>
      <w:r w:rsidR="00D73B52">
        <w:rPr>
          <w:rFonts w:eastAsia="Times New Roman"/>
        </w:rPr>
        <w:t>-ja</w:t>
      </w:r>
      <w:r w:rsidRPr="004A47DC">
        <w:rPr>
          <w:rFonts w:eastAsia="Times New Roman"/>
        </w:rPr>
        <w:t xml:space="preserve"> do të vazhdojë të mbajë fokusin në vendimmarrjen në kohë dhe efektive në procesin e shqyrtimit të ankesave, duke mbajtur në ekuilibër shpërndarjen e burimeve, ndryshimet rregullatore dhe përmirësimet teknologjike.</w:t>
      </w:r>
    </w:p>
    <w:p w14:paraId="641C53F1" w14:textId="77777777" w:rsidR="004719D2" w:rsidRPr="004A47DC" w:rsidRDefault="004719D2" w:rsidP="00962437">
      <w:pPr>
        <w:pStyle w:val="TEKSTIII"/>
        <w:rPr>
          <w:b/>
          <w:bCs/>
        </w:rPr>
      </w:pPr>
      <w:r w:rsidRPr="004A47DC">
        <w:rPr>
          <w:b/>
          <w:bCs/>
        </w:rPr>
        <w:t>Prioritetet</w:t>
      </w:r>
    </w:p>
    <w:p w14:paraId="2DCD2117" w14:textId="488F7527" w:rsidR="004719D2" w:rsidRPr="004A47DC" w:rsidRDefault="004719D2" w:rsidP="00962437">
      <w:pPr>
        <w:pStyle w:val="TEKSTIII"/>
      </w:pPr>
      <w:r w:rsidRPr="004A47DC">
        <w:t>Për periudhën 2023–2026</w:t>
      </w:r>
      <w:r w:rsidR="00D73B52">
        <w:t>,</w:t>
      </w:r>
      <w:r w:rsidRPr="004A47DC">
        <w:t xml:space="preserve"> prioritetet kryesore janë:</w:t>
      </w:r>
    </w:p>
    <w:p w14:paraId="317B2F58" w14:textId="670505D7" w:rsidR="004719D2" w:rsidRPr="004A47DC" w:rsidRDefault="00962437" w:rsidP="00962437">
      <w:pPr>
        <w:pStyle w:val="TEKSTIII"/>
        <w:rPr>
          <w:rStyle w:val="rynqvb"/>
          <w:rFonts w:eastAsia="Times New Roman"/>
          <w:color w:val="000000" w:themeColor="text1"/>
        </w:rPr>
      </w:pPr>
      <w:r w:rsidRPr="004A47DC">
        <w:rPr>
          <w:rStyle w:val="rynqvb"/>
          <w:color w:val="000000" w:themeColor="text1"/>
        </w:rPr>
        <w:t xml:space="preserve">- </w:t>
      </w:r>
      <w:r w:rsidR="004719D2" w:rsidRPr="004A47DC">
        <w:rPr>
          <w:rStyle w:val="rynqvb"/>
          <w:color w:val="000000" w:themeColor="text1"/>
        </w:rPr>
        <w:t>Të garantojë efikasitet dhe qëndrueshmëri në procedurat e PP</w:t>
      </w:r>
      <w:r w:rsidR="006D20A2" w:rsidRPr="004A47DC">
        <w:rPr>
          <w:rStyle w:val="rynqvb"/>
          <w:color w:val="000000" w:themeColor="text1"/>
        </w:rPr>
        <w:t>-së</w:t>
      </w:r>
      <w:r w:rsidR="00D73B52">
        <w:rPr>
          <w:rStyle w:val="rynqvb"/>
          <w:color w:val="000000" w:themeColor="text1"/>
        </w:rPr>
        <w:t>;</w:t>
      </w:r>
    </w:p>
    <w:p w14:paraId="5DD42174" w14:textId="7B9D5E9C" w:rsidR="004719D2" w:rsidRPr="004A47DC" w:rsidRDefault="00962437" w:rsidP="00962437">
      <w:pPr>
        <w:pStyle w:val="TEKSTIII"/>
        <w:rPr>
          <w:rFonts w:eastAsia="Times New Roman"/>
        </w:rPr>
      </w:pPr>
      <w:r w:rsidRPr="004A47DC">
        <w:rPr>
          <w:rStyle w:val="rynqvb"/>
          <w:color w:val="000000" w:themeColor="text1"/>
        </w:rPr>
        <w:t xml:space="preserve">- </w:t>
      </w:r>
      <w:r w:rsidR="004719D2" w:rsidRPr="004A47DC">
        <w:rPr>
          <w:rStyle w:val="rynqvb"/>
          <w:color w:val="000000" w:themeColor="text1"/>
        </w:rPr>
        <w:t>Përmirësimi i shqyrtimit të ankesave nëpërmjet përdorimit të sistemit elektronik të ankesave.</w:t>
      </w:r>
    </w:p>
    <w:p w14:paraId="2E143ADB" w14:textId="77777777" w:rsidR="004719D2" w:rsidRPr="004A47DC" w:rsidRDefault="004719D2" w:rsidP="00962437">
      <w:pPr>
        <w:pStyle w:val="TEKSTIII"/>
        <w:rPr>
          <w:rFonts w:eastAsia="Times New Roman"/>
        </w:rPr>
      </w:pPr>
    </w:p>
    <w:p w14:paraId="5922A39F"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Masat dhe aktivitetet</w:t>
      </w:r>
    </w:p>
    <w:tbl>
      <w:tblPr>
        <w:tblStyle w:val="TableGridIDEA2"/>
        <w:tblW w:w="5000" w:type="pct"/>
        <w:tblCellMar>
          <w:top w:w="57" w:type="dxa"/>
          <w:left w:w="57" w:type="dxa"/>
          <w:bottom w:w="57" w:type="dxa"/>
          <w:right w:w="57" w:type="dxa"/>
        </w:tblCellMar>
        <w:tblLook w:val="04A0" w:firstRow="1" w:lastRow="0" w:firstColumn="1" w:lastColumn="0" w:noHBand="0" w:noVBand="1"/>
      </w:tblPr>
      <w:tblGrid>
        <w:gridCol w:w="2028"/>
        <w:gridCol w:w="3655"/>
        <w:gridCol w:w="798"/>
        <w:gridCol w:w="798"/>
        <w:gridCol w:w="1782"/>
      </w:tblGrid>
      <w:tr w:rsidR="004719D2" w:rsidRPr="004A47DC" w14:paraId="64363212" w14:textId="77777777" w:rsidTr="006D20A2">
        <w:trPr>
          <w:trHeight w:val="182"/>
          <w:tblHeader/>
        </w:trPr>
        <w:tc>
          <w:tcPr>
            <w:tcW w:w="2018" w:type="dxa"/>
            <w:shd w:val="clear" w:color="auto" w:fill="D9D9D9" w:themeFill="background1" w:themeFillShade="D9"/>
            <w:vAlign w:val="center"/>
          </w:tcPr>
          <w:p w14:paraId="20EBF038"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w:t>
            </w:r>
          </w:p>
        </w:tc>
        <w:tc>
          <w:tcPr>
            <w:tcW w:w="3637" w:type="dxa"/>
            <w:shd w:val="clear" w:color="auto" w:fill="D9D9D9" w:themeFill="background1" w:themeFillShade="D9"/>
            <w:vAlign w:val="center"/>
          </w:tcPr>
          <w:p w14:paraId="166B4593"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Aktiviteti</w:t>
            </w:r>
          </w:p>
        </w:tc>
        <w:tc>
          <w:tcPr>
            <w:tcW w:w="794" w:type="dxa"/>
            <w:shd w:val="clear" w:color="auto" w:fill="D9D9D9" w:themeFill="background1" w:themeFillShade="D9"/>
            <w:vAlign w:val="center"/>
          </w:tcPr>
          <w:p w14:paraId="2C58D8D8"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Fillimi</w:t>
            </w:r>
          </w:p>
        </w:tc>
        <w:tc>
          <w:tcPr>
            <w:tcW w:w="794" w:type="dxa"/>
            <w:shd w:val="clear" w:color="auto" w:fill="D9D9D9" w:themeFill="background1" w:themeFillShade="D9"/>
            <w:vAlign w:val="center"/>
          </w:tcPr>
          <w:p w14:paraId="67839209"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Mbarimi</w:t>
            </w:r>
          </w:p>
        </w:tc>
        <w:tc>
          <w:tcPr>
            <w:tcW w:w="1773" w:type="dxa"/>
            <w:shd w:val="clear" w:color="auto" w:fill="D9D9D9" w:themeFill="background1" w:themeFillShade="D9"/>
            <w:vAlign w:val="center"/>
          </w:tcPr>
          <w:p w14:paraId="3D864C9F" w14:textId="53E8725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Grupet e </w:t>
            </w:r>
            <w:r w:rsidR="006D20A2" w:rsidRPr="004A47DC">
              <w:rPr>
                <w:rFonts w:ascii="Garamond" w:hAnsi="Garamond"/>
                <w:b/>
                <w:bCs/>
                <w:color w:val="000000" w:themeColor="text1"/>
                <w:sz w:val="16"/>
                <w:szCs w:val="16"/>
                <w:lang w:val="sq-AL"/>
              </w:rPr>
              <w:t>i</w:t>
            </w:r>
            <w:r w:rsidRPr="004A47DC">
              <w:rPr>
                <w:rFonts w:ascii="Garamond" w:hAnsi="Garamond"/>
                <w:b/>
                <w:bCs/>
                <w:color w:val="000000" w:themeColor="text1"/>
                <w:sz w:val="16"/>
                <w:szCs w:val="16"/>
                <w:lang w:val="sq-AL"/>
              </w:rPr>
              <w:t>nteresit</w:t>
            </w:r>
          </w:p>
        </w:tc>
      </w:tr>
      <w:tr w:rsidR="004719D2" w:rsidRPr="004A47DC" w14:paraId="33397D13" w14:textId="77777777" w:rsidTr="00CF7CEC">
        <w:trPr>
          <w:trHeight w:val="20"/>
        </w:trPr>
        <w:tc>
          <w:tcPr>
            <w:tcW w:w="2018" w:type="dxa"/>
            <w:shd w:val="clear" w:color="auto" w:fill="auto"/>
          </w:tcPr>
          <w:p w14:paraId="0E2BD33B" w14:textId="0D0BA20E"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Masa 4.3.1 </w:t>
            </w:r>
            <w:r w:rsidRPr="004A47DC">
              <w:rPr>
                <w:rFonts w:ascii="Garamond" w:hAnsi="Garamond"/>
                <w:b/>
                <w:bCs/>
                <w:iCs/>
                <w:color w:val="000000" w:themeColor="text1"/>
                <w:sz w:val="16"/>
                <w:szCs w:val="16"/>
                <w:lang w:val="sq-AL"/>
              </w:rPr>
              <w:t>Përmirësimi i cilësisë dhe efic</w:t>
            </w:r>
            <w:r w:rsidR="006D20A2" w:rsidRPr="004A47DC">
              <w:rPr>
                <w:rFonts w:ascii="Garamond" w:hAnsi="Garamond"/>
                <w:b/>
                <w:bCs/>
                <w:iCs/>
                <w:color w:val="000000" w:themeColor="text1"/>
                <w:sz w:val="16"/>
                <w:szCs w:val="16"/>
                <w:lang w:val="sq-AL"/>
              </w:rPr>
              <w:t>i</w:t>
            </w:r>
            <w:r w:rsidRPr="004A47DC">
              <w:rPr>
                <w:rFonts w:ascii="Garamond" w:hAnsi="Garamond"/>
                <w:b/>
                <w:bCs/>
                <w:iCs/>
                <w:color w:val="000000" w:themeColor="text1"/>
                <w:sz w:val="16"/>
                <w:szCs w:val="16"/>
                <w:lang w:val="sq-AL"/>
              </w:rPr>
              <w:t>encës në procedurat e prokurimit</w:t>
            </w:r>
          </w:p>
        </w:tc>
        <w:tc>
          <w:tcPr>
            <w:tcW w:w="3637" w:type="dxa"/>
            <w:vAlign w:val="center"/>
          </w:tcPr>
          <w:p w14:paraId="4253271F" w14:textId="46BE00C4" w:rsidR="004719D2" w:rsidRPr="004A47DC" w:rsidRDefault="00C9330F" w:rsidP="00C9330F">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 xml:space="preserve">Për përdorimin e kriterit të vlerësimit </w:t>
            </w:r>
            <w:r w:rsidR="00E33A13" w:rsidRPr="004A47DC">
              <w:rPr>
                <w:rFonts w:ascii="Garamond" w:hAnsi="Garamond"/>
                <w:sz w:val="16"/>
                <w:szCs w:val="16"/>
                <w:lang w:val="sq-AL"/>
              </w:rPr>
              <w:t>“</w:t>
            </w:r>
            <w:r w:rsidR="004719D2" w:rsidRPr="004A47DC">
              <w:rPr>
                <w:rFonts w:ascii="Garamond" w:hAnsi="Garamond"/>
                <w:sz w:val="16"/>
                <w:szCs w:val="16"/>
                <w:lang w:val="sq-AL"/>
              </w:rPr>
              <w:t>Oferta ekonomikisht më e favorshme bazuar në kosto</w:t>
            </w:r>
            <w:r w:rsidR="00E33A13" w:rsidRPr="004A47DC">
              <w:rPr>
                <w:rFonts w:ascii="Garamond" w:hAnsi="Garamond"/>
                <w:sz w:val="16"/>
                <w:szCs w:val="16"/>
                <w:lang w:val="sq-AL"/>
              </w:rPr>
              <w:t>”</w:t>
            </w:r>
            <w:r w:rsidR="004719D2" w:rsidRPr="004A47DC">
              <w:rPr>
                <w:rFonts w:ascii="Garamond" w:hAnsi="Garamond"/>
                <w:sz w:val="16"/>
                <w:szCs w:val="16"/>
                <w:lang w:val="sq-AL"/>
              </w:rPr>
              <w:t xml:space="preserve"> (MEAT bazuar në kosto)</w:t>
            </w:r>
            <w:r w:rsidR="00D73B52">
              <w:rPr>
                <w:rFonts w:ascii="Garamond" w:hAnsi="Garamond"/>
                <w:sz w:val="16"/>
                <w:szCs w:val="16"/>
                <w:lang w:val="sq-AL"/>
              </w:rPr>
              <w:t>.</w:t>
            </w:r>
          </w:p>
        </w:tc>
        <w:tc>
          <w:tcPr>
            <w:tcW w:w="794" w:type="dxa"/>
            <w:vAlign w:val="center"/>
          </w:tcPr>
          <w:p w14:paraId="0B109BF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794" w:type="dxa"/>
            <w:vAlign w:val="center"/>
          </w:tcPr>
          <w:p w14:paraId="173B319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1773" w:type="dxa"/>
          </w:tcPr>
          <w:p w14:paraId="54E91FF4"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0E7BA7CA" w14:textId="12BB441B"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APP</w:t>
            </w:r>
            <w:r w:rsidR="00D73B52">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w:t>
            </w:r>
          </w:p>
          <w:p w14:paraId="38E0A32F" w14:textId="77777777" w:rsidR="004719D2" w:rsidRPr="004A47DC" w:rsidRDefault="004719D2" w:rsidP="00CF7CEC">
            <w:pPr>
              <w:rPr>
                <w:rFonts w:ascii="Garamond" w:hAnsi="Garamond"/>
                <w:color w:val="000000" w:themeColor="text1"/>
                <w:sz w:val="16"/>
                <w:szCs w:val="16"/>
                <w:lang w:val="sq-AL"/>
              </w:rPr>
            </w:pPr>
          </w:p>
          <w:p w14:paraId="1CE121C3"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03D8E799"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SIGMA</w:t>
            </w:r>
          </w:p>
        </w:tc>
      </w:tr>
      <w:tr w:rsidR="004719D2" w:rsidRPr="004A47DC" w14:paraId="7EB6ED33" w14:textId="77777777" w:rsidTr="00CF7CEC">
        <w:trPr>
          <w:trHeight w:val="32"/>
        </w:trPr>
        <w:tc>
          <w:tcPr>
            <w:tcW w:w="2018" w:type="dxa"/>
            <w:vMerge w:val="restart"/>
          </w:tcPr>
          <w:p w14:paraId="3F8006FD"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4.3.2 Hartimi dhe zbatimi i prokurimit publik të gjelbër</w:t>
            </w:r>
          </w:p>
          <w:p w14:paraId="2D98DD85" w14:textId="77777777" w:rsidR="004719D2" w:rsidRPr="004A47DC" w:rsidRDefault="004719D2" w:rsidP="00CF7CEC">
            <w:pPr>
              <w:rPr>
                <w:rFonts w:ascii="Garamond" w:hAnsi="Garamond"/>
                <w:b/>
                <w:bCs/>
                <w:color w:val="000000" w:themeColor="text1"/>
                <w:sz w:val="16"/>
                <w:szCs w:val="16"/>
                <w:lang w:val="sq-AL"/>
              </w:rPr>
            </w:pPr>
          </w:p>
        </w:tc>
        <w:tc>
          <w:tcPr>
            <w:tcW w:w="3637" w:type="dxa"/>
            <w:vAlign w:val="center"/>
          </w:tcPr>
          <w:p w14:paraId="5C770757" w14:textId="0F7F075E" w:rsidR="004719D2" w:rsidRPr="004A47DC" w:rsidRDefault="00C9330F" w:rsidP="003A6AFC">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Përgatitja e metodologjisë për zbatimin e kritereve të prokurimit të gjelbër/efi</w:t>
            </w:r>
            <w:r w:rsidR="006D20A2" w:rsidRPr="004A47DC">
              <w:rPr>
                <w:rFonts w:ascii="Garamond" w:hAnsi="Garamond"/>
                <w:sz w:val="16"/>
                <w:szCs w:val="16"/>
                <w:lang w:val="sq-AL"/>
              </w:rPr>
              <w:t>ci</w:t>
            </w:r>
            <w:r w:rsidR="004719D2" w:rsidRPr="004A47DC">
              <w:rPr>
                <w:rFonts w:ascii="Garamond" w:hAnsi="Garamond"/>
                <w:sz w:val="16"/>
                <w:szCs w:val="16"/>
                <w:lang w:val="sq-AL"/>
              </w:rPr>
              <w:t>encës së energjisë.</w:t>
            </w:r>
            <w:r w:rsidR="004719D2" w:rsidRPr="00D73B52">
              <w:rPr>
                <w:rFonts w:ascii="Garamond" w:hAnsi="Garamond"/>
                <w:sz w:val="16"/>
                <w:szCs w:val="16"/>
                <w:vertAlign w:val="superscript"/>
                <w:lang w:val="sq-AL"/>
              </w:rPr>
              <w:footnoteReference w:id="52"/>
            </w:r>
          </w:p>
        </w:tc>
        <w:tc>
          <w:tcPr>
            <w:tcW w:w="794" w:type="dxa"/>
            <w:vAlign w:val="center"/>
          </w:tcPr>
          <w:p w14:paraId="5D616E2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794" w:type="dxa"/>
            <w:vAlign w:val="center"/>
          </w:tcPr>
          <w:p w14:paraId="7DCB5D9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2023</w:t>
            </w:r>
          </w:p>
        </w:tc>
        <w:tc>
          <w:tcPr>
            <w:tcW w:w="1773" w:type="dxa"/>
            <w:vMerge w:val="restart"/>
          </w:tcPr>
          <w:p w14:paraId="7DD2C6D1"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1A223318" w14:textId="2A643870"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APP</w:t>
            </w:r>
            <w:r w:rsidR="00D73B52">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 MIE</w:t>
            </w:r>
          </w:p>
          <w:p w14:paraId="2D0EDA3D" w14:textId="77777777" w:rsidR="004719D2" w:rsidRPr="004A47DC" w:rsidRDefault="004719D2" w:rsidP="00CF7CEC">
            <w:pPr>
              <w:rPr>
                <w:rFonts w:ascii="Garamond" w:hAnsi="Garamond"/>
                <w:color w:val="000000" w:themeColor="text1"/>
                <w:sz w:val="16"/>
                <w:szCs w:val="16"/>
                <w:lang w:val="sq-AL"/>
              </w:rPr>
            </w:pPr>
          </w:p>
          <w:p w14:paraId="2DD72AAE"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328D2ADB"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w:t>
            </w:r>
          </w:p>
          <w:p w14:paraId="6CB1DEA2" w14:textId="77777777" w:rsidR="004719D2" w:rsidRPr="004A47DC" w:rsidRDefault="004719D2" w:rsidP="00CF7CEC">
            <w:pPr>
              <w:rPr>
                <w:rFonts w:ascii="Garamond" w:hAnsi="Garamond"/>
                <w:color w:val="000000" w:themeColor="text1"/>
                <w:sz w:val="16"/>
                <w:szCs w:val="16"/>
                <w:lang w:val="sq-AL"/>
              </w:rPr>
            </w:pPr>
          </w:p>
        </w:tc>
      </w:tr>
      <w:tr w:rsidR="004719D2" w:rsidRPr="004A47DC" w14:paraId="41C22933" w14:textId="77777777" w:rsidTr="00CF7CEC">
        <w:trPr>
          <w:trHeight w:val="32"/>
        </w:trPr>
        <w:tc>
          <w:tcPr>
            <w:tcW w:w="2018" w:type="dxa"/>
            <w:vMerge/>
          </w:tcPr>
          <w:p w14:paraId="4AB6C393" w14:textId="77777777" w:rsidR="004719D2" w:rsidRPr="004A47DC" w:rsidRDefault="004719D2" w:rsidP="00732B6D">
            <w:pPr>
              <w:numPr>
                <w:ilvl w:val="0"/>
                <w:numId w:val="11"/>
              </w:numPr>
              <w:rPr>
                <w:rFonts w:ascii="Garamond" w:hAnsi="Garamond"/>
                <w:color w:val="000000" w:themeColor="text1"/>
                <w:sz w:val="16"/>
                <w:szCs w:val="16"/>
                <w:lang w:val="sq-AL"/>
              </w:rPr>
            </w:pPr>
          </w:p>
        </w:tc>
        <w:tc>
          <w:tcPr>
            <w:tcW w:w="3637" w:type="dxa"/>
            <w:vAlign w:val="center"/>
          </w:tcPr>
          <w:p w14:paraId="6079B697" w14:textId="4893B056"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Zhvillimi dhe ofrimi i trajnimeve mbi prokurimin e gjelbër/efi</w:t>
            </w:r>
            <w:r w:rsidR="006D20A2" w:rsidRPr="004A47DC">
              <w:rPr>
                <w:rFonts w:ascii="Garamond" w:hAnsi="Garamond"/>
                <w:sz w:val="16"/>
                <w:szCs w:val="16"/>
                <w:lang w:val="sq-AL"/>
              </w:rPr>
              <w:t>ci</w:t>
            </w:r>
            <w:r w:rsidR="004719D2" w:rsidRPr="004A47DC">
              <w:rPr>
                <w:rFonts w:ascii="Garamond" w:hAnsi="Garamond"/>
                <w:sz w:val="16"/>
                <w:szCs w:val="16"/>
                <w:lang w:val="sq-AL"/>
              </w:rPr>
              <w:t>encën e energjisë për profesionistët e prokurimit.</w:t>
            </w:r>
          </w:p>
        </w:tc>
        <w:tc>
          <w:tcPr>
            <w:tcW w:w="794" w:type="dxa"/>
            <w:vAlign w:val="center"/>
          </w:tcPr>
          <w:p w14:paraId="385EB70B"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794" w:type="dxa"/>
            <w:vAlign w:val="center"/>
          </w:tcPr>
          <w:p w14:paraId="24A0E1F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1773" w:type="dxa"/>
            <w:vMerge/>
          </w:tcPr>
          <w:p w14:paraId="4B09605A" w14:textId="77777777" w:rsidR="004719D2" w:rsidRPr="004A47DC" w:rsidRDefault="004719D2" w:rsidP="00CF7CEC">
            <w:pPr>
              <w:rPr>
                <w:rFonts w:ascii="Garamond" w:hAnsi="Garamond"/>
                <w:color w:val="000000" w:themeColor="text1"/>
                <w:sz w:val="16"/>
                <w:szCs w:val="16"/>
                <w:lang w:val="sq-AL"/>
              </w:rPr>
            </w:pPr>
          </w:p>
        </w:tc>
      </w:tr>
      <w:tr w:rsidR="004719D2" w:rsidRPr="004A47DC" w14:paraId="50DBF000" w14:textId="77777777" w:rsidTr="00CF7CEC">
        <w:trPr>
          <w:trHeight w:val="20"/>
        </w:trPr>
        <w:tc>
          <w:tcPr>
            <w:tcW w:w="2018" w:type="dxa"/>
            <w:vMerge/>
          </w:tcPr>
          <w:p w14:paraId="50B34E76" w14:textId="77777777" w:rsidR="004719D2" w:rsidRPr="004A47DC" w:rsidRDefault="004719D2" w:rsidP="00732B6D">
            <w:pPr>
              <w:numPr>
                <w:ilvl w:val="0"/>
                <w:numId w:val="11"/>
              </w:numPr>
              <w:rPr>
                <w:rFonts w:ascii="Garamond" w:hAnsi="Garamond"/>
                <w:color w:val="000000" w:themeColor="text1"/>
                <w:sz w:val="16"/>
                <w:szCs w:val="16"/>
                <w:lang w:val="sq-AL"/>
              </w:rPr>
            </w:pPr>
          </w:p>
        </w:tc>
        <w:tc>
          <w:tcPr>
            <w:tcW w:w="3637" w:type="dxa"/>
            <w:vAlign w:val="center"/>
          </w:tcPr>
          <w:p w14:paraId="09D5E2E8" w14:textId="126BF275"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Rishikimi dhe ndryshimi i kuadrit rregullator (nëse nevojitet).</w:t>
            </w:r>
          </w:p>
        </w:tc>
        <w:tc>
          <w:tcPr>
            <w:tcW w:w="794" w:type="dxa"/>
            <w:vAlign w:val="center"/>
          </w:tcPr>
          <w:p w14:paraId="6D6E902E"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794" w:type="dxa"/>
            <w:vAlign w:val="center"/>
          </w:tcPr>
          <w:p w14:paraId="459E33D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1773" w:type="dxa"/>
            <w:vMerge/>
          </w:tcPr>
          <w:p w14:paraId="61388890" w14:textId="77777777" w:rsidR="004719D2" w:rsidRPr="004A47DC" w:rsidRDefault="004719D2" w:rsidP="00CF7CEC">
            <w:pPr>
              <w:rPr>
                <w:rFonts w:ascii="Garamond" w:hAnsi="Garamond"/>
                <w:color w:val="000000" w:themeColor="text1"/>
                <w:sz w:val="16"/>
                <w:szCs w:val="16"/>
                <w:lang w:val="sq-AL"/>
              </w:rPr>
            </w:pPr>
          </w:p>
        </w:tc>
      </w:tr>
      <w:tr w:rsidR="004719D2" w:rsidRPr="004A47DC" w14:paraId="5A7A1272" w14:textId="77777777" w:rsidTr="00CF7CEC">
        <w:trPr>
          <w:trHeight w:val="20"/>
        </w:trPr>
        <w:tc>
          <w:tcPr>
            <w:tcW w:w="2018" w:type="dxa"/>
            <w:vMerge w:val="restart"/>
          </w:tcPr>
          <w:p w14:paraId="20931B3A" w14:textId="73842089"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4.3.3 Rritja e efi</w:t>
            </w:r>
            <w:r w:rsidR="006D20A2" w:rsidRPr="004A47DC">
              <w:rPr>
                <w:rFonts w:ascii="Garamond" w:hAnsi="Garamond"/>
                <w:b/>
                <w:bCs/>
                <w:color w:val="000000" w:themeColor="text1"/>
                <w:sz w:val="16"/>
                <w:szCs w:val="16"/>
                <w:lang w:val="sq-AL"/>
              </w:rPr>
              <w:t>ci</w:t>
            </w:r>
            <w:r w:rsidRPr="004A47DC">
              <w:rPr>
                <w:rFonts w:ascii="Garamond" w:hAnsi="Garamond"/>
                <w:b/>
                <w:bCs/>
                <w:color w:val="000000" w:themeColor="text1"/>
                <w:sz w:val="16"/>
                <w:szCs w:val="16"/>
                <w:lang w:val="sq-AL"/>
              </w:rPr>
              <w:t xml:space="preserve">encës </w:t>
            </w:r>
            <w:r w:rsidR="006D20A2" w:rsidRPr="004A47DC">
              <w:rPr>
                <w:rFonts w:ascii="Garamond" w:hAnsi="Garamond"/>
                <w:b/>
                <w:bCs/>
                <w:color w:val="000000" w:themeColor="text1"/>
                <w:sz w:val="16"/>
                <w:szCs w:val="16"/>
                <w:lang w:val="sq-AL"/>
              </w:rPr>
              <w:t>s</w:t>
            </w:r>
            <w:r w:rsidRPr="004A47DC">
              <w:rPr>
                <w:rFonts w:ascii="Garamond" w:hAnsi="Garamond"/>
                <w:b/>
                <w:bCs/>
                <w:color w:val="000000" w:themeColor="text1"/>
                <w:sz w:val="16"/>
                <w:szCs w:val="16"/>
                <w:lang w:val="sq-AL"/>
              </w:rPr>
              <w:t>ë sistemit të shqyrtimit të ankesave duke rritur shpejtësinë e vendimmarrjes</w:t>
            </w:r>
          </w:p>
          <w:p w14:paraId="468830C6" w14:textId="77777777" w:rsidR="004719D2" w:rsidRPr="004A47DC" w:rsidRDefault="004719D2" w:rsidP="00CF7CEC">
            <w:pPr>
              <w:rPr>
                <w:rFonts w:ascii="Garamond" w:hAnsi="Garamond"/>
                <w:b/>
                <w:bCs/>
                <w:color w:val="000000" w:themeColor="text1"/>
                <w:sz w:val="16"/>
                <w:szCs w:val="16"/>
                <w:lang w:val="sq-AL"/>
              </w:rPr>
            </w:pPr>
          </w:p>
        </w:tc>
        <w:tc>
          <w:tcPr>
            <w:tcW w:w="3637" w:type="dxa"/>
          </w:tcPr>
          <w:p w14:paraId="71C3F850" w14:textId="5DABB1FD"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Plotësimi i vendeve vakante.</w:t>
            </w:r>
            <w:r w:rsidR="004719D2" w:rsidRPr="00AD1479">
              <w:rPr>
                <w:rFonts w:ascii="Garamond" w:hAnsi="Garamond"/>
                <w:sz w:val="16"/>
                <w:szCs w:val="16"/>
                <w:vertAlign w:val="superscript"/>
                <w:lang w:val="sq-AL"/>
              </w:rPr>
              <w:footnoteReference w:id="53"/>
            </w:r>
          </w:p>
        </w:tc>
        <w:tc>
          <w:tcPr>
            <w:tcW w:w="794" w:type="dxa"/>
            <w:vAlign w:val="center"/>
          </w:tcPr>
          <w:p w14:paraId="061A13D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794" w:type="dxa"/>
            <w:vAlign w:val="center"/>
          </w:tcPr>
          <w:p w14:paraId="317805D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1773" w:type="dxa"/>
            <w:vMerge w:val="restart"/>
          </w:tcPr>
          <w:p w14:paraId="64849757"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4DAED213" w14:textId="522F9E02"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KPP</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w:t>
            </w:r>
          </w:p>
          <w:p w14:paraId="46BE0B34" w14:textId="77777777" w:rsidR="004719D2" w:rsidRPr="004A47DC" w:rsidRDefault="004719D2" w:rsidP="00CF7CEC">
            <w:pPr>
              <w:rPr>
                <w:rFonts w:ascii="Garamond" w:hAnsi="Garamond"/>
                <w:color w:val="000000" w:themeColor="text1"/>
                <w:sz w:val="16"/>
                <w:szCs w:val="16"/>
                <w:lang w:val="sq-AL"/>
              </w:rPr>
            </w:pPr>
          </w:p>
          <w:p w14:paraId="03C09DBD"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0F7018F4" w14:textId="090C8F8B"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 xml:space="preserve">Universiteti i Tiranës, SIGMA, </w:t>
            </w:r>
            <w:r w:rsidR="00AD1479" w:rsidRPr="004A47DC">
              <w:rPr>
                <w:rFonts w:ascii="Garamond" w:hAnsi="Garamond"/>
                <w:color w:val="000000" w:themeColor="text1"/>
                <w:sz w:val="16"/>
                <w:szCs w:val="16"/>
                <w:lang w:val="sq-AL"/>
              </w:rPr>
              <w:t>partnerë të tjerë ndërkombëtarë</w:t>
            </w:r>
          </w:p>
        </w:tc>
      </w:tr>
      <w:tr w:rsidR="004719D2" w:rsidRPr="004A47DC" w14:paraId="24E268DC" w14:textId="77777777" w:rsidTr="00CF7CEC">
        <w:trPr>
          <w:trHeight w:val="254"/>
        </w:trPr>
        <w:tc>
          <w:tcPr>
            <w:tcW w:w="2018" w:type="dxa"/>
            <w:vMerge/>
          </w:tcPr>
          <w:p w14:paraId="18227609" w14:textId="77777777" w:rsidR="004719D2" w:rsidRPr="004A47DC" w:rsidRDefault="004719D2" w:rsidP="00732B6D">
            <w:pPr>
              <w:numPr>
                <w:ilvl w:val="0"/>
                <w:numId w:val="12"/>
              </w:numPr>
              <w:rPr>
                <w:rFonts w:ascii="Garamond" w:hAnsi="Garamond"/>
                <w:color w:val="000000" w:themeColor="text1"/>
                <w:sz w:val="16"/>
                <w:szCs w:val="16"/>
                <w:lang w:val="sq-AL"/>
              </w:rPr>
            </w:pPr>
          </w:p>
        </w:tc>
        <w:tc>
          <w:tcPr>
            <w:tcW w:w="3637" w:type="dxa"/>
          </w:tcPr>
          <w:p w14:paraId="7D16E9D8" w14:textId="64528918"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Kryerja çdo vit e vlerësimit të nevojave për trajnim, zhvillimin dhe ofrimin e aktiviteteve të specializuara për ngritjen e kapaciteteve për inspektorët.</w:t>
            </w:r>
            <w:r w:rsidR="004719D2" w:rsidRPr="00AD1479">
              <w:rPr>
                <w:rFonts w:ascii="Garamond" w:hAnsi="Garamond"/>
                <w:sz w:val="16"/>
                <w:szCs w:val="16"/>
                <w:vertAlign w:val="superscript"/>
                <w:lang w:val="sq-AL"/>
              </w:rPr>
              <w:footnoteReference w:id="54"/>
            </w:r>
          </w:p>
        </w:tc>
        <w:tc>
          <w:tcPr>
            <w:tcW w:w="794" w:type="dxa"/>
            <w:vAlign w:val="center"/>
          </w:tcPr>
          <w:p w14:paraId="7315F49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794" w:type="dxa"/>
            <w:vAlign w:val="center"/>
          </w:tcPr>
          <w:p w14:paraId="2C55E94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1773" w:type="dxa"/>
            <w:vMerge/>
          </w:tcPr>
          <w:p w14:paraId="76E406B6" w14:textId="77777777" w:rsidR="004719D2" w:rsidRPr="004A47DC" w:rsidRDefault="004719D2" w:rsidP="00CF7CEC">
            <w:pPr>
              <w:rPr>
                <w:rFonts w:ascii="Garamond" w:hAnsi="Garamond"/>
                <w:color w:val="000000" w:themeColor="text1"/>
                <w:sz w:val="16"/>
                <w:szCs w:val="16"/>
                <w:lang w:val="sq-AL"/>
              </w:rPr>
            </w:pPr>
          </w:p>
        </w:tc>
      </w:tr>
      <w:tr w:rsidR="004719D2" w:rsidRPr="004A47DC" w14:paraId="7AB91C52" w14:textId="77777777" w:rsidTr="00CF7CEC">
        <w:trPr>
          <w:trHeight w:val="20"/>
        </w:trPr>
        <w:tc>
          <w:tcPr>
            <w:tcW w:w="2018" w:type="dxa"/>
            <w:vMerge/>
          </w:tcPr>
          <w:p w14:paraId="1CDD7366" w14:textId="77777777" w:rsidR="004719D2" w:rsidRPr="004A47DC" w:rsidRDefault="004719D2" w:rsidP="00732B6D">
            <w:pPr>
              <w:numPr>
                <w:ilvl w:val="0"/>
                <w:numId w:val="12"/>
              </w:numPr>
              <w:rPr>
                <w:rFonts w:ascii="Garamond" w:hAnsi="Garamond"/>
                <w:color w:val="000000" w:themeColor="text1"/>
                <w:sz w:val="16"/>
                <w:szCs w:val="16"/>
                <w:lang w:val="sq-AL"/>
              </w:rPr>
            </w:pPr>
          </w:p>
        </w:tc>
        <w:tc>
          <w:tcPr>
            <w:tcW w:w="3637" w:type="dxa"/>
          </w:tcPr>
          <w:p w14:paraId="76A0E1B9" w14:textId="196C5B85"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Përditësimi i sistemit elektronik të ankesave.</w:t>
            </w:r>
          </w:p>
        </w:tc>
        <w:tc>
          <w:tcPr>
            <w:tcW w:w="794" w:type="dxa"/>
            <w:vAlign w:val="center"/>
          </w:tcPr>
          <w:p w14:paraId="150075F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794" w:type="dxa"/>
            <w:vAlign w:val="center"/>
          </w:tcPr>
          <w:p w14:paraId="4DBA2CAB"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1773" w:type="dxa"/>
            <w:vMerge/>
          </w:tcPr>
          <w:p w14:paraId="7A506ED7" w14:textId="77777777" w:rsidR="004719D2" w:rsidRPr="004A47DC" w:rsidRDefault="004719D2" w:rsidP="00CF7CEC">
            <w:pPr>
              <w:rPr>
                <w:rFonts w:ascii="Garamond" w:hAnsi="Garamond"/>
                <w:color w:val="000000" w:themeColor="text1"/>
                <w:sz w:val="16"/>
                <w:szCs w:val="16"/>
                <w:lang w:val="sq-AL"/>
              </w:rPr>
            </w:pPr>
          </w:p>
        </w:tc>
      </w:tr>
      <w:tr w:rsidR="004719D2" w:rsidRPr="004A47DC" w14:paraId="0C26B32B" w14:textId="77777777" w:rsidTr="00CF7CEC">
        <w:trPr>
          <w:trHeight w:val="20"/>
        </w:trPr>
        <w:tc>
          <w:tcPr>
            <w:tcW w:w="2018" w:type="dxa"/>
            <w:vMerge/>
          </w:tcPr>
          <w:p w14:paraId="2A807D7C" w14:textId="77777777" w:rsidR="004719D2" w:rsidRPr="004A47DC" w:rsidRDefault="004719D2" w:rsidP="00732B6D">
            <w:pPr>
              <w:numPr>
                <w:ilvl w:val="0"/>
                <w:numId w:val="12"/>
              </w:numPr>
              <w:rPr>
                <w:rFonts w:ascii="Garamond" w:hAnsi="Garamond"/>
                <w:color w:val="000000" w:themeColor="text1"/>
                <w:sz w:val="16"/>
                <w:szCs w:val="16"/>
                <w:lang w:val="sq-AL"/>
              </w:rPr>
            </w:pPr>
          </w:p>
        </w:tc>
        <w:tc>
          <w:tcPr>
            <w:tcW w:w="3637" w:type="dxa"/>
          </w:tcPr>
          <w:p w14:paraId="1E5AD617" w14:textId="586199A3"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4. </w:t>
            </w:r>
            <w:r w:rsidR="004719D2" w:rsidRPr="004A47DC">
              <w:rPr>
                <w:rFonts w:ascii="Garamond" w:hAnsi="Garamond"/>
                <w:sz w:val="16"/>
                <w:szCs w:val="16"/>
                <w:lang w:val="sq-AL"/>
              </w:rPr>
              <w:t>Zbatimi i ISO 370001 mbi sistemet e menaxhimit kundër ryshfetit</w:t>
            </w:r>
            <w:r w:rsidR="004719D2" w:rsidRPr="00AD1479">
              <w:rPr>
                <w:rFonts w:ascii="Garamond" w:hAnsi="Garamond"/>
                <w:sz w:val="16"/>
                <w:szCs w:val="16"/>
                <w:vertAlign w:val="superscript"/>
                <w:lang w:val="sq-AL"/>
              </w:rPr>
              <w:footnoteReference w:id="55"/>
            </w:r>
            <w:r w:rsidR="004719D2" w:rsidRPr="004A47DC">
              <w:rPr>
                <w:rFonts w:ascii="Garamond" w:hAnsi="Garamond"/>
                <w:sz w:val="16"/>
                <w:szCs w:val="16"/>
                <w:lang w:val="sq-AL"/>
              </w:rPr>
              <w:t>.</w:t>
            </w:r>
          </w:p>
        </w:tc>
        <w:tc>
          <w:tcPr>
            <w:tcW w:w="794" w:type="dxa"/>
            <w:vAlign w:val="center"/>
          </w:tcPr>
          <w:p w14:paraId="1DD3F43E"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794" w:type="dxa"/>
            <w:vAlign w:val="center"/>
          </w:tcPr>
          <w:p w14:paraId="674DB7B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1773" w:type="dxa"/>
            <w:vMerge/>
          </w:tcPr>
          <w:p w14:paraId="2B8E462B" w14:textId="77777777" w:rsidR="004719D2" w:rsidRPr="004A47DC" w:rsidRDefault="004719D2" w:rsidP="00CF7CEC">
            <w:pPr>
              <w:rPr>
                <w:rFonts w:ascii="Garamond" w:hAnsi="Garamond"/>
                <w:color w:val="000000" w:themeColor="text1"/>
                <w:sz w:val="16"/>
                <w:szCs w:val="16"/>
                <w:lang w:val="sq-AL"/>
              </w:rPr>
            </w:pPr>
          </w:p>
        </w:tc>
      </w:tr>
      <w:tr w:rsidR="004719D2" w:rsidRPr="004A47DC" w14:paraId="4308D875" w14:textId="77777777" w:rsidTr="00CF7CEC">
        <w:trPr>
          <w:trHeight w:val="20"/>
        </w:trPr>
        <w:tc>
          <w:tcPr>
            <w:tcW w:w="2018" w:type="dxa"/>
          </w:tcPr>
          <w:p w14:paraId="43B44067"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 4.3.4 Përmirësimi i kuadrit ligjor dhe institucional për koncesionet dhe partneritetin publik-privat</w:t>
            </w:r>
          </w:p>
        </w:tc>
        <w:tc>
          <w:tcPr>
            <w:tcW w:w="3637" w:type="dxa"/>
          </w:tcPr>
          <w:p w14:paraId="751789B4" w14:textId="1794A648" w:rsidR="004719D2" w:rsidRPr="004A47DC" w:rsidRDefault="00D507B4" w:rsidP="003A6AFC">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 xml:space="preserve">Përafrimi i </w:t>
            </w:r>
            <w:r w:rsidR="00AD1479" w:rsidRPr="004A47DC">
              <w:rPr>
                <w:rFonts w:ascii="Garamond" w:hAnsi="Garamond"/>
                <w:sz w:val="16"/>
                <w:szCs w:val="16"/>
                <w:lang w:val="sq-AL"/>
              </w:rPr>
              <w:t xml:space="preserve">ligjit për koncesionet </w:t>
            </w:r>
            <w:r w:rsidR="004719D2" w:rsidRPr="004A47DC">
              <w:rPr>
                <w:rFonts w:ascii="Garamond" w:hAnsi="Garamond"/>
                <w:sz w:val="16"/>
                <w:szCs w:val="16"/>
                <w:lang w:val="sq-AL"/>
              </w:rPr>
              <w:t xml:space="preserve">dhe PPP me </w:t>
            </w:r>
            <w:r w:rsidR="004719D2" w:rsidRPr="004A47DC">
              <w:rPr>
                <w:rFonts w:ascii="Garamond" w:hAnsi="Garamond"/>
                <w:i/>
                <w:sz w:val="16"/>
                <w:szCs w:val="16"/>
                <w:lang w:val="sq-AL"/>
              </w:rPr>
              <w:t>Acquis Communautaire</w:t>
            </w:r>
          </w:p>
        </w:tc>
        <w:tc>
          <w:tcPr>
            <w:tcW w:w="794" w:type="dxa"/>
            <w:vAlign w:val="center"/>
          </w:tcPr>
          <w:p w14:paraId="230AB9E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2024</w:t>
            </w:r>
          </w:p>
        </w:tc>
        <w:tc>
          <w:tcPr>
            <w:tcW w:w="794" w:type="dxa"/>
            <w:vAlign w:val="center"/>
          </w:tcPr>
          <w:p w14:paraId="6D898709"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2025</w:t>
            </w:r>
          </w:p>
        </w:tc>
        <w:tc>
          <w:tcPr>
            <w:tcW w:w="1773" w:type="dxa"/>
          </w:tcPr>
          <w:p w14:paraId="500E5B1B"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51C9F7F2" w14:textId="04015B4D"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 xml:space="preserve">Grupi i </w:t>
            </w:r>
            <w:r w:rsidR="00AD1479">
              <w:rPr>
                <w:rFonts w:ascii="Garamond" w:hAnsi="Garamond"/>
                <w:color w:val="000000" w:themeColor="text1"/>
                <w:sz w:val="16"/>
                <w:szCs w:val="16"/>
                <w:lang w:val="sq-AL"/>
              </w:rPr>
              <w:t>p</w:t>
            </w:r>
            <w:r w:rsidRPr="004A47DC">
              <w:rPr>
                <w:rFonts w:ascii="Garamond" w:hAnsi="Garamond"/>
                <w:color w:val="000000" w:themeColor="text1"/>
                <w:sz w:val="16"/>
                <w:szCs w:val="16"/>
                <w:lang w:val="sq-AL"/>
              </w:rPr>
              <w:t>unës</w:t>
            </w:r>
          </w:p>
          <w:p w14:paraId="4C39D049" w14:textId="77777777" w:rsidR="004719D2" w:rsidRPr="004A47DC" w:rsidRDefault="004719D2" w:rsidP="00CF7CEC">
            <w:pPr>
              <w:rPr>
                <w:rFonts w:ascii="Garamond" w:hAnsi="Garamond"/>
                <w:color w:val="000000" w:themeColor="text1"/>
                <w:sz w:val="16"/>
                <w:szCs w:val="16"/>
                <w:lang w:val="sq-AL"/>
              </w:rPr>
            </w:pPr>
          </w:p>
          <w:p w14:paraId="60F86466"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34307BC4"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SIGMA</w:t>
            </w:r>
          </w:p>
        </w:tc>
      </w:tr>
    </w:tbl>
    <w:p w14:paraId="4564DA91" w14:textId="77777777" w:rsidR="004719D2" w:rsidRPr="004A47DC" w:rsidRDefault="004719D2" w:rsidP="004719D2">
      <w:pPr>
        <w:rPr>
          <w:rFonts w:ascii="Garamond" w:hAnsi="Garamond"/>
          <w:b/>
          <w:bCs/>
          <w:color w:val="000000" w:themeColor="text1"/>
        </w:rPr>
      </w:pPr>
    </w:p>
    <w:p w14:paraId="4921D341"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Treguesit e performancës dhe vlerat e synuara</w:t>
      </w:r>
    </w:p>
    <w:tbl>
      <w:tblPr>
        <w:tblStyle w:val="TableGridIDEA2"/>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45158131" w14:textId="77777777" w:rsidTr="006D20A2">
        <w:trPr>
          <w:cantSplit/>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231A4"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272FEE" w14:textId="469DFBE9"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Vlera </w:t>
            </w:r>
            <w:r w:rsidR="006D20A2" w:rsidRPr="004A47DC">
              <w:rPr>
                <w:rFonts w:ascii="Garamond" w:hAnsi="Garamond"/>
                <w:b/>
                <w:bCs/>
                <w:color w:val="000000" w:themeColor="text1"/>
                <w:sz w:val="16"/>
                <w:szCs w:val="16"/>
                <w:lang w:val="sq-AL"/>
              </w:rPr>
              <w:t>b</w:t>
            </w:r>
            <w:r w:rsidRPr="004A47DC">
              <w:rPr>
                <w:rFonts w:ascii="Garamond" w:hAnsi="Garamond"/>
                <w:b/>
                <w:bCs/>
                <w:color w:val="000000" w:themeColor="text1"/>
                <w:sz w:val="16"/>
                <w:szCs w:val="16"/>
                <w:lang w:val="sq-AL"/>
              </w:rPr>
              <w:t>azë (2022)</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667EA7"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Vlera e synuar</w:t>
            </w:r>
          </w:p>
        </w:tc>
      </w:tr>
      <w:tr w:rsidR="004719D2" w:rsidRPr="004A47DC" w14:paraId="419A905D" w14:textId="77777777" w:rsidTr="006D20A2">
        <w:trPr>
          <w:cantSplit/>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650A1B4D" w14:textId="77777777" w:rsidR="004719D2" w:rsidRPr="004A47DC" w:rsidRDefault="004719D2" w:rsidP="006D20A2">
            <w:pPr>
              <w:jc w:val="center"/>
              <w:rPr>
                <w:rFonts w:ascii="Garamond" w:hAnsi="Garamond"/>
                <w:b/>
                <w:bCs/>
                <w:color w:val="000000" w:themeColor="text1"/>
                <w:sz w:val="16"/>
                <w:szCs w:val="16"/>
                <w:lang w:val="sq-AL"/>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4FC64565" w14:textId="77777777" w:rsidR="004719D2" w:rsidRPr="004A47DC" w:rsidRDefault="004719D2" w:rsidP="006D20A2">
            <w:pPr>
              <w:jc w:val="center"/>
              <w:rPr>
                <w:rFonts w:ascii="Garamond" w:hAnsi="Garamond"/>
                <w:b/>
                <w:bCs/>
                <w:color w:val="000000" w:themeColor="text1"/>
                <w:sz w:val="16"/>
                <w:szCs w:val="16"/>
                <w:lang w:val="sq-AL"/>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61072A"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5C9713"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1C6BF4"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661E06"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2026</w:t>
            </w:r>
          </w:p>
        </w:tc>
      </w:tr>
      <w:tr w:rsidR="004719D2" w:rsidRPr="004A47DC" w14:paraId="0AF5703F" w14:textId="77777777" w:rsidTr="006D20A2">
        <w:tc>
          <w:tcPr>
            <w:tcW w:w="1727" w:type="pct"/>
            <w:tcBorders>
              <w:top w:val="single" w:sz="4" w:space="0" w:color="auto"/>
              <w:left w:val="single" w:sz="4" w:space="0" w:color="auto"/>
              <w:bottom w:val="single" w:sz="4" w:space="0" w:color="auto"/>
              <w:right w:val="single" w:sz="4" w:space="0" w:color="auto"/>
            </w:tcBorders>
          </w:tcPr>
          <w:p w14:paraId="61A124DD" w14:textId="18505166" w:rsidR="004719D2" w:rsidRPr="004A47DC" w:rsidRDefault="00DE2AD2" w:rsidP="00DE2AD2">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 xml:space="preserve">Përqindja e përdorimit të kriterit të vlerësimit </w:t>
            </w:r>
            <w:r w:rsidR="00E33A13" w:rsidRPr="004A47DC">
              <w:rPr>
                <w:rFonts w:ascii="Garamond" w:hAnsi="Garamond"/>
                <w:sz w:val="16"/>
                <w:szCs w:val="16"/>
                <w:lang w:val="sq-AL"/>
              </w:rPr>
              <w:t>“</w:t>
            </w:r>
            <w:r w:rsidR="004719D2" w:rsidRPr="004A47DC">
              <w:rPr>
                <w:rFonts w:ascii="Garamond" w:hAnsi="Garamond"/>
                <w:sz w:val="16"/>
                <w:szCs w:val="16"/>
                <w:lang w:val="sq-AL"/>
              </w:rPr>
              <w:t xml:space="preserve">Oferta </w:t>
            </w:r>
            <w:r w:rsidR="00AD1479">
              <w:rPr>
                <w:rFonts w:ascii="Garamond" w:hAnsi="Garamond"/>
                <w:sz w:val="16"/>
                <w:szCs w:val="16"/>
                <w:lang w:val="sq-AL"/>
              </w:rPr>
              <w:t>e</w:t>
            </w:r>
            <w:r w:rsidR="004719D2" w:rsidRPr="004A47DC">
              <w:rPr>
                <w:rFonts w:ascii="Garamond" w:hAnsi="Garamond"/>
                <w:sz w:val="16"/>
                <w:szCs w:val="16"/>
                <w:lang w:val="sq-AL"/>
              </w:rPr>
              <w:t>konomikisht me e favorshme bazuar në kosto</w:t>
            </w:r>
            <w:r w:rsidR="00E33A13" w:rsidRPr="004A47DC">
              <w:rPr>
                <w:rFonts w:ascii="Garamond" w:hAnsi="Garamond"/>
                <w:sz w:val="16"/>
                <w:szCs w:val="16"/>
                <w:lang w:val="sq-AL"/>
              </w:rPr>
              <w:t>”</w:t>
            </w:r>
            <w:r w:rsidR="004719D2" w:rsidRPr="004A47DC">
              <w:rPr>
                <w:rFonts w:ascii="Garamond" w:hAnsi="Garamond"/>
                <w:sz w:val="16"/>
                <w:szCs w:val="16"/>
                <w:lang w:val="sq-AL"/>
              </w:rPr>
              <w:t xml:space="preserve"> (kriteri MEAT bazuar në kosto) në procedurat e prokurimit publik</w:t>
            </w:r>
          </w:p>
        </w:tc>
        <w:tc>
          <w:tcPr>
            <w:tcW w:w="654" w:type="pct"/>
            <w:tcBorders>
              <w:top w:val="single" w:sz="4" w:space="0" w:color="auto"/>
              <w:left w:val="single" w:sz="4" w:space="0" w:color="auto"/>
              <w:bottom w:val="single" w:sz="4" w:space="0" w:color="auto"/>
              <w:right w:val="single" w:sz="4" w:space="0" w:color="auto"/>
            </w:tcBorders>
            <w:vAlign w:val="center"/>
          </w:tcPr>
          <w:p w14:paraId="7E100D6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33.92%</w:t>
            </w:r>
          </w:p>
        </w:tc>
        <w:tc>
          <w:tcPr>
            <w:tcW w:w="655" w:type="pct"/>
            <w:tcBorders>
              <w:top w:val="single" w:sz="4" w:space="0" w:color="auto"/>
              <w:left w:val="single" w:sz="4" w:space="0" w:color="auto"/>
              <w:bottom w:val="single" w:sz="4" w:space="0" w:color="auto"/>
              <w:right w:val="single" w:sz="4" w:space="0" w:color="auto"/>
            </w:tcBorders>
            <w:vAlign w:val="center"/>
          </w:tcPr>
          <w:p w14:paraId="48DED719" w14:textId="77777777" w:rsidR="004719D2" w:rsidRPr="004A47DC" w:rsidRDefault="004719D2" w:rsidP="00CF7CEC">
            <w:pPr>
              <w:jc w:val="center"/>
              <w:rPr>
                <w:rFonts w:ascii="Garamond" w:hAnsi="Garamond"/>
                <w:color w:val="000000" w:themeColor="text1"/>
                <w:sz w:val="16"/>
                <w:szCs w:val="16"/>
                <w:lang w:val="sq-AL"/>
              </w:rPr>
            </w:pPr>
          </w:p>
        </w:tc>
        <w:tc>
          <w:tcPr>
            <w:tcW w:w="654" w:type="pct"/>
            <w:tcBorders>
              <w:top w:val="single" w:sz="4" w:space="0" w:color="auto"/>
              <w:left w:val="single" w:sz="4" w:space="0" w:color="auto"/>
              <w:bottom w:val="single" w:sz="4" w:space="0" w:color="auto"/>
              <w:right w:val="single" w:sz="4" w:space="0" w:color="auto"/>
            </w:tcBorders>
            <w:vAlign w:val="center"/>
          </w:tcPr>
          <w:p w14:paraId="27EEBA38" w14:textId="77777777" w:rsidR="004719D2" w:rsidRPr="004A47DC" w:rsidRDefault="004719D2" w:rsidP="00CF7CEC">
            <w:pPr>
              <w:jc w:val="center"/>
              <w:rPr>
                <w:rFonts w:ascii="Garamond" w:hAnsi="Garamond"/>
                <w:color w:val="000000" w:themeColor="text1"/>
                <w:sz w:val="16"/>
                <w:szCs w:val="16"/>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0C6AAB8C" w14:textId="77777777" w:rsidR="004719D2" w:rsidRPr="004A47DC" w:rsidRDefault="004719D2" w:rsidP="00CF7CEC">
            <w:pPr>
              <w:jc w:val="center"/>
              <w:rPr>
                <w:rFonts w:ascii="Garamond" w:hAnsi="Garamond"/>
                <w:color w:val="000000" w:themeColor="text1"/>
                <w:sz w:val="16"/>
                <w:szCs w:val="16"/>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7343CBF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Trend rritës</w:t>
            </w:r>
          </w:p>
        </w:tc>
      </w:tr>
      <w:tr w:rsidR="004719D2" w:rsidRPr="004A47DC" w14:paraId="374D4F26" w14:textId="77777777" w:rsidTr="006D20A2">
        <w:tc>
          <w:tcPr>
            <w:tcW w:w="1727" w:type="pct"/>
            <w:tcBorders>
              <w:top w:val="single" w:sz="4" w:space="0" w:color="auto"/>
              <w:left w:val="single" w:sz="4" w:space="0" w:color="auto"/>
              <w:bottom w:val="single" w:sz="4" w:space="0" w:color="auto"/>
              <w:right w:val="single" w:sz="4" w:space="0" w:color="auto"/>
            </w:tcBorders>
          </w:tcPr>
          <w:p w14:paraId="04DFD15F" w14:textId="1675CC25" w:rsidR="004719D2" w:rsidRPr="004A47DC" w:rsidRDefault="004719D2" w:rsidP="00DE2AD2">
            <w:pPr>
              <w:rPr>
                <w:rFonts w:ascii="Garamond" w:hAnsi="Garamond"/>
                <w:sz w:val="16"/>
                <w:szCs w:val="16"/>
                <w:lang w:val="sq-AL"/>
              </w:rPr>
            </w:pPr>
            <w:r w:rsidRPr="004A47DC">
              <w:rPr>
                <w:rFonts w:ascii="Garamond" w:hAnsi="Garamond"/>
                <w:sz w:val="16"/>
                <w:szCs w:val="16"/>
                <w:lang w:val="sq-AL"/>
              </w:rPr>
              <w:t xml:space="preserve">2. ISO 370001 mbi </w:t>
            </w:r>
            <w:r w:rsidR="00CE6AE5" w:rsidRPr="004A47DC">
              <w:rPr>
                <w:rFonts w:ascii="Garamond" w:hAnsi="Garamond"/>
                <w:sz w:val="16"/>
                <w:szCs w:val="16"/>
                <w:lang w:val="sq-AL"/>
              </w:rPr>
              <w:t>‘</w:t>
            </w:r>
            <w:r w:rsidRPr="004A47DC">
              <w:rPr>
                <w:rFonts w:ascii="Garamond" w:hAnsi="Garamond"/>
                <w:sz w:val="16"/>
                <w:szCs w:val="16"/>
                <w:lang w:val="sq-AL"/>
              </w:rPr>
              <w:t>Sistemet e menaxhimit kundër ryshfetit</w:t>
            </w:r>
            <w:r w:rsidR="00CE6AE5" w:rsidRPr="004A47DC">
              <w:rPr>
                <w:rFonts w:ascii="Garamond" w:hAnsi="Garamond"/>
                <w:sz w:val="16"/>
                <w:szCs w:val="16"/>
                <w:lang w:val="sq-AL"/>
              </w:rPr>
              <w:t>’</w:t>
            </w:r>
            <w:r w:rsidRPr="004A47DC">
              <w:rPr>
                <w:rFonts w:ascii="Garamond" w:hAnsi="Garamond"/>
                <w:sz w:val="16"/>
                <w:szCs w:val="16"/>
                <w:lang w:val="sq-AL"/>
              </w:rPr>
              <w:t xml:space="preserve"> zbatuar nga KPP</w:t>
            </w:r>
            <w:r w:rsidR="00AD1479">
              <w:rPr>
                <w:rFonts w:ascii="Garamond" w:hAnsi="Garamond"/>
                <w:sz w:val="16"/>
                <w:szCs w:val="16"/>
                <w:lang w:val="sq-AL"/>
              </w:rPr>
              <w:t>-ja</w:t>
            </w:r>
          </w:p>
        </w:tc>
        <w:tc>
          <w:tcPr>
            <w:tcW w:w="654" w:type="pct"/>
            <w:tcBorders>
              <w:top w:val="single" w:sz="4" w:space="0" w:color="auto"/>
              <w:left w:val="single" w:sz="4" w:space="0" w:color="auto"/>
              <w:bottom w:val="single" w:sz="4" w:space="0" w:color="auto"/>
              <w:right w:val="single" w:sz="4" w:space="0" w:color="auto"/>
            </w:tcBorders>
            <w:vAlign w:val="center"/>
          </w:tcPr>
          <w:p w14:paraId="196FCAA2"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70BD674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2D2F814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128072DE"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64C366D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I zbatuar</w:t>
            </w:r>
          </w:p>
        </w:tc>
      </w:tr>
    </w:tbl>
    <w:p w14:paraId="2BE2471D" w14:textId="77777777" w:rsidR="004719D2" w:rsidRPr="004A47DC" w:rsidRDefault="004719D2" w:rsidP="004719D2">
      <w:pPr>
        <w:rPr>
          <w:rFonts w:ascii="Garamond" w:hAnsi="Garamond"/>
          <w:color w:val="000000" w:themeColor="text1"/>
        </w:rPr>
      </w:pPr>
    </w:p>
    <w:p w14:paraId="75E74B11" w14:textId="41050E9C" w:rsidR="004719D2" w:rsidRPr="004A47DC" w:rsidRDefault="00AD7779" w:rsidP="00AD7779">
      <w:pPr>
        <w:pStyle w:val="TEKSTIII"/>
        <w:rPr>
          <w:rFonts w:eastAsiaTheme="minorHAnsi"/>
          <w:b/>
        </w:rPr>
      </w:pPr>
      <w:bookmarkStart w:id="32" w:name="_Toc168918693"/>
      <w:r w:rsidRPr="004A47DC">
        <w:rPr>
          <w:rFonts w:eastAsiaTheme="minorHAnsi"/>
          <w:b/>
        </w:rPr>
        <w:t xml:space="preserve">5.5 </w:t>
      </w:r>
      <w:r w:rsidR="004719D2" w:rsidRPr="004A47DC">
        <w:rPr>
          <w:rFonts w:eastAsiaTheme="minorHAnsi"/>
          <w:b/>
        </w:rPr>
        <w:t>Komponenti 4.4</w:t>
      </w:r>
      <w:r w:rsidR="006D20A2" w:rsidRPr="004A47DC">
        <w:rPr>
          <w:rFonts w:eastAsiaTheme="minorHAnsi"/>
          <w:b/>
        </w:rPr>
        <w:t>:</w:t>
      </w:r>
      <w:r w:rsidR="004719D2" w:rsidRPr="004A47DC">
        <w:rPr>
          <w:rFonts w:eastAsiaTheme="minorHAnsi"/>
          <w:b/>
        </w:rPr>
        <w:t xml:space="preserve"> Menaxhimi i </w:t>
      </w:r>
      <w:r w:rsidR="005A2A99" w:rsidRPr="004A47DC">
        <w:rPr>
          <w:rFonts w:eastAsiaTheme="minorHAnsi"/>
          <w:b/>
        </w:rPr>
        <w:t>borxhit</w:t>
      </w:r>
      <w:bookmarkEnd w:id="32"/>
    </w:p>
    <w:p w14:paraId="075CE72E" w14:textId="77777777" w:rsidR="004719D2" w:rsidRPr="004A47DC" w:rsidRDefault="004719D2" w:rsidP="00AD7779">
      <w:pPr>
        <w:pStyle w:val="TEKSTIII"/>
        <w:rPr>
          <w:b/>
          <w:bCs/>
        </w:rPr>
      </w:pPr>
      <w:r w:rsidRPr="004A47DC">
        <w:rPr>
          <w:b/>
          <w:bCs/>
        </w:rPr>
        <w:t>Objektivi</w:t>
      </w:r>
    </w:p>
    <w:p w14:paraId="121D880F" w14:textId="0B3FE060" w:rsidR="004719D2" w:rsidRPr="004A47DC" w:rsidRDefault="004719D2" w:rsidP="00AD7779">
      <w:pPr>
        <w:pStyle w:val="TEKSTIII"/>
      </w:pPr>
      <w:r w:rsidRPr="004A47DC">
        <w:t xml:space="preserve">Synimi për vitin 2030 është të funksionojë një Sistem gjithëpërfshirës </w:t>
      </w:r>
      <w:r w:rsidR="00AD1479">
        <w:t>të</w:t>
      </w:r>
      <w:r w:rsidRPr="004A47DC">
        <w:t xml:space="preserve"> Menaxhimit të Borxhit që siguron që nevojat e qeverisë për financim dhe detyrimet e saj për pagesën e borxhit të përmbushen me koston më të ulët të mundshme</w:t>
      </w:r>
      <w:r w:rsidR="00AD1479">
        <w:t>,</w:t>
      </w:r>
      <w:r w:rsidRPr="004A47DC">
        <w:t xml:space="preserve"> në periudhën afatmesme dhe afatgjatë</w:t>
      </w:r>
      <w:r w:rsidR="00AD1479">
        <w:t>,</w:t>
      </w:r>
      <w:r w:rsidRPr="004A47DC">
        <w:t xml:space="preserve"> në përputhje me një shkallë të kujdesshme risku.</w:t>
      </w:r>
    </w:p>
    <w:p w14:paraId="298BE075" w14:textId="77777777" w:rsidR="004719D2" w:rsidRPr="004A47DC" w:rsidRDefault="004719D2" w:rsidP="00AD7779">
      <w:pPr>
        <w:pStyle w:val="TEKSTIII"/>
        <w:rPr>
          <w:b/>
          <w:bCs/>
        </w:rPr>
      </w:pPr>
      <w:r w:rsidRPr="004A47DC">
        <w:rPr>
          <w:b/>
          <w:bCs/>
        </w:rPr>
        <w:t>Konteksti</w:t>
      </w:r>
    </w:p>
    <w:p w14:paraId="762EA8B7" w14:textId="150A6241" w:rsidR="004719D2" w:rsidRPr="004A47DC" w:rsidRDefault="004719D2" w:rsidP="00AD7779">
      <w:pPr>
        <w:pStyle w:val="TEKSTIII"/>
      </w:pPr>
      <w:r w:rsidRPr="004A47DC">
        <w:t>Kuadri ligjor i menaxhimit të borxhit është konsoliduar, me disa ndryshime të realizuara kohët e fundit për të reflektuar përmirësime mbi përgatitjen e Strategjisë së Menaxhimit të Borxhit (SMB). Hartimi dhe publikimi i SMB-së në baza të rregullta është institucionalizuar plotësisht. Një Plan Vjetor i Huamarrjes u publikua për herë të parë në vitin 2022, duke përcaktuar qartë strategjinë dhe instrumentet e huamarrjes që do të përdoren. Kalendari tremujor i ankandeve publikohet në kohë, duke plotësuar një plan vjetor të emetimit të brendshëm të përfshirë në planin vjetor të huamarrjes. Publikohet një buletin statistikor tremujor i borxhit dhe raporti vjetor për zbatimin e SMB-së</w:t>
      </w:r>
      <w:r w:rsidRPr="004A47DC">
        <w:rPr>
          <w:rFonts w:eastAsia="Times New Roman"/>
          <w:vertAlign w:val="superscript"/>
        </w:rPr>
        <w:footnoteReference w:id="56"/>
      </w:r>
      <w:r w:rsidRPr="004A47DC">
        <w:t>. Në janar 2023, u prezantua një format kodi ndërkombëtar për letrat me vlerë të qeverisë (ISIN-</w:t>
      </w:r>
      <w:r w:rsidR="00AD1479">
        <w:t>n</w:t>
      </w:r>
      <w:r w:rsidRPr="004A47DC">
        <w:t>umri i identifikimit ndërkombëtar të letrave me vlerë)</w:t>
      </w:r>
      <w:r w:rsidR="00AD1479">
        <w:t>,</w:t>
      </w:r>
      <w:r w:rsidRPr="004A47DC">
        <w:t xml:space="preserve"> me qëllim rritjen e aksesit të investitorëve të huaj në tregun vendas të letrave me vlerë të qeverisë.</w:t>
      </w:r>
    </w:p>
    <w:p w14:paraId="0B9CA55D" w14:textId="37DA2AD7" w:rsidR="004719D2" w:rsidRPr="004A47DC" w:rsidRDefault="004719D2" w:rsidP="00AD7779">
      <w:pPr>
        <w:pStyle w:val="TEKSTIII"/>
      </w:pPr>
      <w:r w:rsidRPr="004A47DC">
        <w:t xml:space="preserve">Disa sfida në fushën e Menaxhimit të Borxhit duhet të adresohen. Burime njerëzore janë të mjaftueshme në DPBSH, por duhet ende të zhvillohen kapacitetet. Garancitë dhe nënhuadhënia është e rregulluar mirë në ligjin e borxhit, megjithatë një kuadër i duhur mbetet ende për </w:t>
      </w:r>
      <w:r w:rsidR="00D70BDE" w:rsidRPr="004A47DC">
        <w:t>t</w:t>
      </w:r>
      <w:r w:rsidR="00CE6AE5" w:rsidRPr="004A47DC">
        <w:t>’</w:t>
      </w:r>
      <w:r w:rsidR="00D70BDE" w:rsidRPr="004A47DC">
        <w:t>u</w:t>
      </w:r>
      <w:r w:rsidR="00B2411C" w:rsidRPr="004A47DC">
        <w:t xml:space="preserve"> </w:t>
      </w:r>
      <w:r w:rsidRPr="004A47DC">
        <w:t>zhvilluar. DPB</w:t>
      </w:r>
      <w:r w:rsidR="00AD1479">
        <w:t>-ja</w:t>
      </w:r>
      <w:r w:rsidRPr="004A47DC">
        <w:t xml:space="preserve"> kryen një vlerësim të riskut të kredisë për NSH-të dhe qeverinë vendore që kërkojnë garanci ose kur përfitojnë nga operacionet e nënhuadhënies. Kjo analizë ka të nevojshme një metodologji të formalizuar dhe të mirëstrukturuar.</w:t>
      </w:r>
    </w:p>
    <w:p w14:paraId="48D58837" w14:textId="77777777" w:rsidR="004719D2" w:rsidRPr="004A47DC" w:rsidRDefault="004719D2" w:rsidP="00AD7779">
      <w:pPr>
        <w:pStyle w:val="TEKSTIII"/>
        <w:rPr>
          <w:b/>
          <w:bCs/>
        </w:rPr>
      </w:pPr>
      <w:r w:rsidRPr="004A47DC">
        <w:rPr>
          <w:b/>
          <w:bCs/>
        </w:rPr>
        <w:t>Prioritetet</w:t>
      </w:r>
    </w:p>
    <w:p w14:paraId="42D7885D" w14:textId="7DA620C7" w:rsidR="004719D2" w:rsidRPr="004A47DC" w:rsidRDefault="004719D2" w:rsidP="00AD7779">
      <w:pPr>
        <w:pStyle w:val="TEKSTIII"/>
      </w:pPr>
      <w:r w:rsidRPr="004A47DC">
        <w:t xml:space="preserve">Prioritetet kryesore për periudhën </w:t>
      </w:r>
      <w:r w:rsidR="00DB1D7E" w:rsidRPr="004A47DC">
        <w:t>2023–2026</w:t>
      </w:r>
      <w:r w:rsidRPr="004A47DC">
        <w:t xml:space="preserve"> janë:</w:t>
      </w:r>
    </w:p>
    <w:p w14:paraId="61971E37" w14:textId="7EED8A5E" w:rsidR="004719D2" w:rsidRPr="004A47DC" w:rsidRDefault="00CB2EDC" w:rsidP="00AD7779">
      <w:pPr>
        <w:pStyle w:val="TEKSTIII"/>
      </w:pPr>
      <w:r w:rsidRPr="004A47DC">
        <w:t xml:space="preserve">- </w:t>
      </w:r>
      <w:r w:rsidR="004719D2" w:rsidRPr="004A47DC">
        <w:t>Forcimi i raportimit mbi menaxhimin e borxhit dhe marrëdhënieve me investitorët;</w:t>
      </w:r>
    </w:p>
    <w:p w14:paraId="7D6F1A4A" w14:textId="6A9A3125" w:rsidR="004719D2" w:rsidRPr="004A47DC" w:rsidRDefault="00CB2EDC" w:rsidP="00AD7779">
      <w:pPr>
        <w:pStyle w:val="TEKSTIII"/>
      </w:pPr>
      <w:r w:rsidRPr="004A47DC">
        <w:t xml:space="preserve">- </w:t>
      </w:r>
      <w:r w:rsidR="004719D2" w:rsidRPr="004A47DC">
        <w:t>Zhvillimi i një kuadri gjithëpërfshirës për dhënien e garancive dhe nënhuave, të mbështetur nga një metodologji vlerësimi e formalizuar</w:t>
      </w:r>
      <w:r w:rsidR="00AD1479">
        <w:t>,</w:t>
      </w:r>
      <w:r w:rsidR="004719D2" w:rsidRPr="004A47DC">
        <w:t xml:space="preserve"> e fokusuar në menaxhimin e riskut të portofolit të mundshëm të ardhshëm;</w:t>
      </w:r>
    </w:p>
    <w:p w14:paraId="2A5081D2" w14:textId="4ECADFFB" w:rsidR="004719D2" w:rsidRPr="004A47DC" w:rsidRDefault="00CB2EDC" w:rsidP="00AD7779">
      <w:pPr>
        <w:pStyle w:val="TEKSTIII"/>
      </w:pPr>
      <w:r w:rsidRPr="004A47DC">
        <w:t xml:space="preserve">- </w:t>
      </w:r>
      <w:r w:rsidR="004719D2" w:rsidRPr="004A47DC">
        <w:t>Vlerësimi i përdorimit të mundshëm të burimeve të reja alternative të financimit (të gjelbra, sociale, të qëndrueshmërisë ose instrumente të tjera).</w:t>
      </w:r>
    </w:p>
    <w:p w14:paraId="6D910F5B" w14:textId="77777777" w:rsidR="004719D2" w:rsidRPr="004A47DC" w:rsidRDefault="004719D2" w:rsidP="004719D2">
      <w:pPr>
        <w:rPr>
          <w:rFonts w:ascii="Garamond" w:hAnsi="Garamond"/>
          <w:color w:val="000000" w:themeColor="text1"/>
        </w:rPr>
      </w:pPr>
    </w:p>
    <w:p w14:paraId="71070D7E"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Masat dhe aktivitetet</w:t>
      </w:r>
    </w:p>
    <w:tbl>
      <w:tblPr>
        <w:tblStyle w:val="TableGridIDEA3"/>
        <w:tblW w:w="5000" w:type="pct"/>
        <w:tblCellMar>
          <w:top w:w="28" w:type="dxa"/>
          <w:left w:w="57" w:type="dxa"/>
          <w:bottom w:w="28" w:type="dxa"/>
          <w:right w:w="57" w:type="dxa"/>
        </w:tblCellMar>
        <w:tblLook w:val="04A0" w:firstRow="1" w:lastRow="0" w:firstColumn="1" w:lastColumn="0" w:noHBand="0" w:noVBand="1"/>
      </w:tblPr>
      <w:tblGrid>
        <w:gridCol w:w="2616"/>
        <w:gridCol w:w="3592"/>
        <w:gridCol w:w="687"/>
        <w:gridCol w:w="854"/>
        <w:gridCol w:w="1312"/>
      </w:tblGrid>
      <w:tr w:rsidR="004719D2" w:rsidRPr="004A47DC" w14:paraId="435E0FC5" w14:textId="77777777" w:rsidTr="006D20A2">
        <w:trPr>
          <w:trHeight w:val="20"/>
          <w:tblHeader/>
        </w:trPr>
        <w:tc>
          <w:tcPr>
            <w:tcW w:w="14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9D894B"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w:t>
            </w:r>
          </w:p>
        </w:tc>
        <w:tc>
          <w:tcPr>
            <w:tcW w:w="19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A8D916"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Aktiviteti</w:t>
            </w:r>
          </w:p>
        </w:tc>
        <w:tc>
          <w:tcPr>
            <w:tcW w:w="3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9D0ED6"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Fillimi</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4F0C85"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Mbarimi</w:t>
            </w:r>
          </w:p>
        </w:tc>
        <w:tc>
          <w:tcPr>
            <w:tcW w:w="7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A02FFE" w14:textId="321DC3B5"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Grupet e </w:t>
            </w:r>
            <w:r w:rsidR="006D20A2" w:rsidRPr="004A47DC">
              <w:rPr>
                <w:rFonts w:ascii="Garamond" w:hAnsi="Garamond"/>
                <w:b/>
                <w:bCs/>
                <w:color w:val="000000" w:themeColor="text1"/>
                <w:sz w:val="16"/>
                <w:szCs w:val="16"/>
                <w:lang w:val="sq-AL"/>
              </w:rPr>
              <w:t>i</w:t>
            </w:r>
            <w:r w:rsidRPr="004A47DC">
              <w:rPr>
                <w:rFonts w:ascii="Garamond" w:hAnsi="Garamond"/>
                <w:b/>
                <w:bCs/>
                <w:color w:val="000000" w:themeColor="text1"/>
                <w:sz w:val="16"/>
                <w:szCs w:val="16"/>
                <w:lang w:val="sq-AL"/>
              </w:rPr>
              <w:t>nteresit</w:t>
            </w:r>
          </w:p>
        </w:tc>
      </w:tr>
      <w:tr w:rsidR="004719D2" w:rsidRPr="004A47DC" w14:paraId="390067D2" w14:textId="77777777" w:rsidTr="006D20A2">
        <w:trPr>
          <w:trHeight w:val="20"/>
        </w:trPr>
        <w:tc>
          <w:tcPr>
            <w:tcW w:w="1444" w:type="pct"/>
            <w:vMerge w:val="restart"/>
            <w:tcBorders>
              <w:top w:val="single" w:sz="4" w:space="0" w:color="auto"/>
              <w:left w:val="single" w:sz="4" w:space="0" w:color="auto"/>
              <w:right w:val="single" w:sz="4" w:space="0" w:color="auto"/>
            </w:tcBorders>
            <w:shd w:val="clear" w:color="auto" w:fill="auto"/>
          </w:tcPr>
          <w:p w14:paraId="0A8FD302" w14:textId="4A261F16"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Masa 4.4.1 Forcimi i raportimit të menaxhimit të borxhit dhe </w:t>
            </w:r>
            <w:r w:rsidR="00AD1479" w:rsidRPr="004A47DC">
              <w:rPr>
                <w:rFonts w:ascii="Garamond" w:hAnsi="Garamond"/>
                <w:b/>
                <w:bCs/>
                <w:color w:val="000000" w:themeColor="text1"/>
                <w:sz w:val="16"/>
                <w:szCs w:val="16"/>
                <w:lang w:val="sq-AL"/>
              </w:rPr>
              <w:t>marrëdhënieve me investitorët</w:t>
            </w: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4A9EB06B" w14:textId="058415E8" w:rsidR="004719D2" w:rsidRPr="004A47DC" w:rsidRDefault="00FE3CD0" w:rsidP="00FE3CD0">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Përgatitja dhe publikimi i planit vjetor të huamarrjes.</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4E2D7A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4D78194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2023</w:t>
            </w:r>
          </w:p>
        </w:tc>
        <w:tc>
          <w:tcPr>
            <w:tcW w:w="725" w:type="pct"/>
            <w:vMerge w:val="restart"/>
            <w:tcBorders>
              <w:top w:val="single" w:sz="4" w:space="0" w:color="auto"/>
              <w:left w:val="single" w:sz="4" w:space="0" w:color="auto"/>
              <w:right w:val="single" w:sz="4" w:space="0" w:color="auto"/>
            </w:tcBorders>
            <w:shd w:val="clear" w:color="auto" w:fill="auto"/>
          </w:tcPr>
          <w:p w14:paraId="136DA88F"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70E83689" w14:textId="29722408"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DPBSH</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w:t>
            </w:r>
          </w:p>
          <w:p w14:paraId="178115A4" w14:textId="50A4D2B0"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DPPMF</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w:t>
            </w:r>
          </w:p>
          <w:p w14:paraId="4E27EF65" w14:textId="77777777" w:rsidR="004719D2" w:rsidRPr="004A47DC" w:rsidRDefault="004719D2" w:rsidP="00CF7CEC">
            <w:pPr>
              <w:rPr>
                <w:rFonts w:ascii="Garamond" w:hAnsi="Garamond"/>
                <w:color w:val="000000" w:themeColor="text1"/>
                <w:sz w:val="16"/>
                <w:szCs w:val="16"/>
                <w:lang w:val="sq-AL"/>
              </w:rPr>
            </w:pPr>
          </w:p>
          <w:p w14:paraId="6D17E615"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48E29F27" w14:textId="7777777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w:t>
            </w:r>
          </w:p>
        </w:tc>
      </w:tr>
      <w:tr w:rsidR="004719D2" w:rsidRPr="004A47DC" w14:paraId="5FB5FA41" w14:textId="77777777" w:rsidTr="006D20A2">
        <w:trPr>
          <w:trHeight w:val="20"/>
        </w:trPr>
        <w:tc>
          <w:tcPr>
            <w:tcW w:w="1444" w:type="pct"/>
            <w:vMerge/>
            <w:tcBorders>
              <w:left w:val="single" w:sz="4" w:space="0" w:color="auto"/>
              <w:right w:val="single" w:sz="4" w:space="0" w:color="auto"/>
            </w:tcBorders>
            <w:shd w:val="clear" w:color="auto" w:fill="auto"/>
          </w:tcPr>
          <w:p w14:paraId="5F9BB628" w14:textId="77777777" w:rsidR="004719D2" w:rsidRPr="004A47DC" w:rsidRDefault="004719D2" w:rsidP="00CF7CEC">
            <w:pPr>
              <w:rPr>
                <w:rFonts w:ascii="Garamond" w:hAnsi="Garamond"/>
                <w:b/>
                <w:bCs/>
                <w:color w:val="000000" w:themeColor="text1"/>
                <w:sz w:val="16"/>
                <w:szCs w:val="16"/>
                <w:lang w:val="sq-AL"/>
              </w:rPr>
            </w:pP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73A818AF" w14:textId="33837199" w:rsidR="004719D2" w:rsidRPr="00AD1479" w:rsidRDefault="00FE3CD0" w:rsidP="00FE3CD0">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Rishikimi i praktikave aktuale dhe përmirësimi i</w:t>
            </w:r>
            <w:r w:rsidR="00B2411C" w:rsidRPr="004A47DC">
              <w:rPr>
                <w:rFonts w:ascii="Garamond" w:hAnsi="Garamond"/>
                <w:sz w:val="16"/>
                <w:szCs w:val="16"/>
                <w:lang w:val="sq-AL"/>
              </w:rPr>
              <w:t xml:space="preserve"> </w:t>
            </w:r>
            <w:r w:rsidR="004719D2" w:rsidRPr="004A47DC">
              <w:rPr>
                <w:rFonts w:ascii="Garamond" w:hAnsi="Garamond"/>
                <w:sz w:val="16"/>
                <w:szCs w:val="16"/>
                <w:lang w:val="sq-AL"/>
              </w:rPr>
              <w:t>informacionin për investitorët i publikuar në faqen e internetit të MF-së</w:t>
            </w:r>
            <w:r w:rsidR="004719D2" w:rsidRPr="00AD1479">
              <w:rPr>
                <w:rFonts w:ascii="Garamond" w:hAnsi="Garamond"/>
                <w:sz w:val="16"/>
                <w:szCs w:val="16"/>
                <w:vertAlign w:val="superscript"/>
                <w:lang w:val="sq-AL"/>
              </w:rPr>
              <w:footnoteReference w:id="57"/>
            </w:r>
            <w:r w:rsidR="004719D2" w:rsidRPr="00AD1479">
              <w:rPr>
                <w:rFonts w:ascii="Garamond" w:hAnsi="Garamond"/>
                <w:sz w:val="16"/>
                <w:szCs w:val="16"/>
                <w:vertAlign w:val="superscript"/>
                <w:lang w:val="sq-AL"/>
              </w:rPr>
              <w:t xml:space="preserve"> </w:t>
            </w:r>
            <w:r w:rsidR="00AD1479">
              <w:rPr>
                <w:rFonts w:ascii="Garamond" w:hAnsi="Garamond"/>
                <w:sz w:val="16"/>
                <w:szCs w:val="16"/>
                <w:lang w:val="sq-AL"/>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C7F0F5" w14:textId="77777777" w:rsidR="004719D2" w:rsidRPr="004A47DC" w:rsidRDefault="004719D2" w:rsidP="00CF7CEC">
            <w:pPr>
              <w:jc w:val="center"/>
              <w:rPr>
                <w:rFonts w:ascii="Garamond" w:hAnsi="Garamond"/>
                <w:bCs/>
                <w:color w:val="000000" w:themeColor="text1"/>
                <w:sz w:val="16"/>
                <w:szCs w:val="16"/>
                <w:lang w:val="sq-AL"/>
              </w:rPr>
            </w:pPr>
            <w:r w:rsidRPr="004A47DC">
              <w:rPr>
                <w:rFonts w:ascii="Garamond" w:hAnsi="Garamond"/>
                <w:bCs/>
                <w:color w:val="000000" w:themeColor="text1"/>
                <w:sz w:val="16"/>
                <w:szCs w:val="16"/>
                <w:shd w:val="clear" w:color="auto" w:fill="FFFFFF"/>
                <w:lang w:val="sq-AL"/>
              </w:rPr>
              <w:t>T2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B739264" w14:textId="77777777" w:rsidR="004719D2" w:rsidRPr="004A47DC" w:rsidRDefault="004719D2" w:rsidP="00CF7CEC">
            <w:pPr>
              <w:jc w:val="center"/>
              <w:rPr>
                <w:rFonts w:ascii="Garamond" w:hAnsi="Garamond"/>
                <w:bCs/>
                <w:color w:val="000000" w:themeColor="text1"/>
                <w:sz w:val="16"/>
                <w:szCs w:val="16"/>
                <w:lang w:val="sq-AL"/>
              </w:rPr>
            </w:pPr>
            <w:r w:rsidRPr="004A47DC">
              <w:rPr>
                <w:rFonts w:ascii="Garamond" w:hAnsi="Garamond"/>
                <w:bCs/>
                <w:color w:val="000000" w:themeColor="text1"/>
                <w:sz w:val="16"/>
                <w:szCs w:val="16"/>
                <w:shd w:val="clear" w:color="auto" w:fill="FFFFFF"/>
                <w:lang w:val="sq-AL"/>
              </w:rPr>
              <w:t>T3 2024</w:t>
            </w:r>
          </w:p>
        </w:tc>
        <w:tc>
          <w:tcPr>
            <w:tcW w:w="725" w:type="pct"/>
            <w:vMerge/>
            <w:tcBorders>
              <w:left w:val="single" w:sz="4" w:space="0" w:color="auto"/>
              <w:right w:val="single" w:sz="4" w:space="0" w:color="auto"/>
            </w:tcBorders>
            <w:shd w:val="clear" w:color="auto" w:fill="auto"/>
          </w:tcPr>
          <w:p w14:paraId="3BC3C053" w14:textId="77777777" w:rsidR="004719D2" w:rsidRPr="004A47DC" w:rsidRDefault="004719D2" w:rsidP="00CF7CEC">
            <w:pPr>
              <w:rPr>
                <w:rFonts w:ascii="Garamond" w:hAnsi="Garamond"/>
                <w:b/>
                <w:bCs/>
                <w:color w:val="000000" w:themeColor="text1"/>
                <w:sz w:val="16"/>
                <w:szCs w:val="16"/>
                <w:lang w:val="sq-AL"/>
              </w:rPr>
            </w:pPr>
          </w:p>
        </w:tc>
      </w:tr>
      <w:tr w:rsidR="004719D2" w:rsidRPr="004A47DC" w14:paraId="0EA8C19E" w14:textId="77777777" w:rsidTr="006D20A2">
        <w:trPr>
          <w:trHeight w:val="20"/>
        </w:trPr>
        <w:tc>
          <w:tcPr>
            <w:tcW w:w="1444" w:type="pct"/>
            <w:vMerge/>
            <w:tcBorders>
              <w:left w:val="single" w:sz="4" w:space="0" w:color="auto"/>
              <w:bottom w:val="single" w:sz="4" w:space="0" w:color="auto"/>
              <w:right w:val="single" w:sz="4" w:space="0" w:color="auto"/>
            </w:tcBorders>
            <w:shd w:val="clear" w:color="auto" w:fill="auto"/>
          </w:tcPr>
          <w:p w14:paraId="634E821A" w14:textId="77777777" w:rsidR="004719D2" w:rsidRPr="004A47DC" w:rsidRDefault="004719D2" w:rsidP="00CF7CEC">
            <w:pPr>
              <w:rPr>
                <w:rFonts w:ascii="Garamond" w:hAnsi="Garamond"/>
                <w:b/>
                <w:bCs/>
                <w:color w:val="000000" w:themeColor="text1"/>
                <w:sz w:val="16"/>
                <w:szCs w:val="16"/>
                <w:lang w:val="sq-AL"/>
              </w:rPr>
            </w:pP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55E20E43" w14:textId="54A9D5EB" w:rsidR="004719D2" w:rsidRPr="004A47DC" w:rsidRDefault="00FE3CD0" w:rsidP="00FE3CD0">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Ofrimi i informacionit për bazën e investitorëve mbi zhvillimet kryesore makroekonomike në vend</w:t>
            </w:r>
            <w:r w:rsidR="00AD1479">
              <w:rPr>
                <w:rFonts w:ascii="Garamond" w:hAnsi="Garamond"/>
                <w:sz w:val="16"/>
                <w:szCs w:val="16"/>
                <w:lang w:val="sq-AL"/>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C4A12FB"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shd w:val="clear" w:color="auto" w:fill="FFFFFF"/>
                <w:lang w:val="sq-AL"/>
              </w:rPr>
              <w:t>T3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0C6FD9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shd w:val="clear" w:color="auto" w:fill="FFFFFF"/>
                <w:lang w:val="sq-AL"/>
              </w:rPr>
              <w:t>T4 2026</w:t>
            </w:r>
          </w:p>
        </w:tc>
        <w:tc>
          <w:tcPr>
            <w:tcW w:w="725" w:type="pct"/>
            <w:vMerge/>
            <w:tcBorders>
              <w:left w:val="single" w:sz="4" w:space="0" w:color="auto"/>
              <w:bottom w:val="single" w:sz="4" w:space="0" w:color="auto"/>
              <w:right w:val="single" w:sz="4" w:space="0" w:color="auto"/>
            </w:tcBorders>
            <w:shd w:val="clear" w:color="auto" w:fill="auto"/>
          </w:tcPr>
          <w:p w14:paraId="0CFADACE" w14:textId="77777777" w:rsidR="004719D2" w:rsidRPr="004A47DC" w:rsidRDefault="004719D2" w:rsidP="00CF7CEC">
            <w:pPr>
              <w:rPr>
                <w:rFonts w:ascii="Garamond" w:hAnsi="Garamond"/>
                <w:b/>
                <w:bCs/>
                <w:color w:val="000000" w:themeColor="text1"/>
                <w:sz w:val="16"/>
                <w:szCs w:val="16"/>
                <w:lang w:val="sq-AL"/>
              </w:rPr>
            </w:pPr>
          </w:p>
        </w:tc>
      </w:tr>
      <w:tr w:rsidR="004719D2" w:rsidRPr="004A47DC" w14:paraId="1A06E898" w14:textId="77777777" w:rsidTr="006D20A2">
        <w:trPr>
          <w:trHeight w:val="20"/>
        </w:trPr>
        <w:tc>
          <w:tcPr>
            <w:tcW w:w="1444" w:type="pct"/>
            <w:vMerge/>
            <w:tcBorders>
              <w:left w:val="single" w:sz="4" w:space="0" w:color="auto"/>
              <w:bottom w:val="single" w:sz="4" w:space="0" w:color="auto"/>
              <w:right w:val="single" w:sz="4" w:space="0" w:color="auto"/>
            </w:tcBorders>
            <w:shd w:val="clear" w:color="auto" w:fill="auto"/>
          </w:tcPr>
          <w:p w14:paraId="7B188763" w14:textId="77777777" w:rsidR="004719D2" w:rsidRPr="004A47DC" w:rsidRDefault="004719D2" w:rsidP="00CF7CEC">
            <w:pPr>
              <w:rPr>
                <w:rFonts w:ascii="Garamond" w:hAnsi="Garamond"/>
                <w:b/>
                <w:bCs/>
                <w:color w:val="000000" w:themeColor="text1"/>
                <w:sz w:val="16"/>
                <w:szCs w:val="16"/>
                <w:lang w:val="sq-AL"/>
              </w:rPr>
            </w:pP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770EDB9F" w14:textId="126D05C5" w:rsidR="004719D2" w:rsidRPr="004A47DC" w:rsidRDefault="00FE3CD0" w:rsidP="00FE3CD0">
            <w:pPr>
              <w:rPr>
                <w:rFonts w:ascii="Garamond" w:hAnsi="Garamond"/>
                <w:sz w:val="16"/>
                <w:szCs w:val="16"/>
                <w:lang w:val="sq-AL"/>
              </w:rPr>
            </w:pPr>
            <w:r w:rsidRPr="004A47DC">
              <w:rPr>
                <w:rFonts w:ascii="Garamond" w:hAnsi="Garamond"/>
                <w:sz w:val="16"/>
                <w:szCs w:val="16"/>
                <w:lang w:val="sq-AL"/>
              </w:rPr>
              <w:t xml:space="preserve">4. </w:t>
            </w:r>
            <w:r w:rsidR="004719D2" w:rsidRPr="004A47DC">
              <w:rPr>
                <w:rFonts w:ascii="Garamond" w:hAnsi="Garamond"/>
                <w:sz w:val="16"/>
                <w:szCs w:val="16"/>
                <w:lang w:val="sq-AL"/>
              </w:rPr>
              <w:t xml:space="preserve">Përgatitja dhe publikimi i </w:t>
            </w:r>
            <w:r w:rsidR="00AD1479" w:rsidRPr="004A47DC">
              <w:rPr>
                <w:rFonts w:ascii="Garamond" w:hAnsi="Garamond"/>
                <w:sz w:val="16"/>
                <w:szCs w:val="16"/>
                <w:lang w:val="sq-AL"/>
              </w:rPr>
              <w:t xml:space="preserve">raportit vjetor të monitorimit </w:t>
            </w:r>
            <w:r w:rsidR="004719D2" w:rsidRPr="004A47DC">
              <w:rPr>
                <w:rFonts w:ascii="Garamond" w:hAnsi="Garamond"/>
                <w:sz w:val="16"/>
                <w:szCs w:val="16"/>
                <w:lang w:val="sq-AL"/>
              </w:rPr>
              <w:t>të SMB</w:t>
            </w:r>
            <w:r w:rsidR="00AD1479">
              <w:rPr>
                <w:rFonts w:ascii="Garamond" w:hAnsi="Garamond"/>
                <w:sz w:val="16"/>
                <w:szCs w:val="16"/>
                <w:lang w:val="sq-AL"/>
              </w:rPr>
              <w:t>-së</w:t>
            </w:r>
            <w:r w:rsidR="004719D2" w:rsidRPr="004A47DC">
              <w:rPr>
                <w:rFonts w:ascii="Garamond" w:hAnsi="Garamond"/>
                <w:sz w:val="16"/>
                <w:szCs w:val="16"/>
                <w:lang w:val="sq-AL"/>
              </w:rPr>
              <w:t>.</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00C49F1" w14:textId="77777777" w:rsidR="004719D2" w:rsidRPr="004A47DC" w:rsidRDefault="004719D2" w:rsidP="00CF7CEC">
            <w:pPr>
              <w:jc w:val="center"/>
              <w:rPr>
                <w:rFonts w:ascii="Garamond" w:hAnsi="Garamond"/>
                <w:b/>
                <w:bCs/>
                <w:color w:val="000000" w:themeColor="text1"/>
                <w:sz w:val="16"/>
                <w:szCs w:val="16"/>
                <w:lang w:val="sq-AL"/>
              </w:rPr>
            </w:pPr>
            <w:r w:rsidRPr="004A47DC">
              <w:rPr>
                <w:rFonts w:ascii="Garamond" w:hAnsi="Garamond"/>
                <w:color w:val="000000" w:themeColor="text1"/>
                <w:sz w:val="16"/>
                <w:szCs w:val="16"/>
                <w:lang w:val="sq-AL"/>
              </w:rPr>
              <w:t>T1 2023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427D5AAC" w14:textId="77777777" w:rsidR="004719D2" w:rsidRPr="004A47DC" w:rsidRDefault="004719D2" w:rsidP="00CF7CEC">
            <w:pPr>
              <w:jc w:val="center"/>
              <w:rPr>
                <w:rFonts w:ascii="Garamond" w:hAnsi="Garamond"/>
                <w:b/>
                <w:bCs/>
                <w:color w:val="000000" w:themeColor="text1"/>
                <w:sz w:val="16"/>
                <w:szCs w:val="16"/>
                <w:lang w:val="sq-AL"/>
              </w:rPr>
            </w:pPr>
            <w:r w:rsidRPr="004A47DC">
              <w:rPr>
                <w:rFonts w:ascii="Garamond" w:hAnsi="Garamond"/>
                <w:color w:val="000000" w:themeColor="text1"/>
                <w:sz w:val="16"/>
                <w:szCs w:val="16"/>
                <w:lang w:val="sq-AL"/>
              </w:rPr>
              <w:t>T1 2026</w:t>
            </w:r>
          </w:p>
        </w:tc>
        <w:tc>
          <w:tcPr>
            <w:tcW w:w="725" w:type="pct"/>
            <w:vMerge/>
            <w:tcBorders>
              <w:left w:val="single" w:sz="4" w:space="0" w:color="auto"/>
              <w:bottom w:val="single" w:sz="4" w:space="0" w:color="auto"/>
              <w:right w:val="single" w:sz="4" w:space="0" w:color="auto"/>
            </w:tcBorders>
            <w:shd w:val="clear" w:color="auto" w:fill="auto"/>
          </w:tcPr>
          <w:p w14:paraId="5E0C5432" w14:textId="77777777" w:rsidR="004719D2" w:rsidRPr="004A47DC" w:rsidRDefault="004719D2" w:rsidP="00CF7CEC">
            <w:pPr>
              <w:rPr>
                <w:rFonts w:ascii="Garamond" w:hAnsi="Garamond"/>
                <w:b/>
                <w:bCs/>
                <w:color w:val="000000" w:themeColor="text1"/>
                <w:sz w:val="16"/>
                <w:szCs w:val="16"/>
                <w:lang w:val="sq-AL"/>
              </w:rPr>
            </w:pPr>
          </w:p>
        </w:tc>
      </w:tr>
      <w:tr w:rsidR="004719D2" w:rsidRPr="004A47DC" w14:paraId="1D92E348" w14:textId="77777777" w:rsidTr="006D20A2">
        <w:trPr>
          <w:trHeight w:val="20"/>
        </w:trPr>
        <w:tc>
          <w:tcPr>
            <w:tcW w:w="1444" w:type="pct"/>
            <w:vMerge w:val="restart"/>
            <w:tcBorders>
              <w:top w:val="single" w:sz="4" w:space="0" w:color="auto"/>
              <w:left w:val="single" w:sz="4" w:space="0" w:color="auto"/>
              <w:right w:val="single" w:sz="4" w:space="0" w:color="auto"/>
            </w:tcBorders>
            <w:shd w:val="clear" w:color="auto" w:fill="auto"/>
          </w:tcPr>
          <w:p w14:paraId="1615CE50" w14:textId="77777777" w:rsidR="004719D2" w:rsidRPr="004A47DC" w:rsidRDefault="004719D2" w:rsidP="00CF7CEC">
            <w:pPr>
              <w:rPr>
                <w:rFonts w:ascii="Garamond" w:hAnsi="Garamond"/>
                <w:b/>
                <w:color w:val="000000" w:themeColor="text1"/>
                <w:sz w:val="16"/>
                <w:szCs w:val="16"/>
                <w:lang w:val="sq-AL"/>
              </w:rPr>
            </w:pPr>
            <w:r w:rsidRPr="004A47DC">
              <w:rPr>
                <w:rFonts w:ascii="Garamond" w:hAnsi="Garamond"/>
                <w:b/>
                <w:bCs/>
                <w:color w:val="000000" w:themeColor="text1"/>
                <w:sz w:val="16"/>
                <w:szCs w:val="16"/>
                <w:lang w:val="sq-AL"/>
              </w:rPr>
              <w:t>Masa 4.4.2 Zhvillimi i një kuadri gjithëpërfshirës për sigurimin e garancive dhe huadhënies</w:t>
            </w: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5D98844A" w14:textId="7B83023F" w:rsidR="004719D2" w:rsidRPr="004A47DC" w:rsidRDefault="00FE3CD0" w:rsidP="00FE3CD0">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Zhvillimi i një kuadri gjithëpërfshirës për vlerësimin e riskut të kredisë për NSH-të dhe qeverinë vendore kur ofrohet garanci shtetërore ose nënhua.</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F17F1A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149FA882"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725" w:type="pct"/>
            <w:vMerge w:val="restart"/>
            <w:tcBorders>
              <w:top w:val="single" w:sz="4" w:space="0" w:color="auto"/>
              <w:left w:val="single" w:sz="4" w:space="0" w:color="auto"/>
              <w:right w:val="single" w:sz="4" w:space="0" w:color="auto"/>
            </w:tcBorders>
            <w:shd w:val="clear" w:color="auto" w:fill="auto"/>
          </w:tcPr>
          <w:p w14:paraId="4C104636"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27626E4B" w14:textId="5E339CF3"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DPBSH</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w:t>
            </w:r>
          </w:p>
          <w:p w14:paraId="062E0393" w14:textId="77777777" w:rsidR="004719D2" w:rsidRPr="004A47DC" w:rsidRDefault="004719D2" w:rsidP="00CF7CEC">
            <w:pPr>
              <w:rPr>
                <w:rFonts w:ascii="Garamond" w:hAnsi="Garamond"/>
                <w:color w:val="000000" w:themeColor="text1"/>
                <w:sz w:val="16"/>
                <w:szCs w:val="16"/>
                <w:lang w:val="sq-AL"/>
              </w:rPr>
            </w:pPr>
          </w:p>
          <w:p w14:paraId="2E4BC717"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2C218909" w14:textId="77777777" w:rsidR="004719D2" w:rsidRPr="004A47DC" w:rsidRDefault="004719D2" w:rsidP="00CF7CEC">
            <w:pPr>
              <w:rPr>
                <w:rFonts w:ascii="Garamond" w:hAnsi="Garamond"/>
                <w:bCs/>
                <w:color w:val="000000" w:themeColor="text1"/>
                <w:sz w:val="16"/>
                <w:szCs w:val="16"/>
                <w:lang w:val="sq-AL"/>
              </w:rPr>
            </w:pPr>
            <w:r w:rsidRPr="004A47DC">
              <w:rPr>
                <w:rFonts w:ascii="Garamond" w:hAnsi="Garamond"/>
                <w:bCs/>
                <w:color w:val="000000" w:themeColor="text1"/>
                <w:sz w:val="16"/>
                <w:szCs w:val="16"/>
                <w:lang w:val="sq-AL"/>
              </w:rPr>
              <w:t>Banka Botërore</w:t>
            </w:r>
          </w:p>
        </w:tc>
      </w:tr>
      <w:tr w:rsidR="004719D2" w:rsidRPr="004A47DC" w14:paraId="63570BB1" w14:textId="77777777" w:rsidTr="006D20A2">
        <w:trPr>
          <w:trHeight w:val="20"/>
        </w:trPr>
        <w:tc>
          <w:tcPr>
            <w:tcW w:w="1444" w:type="pct"/>
            <w:vMerge/>
            <w:tcBorders>
              <w:left w:val="single" w:sz="4" w:space="0" w:color="auto"/>
              <w:bottom w:val="single" w:sz="4" w:space="0" w:color="auto"/>
              <w:right w:val="single" w:sz="4" w:space="0" w:color="auto"/>
            </w:tcBorders>
            <w:shd w:val="clear" w:color="auto" w:fill="auto"/>
          </w:tcPr>
          <w:p w14:paraId="2725FFCC" w14:textId="77777777" w:rsidR="004719D2" w:rsidRPr="004A47DC" w:rsidRDefault="004719D2" w:rsidP="00CF7CEC">
            <w:pPr>
              <w:rPr>
                <w:rFonts w:ascii="Garamond" w:hAnsi="Garamond"/>
                <w:b/>
                <w:bCs/>
                <w:color w:val="000000" w:themeColor="text1"/>
                <w:sz w:val="16"/>
                <w:szCs w:val="16"/>
                <w:lang w:val="sq-AL"/>
              </w:rPr>
            </w:pP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77D30940" w14:textId="6B694A4B" w:rsidR="004719D2" w:rsidRPr="004A47DC" w:rsidRDefault="003C2D23" w:rsidP="00FE3CD0">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Ngritja e kapaciteteve të stafit të DPBSH-së për të vlerësuar aftësinë kreditore të NSH-ve dhe qeverisë vendore.</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616DBC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65FA412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725" w:type="pct"/>
            <w:vMerge/>
            <w:tcBorders>
              <w:left w:val="single" w:sz="4" w:space="0" w:color="auto"/>
              <w:bottom w:val="single" w:sz="4" w:space="0" w:color="auto"/>
              <w:right w:val="single" w:sz="4" w:space="0" w:color="auto"/>
            </w:tcBorders>
            <w:shd w:val="clear" w:color="auto" w:fill="auto"/>
          </w:tcPr>
          <w:p w14:paraId="4CA14EC0" w14:textId="77777777" w:rsidR="004719D2" w:rsidRPr="004A47DC" w:rsidRDefault="004719D2" w:rsidP="00CF7CEC">
            <w:pPr>
              <w:rPr>
                <w:rFonts w:ascii="Garamond" w:hAnsi="Garamond"/>
                <w:b/>
                <w:bCs/>
                <w:color w:val="000000" w:themeColor="text1"/>
                <w:sz w:val="16"/>
                <w:szCs w:val="16"/>
                <w:lang w:val="sq-AL"/>
              </w:rPr>
            </w:pPr>
          </w:p>
        </w:tc>
      </w:tr>
      <w:tr w:rsidR="004719D2" w:rsidRPr="004A47DC" w14:paraId="267DE658" w14:textId="77777777" w:rsidTr="006D20A2">
        <w:trPr>
          <w:trHeight w:val="20"/>
        </w:trPr>
        <w:tc>
          <w:tcPr>
            <w:tcW w:w="1444" w:type="pct"/>
            <w:vMerge w:val="restart"/>
            <w:tcBorders>
              <w:top w:val="single" w:sz="4" w:space="0" w:color="auto"/>
              <w:left w:val="single" w:sz="4" w:space="0" w:color="auto"/>
              <w:right w:val="single" w:sz="4" w:space="0" w:color="auto"/>
            </w:tcBorders>
            <w:shd w:val="clear" w:color="auto" w:fill="auto"/>
          </w:tcPr>
          <w:p w14:paraId="1D686D61" w14:textId="77777777" w:rsidR="004719D2" w:rsidRPr="004A47DC" w:rsidRDefault="004719D2" w:rsidP="00CF7CEC">
            <w:pPr>
              <w:rPr>
                <w:rFonts w:ascii="Garamond" w:hAnsi="Garamond" w:cs="Open Sans Light"/>
                <w:color w:val="000000" w:themeColor="text1"/>
                <w:sz w:val="16"/>
                <w:szCs w:val="16"/>
                <w:lang w:val="sq-AL"/>
              </w:rPr>
            </w:pPr>
            <w:r w:rsidRPr="004A47DC">
              <w:rPr>
                <w:rFonts w:ascii="Garamond" w:hAnsi="Garamond"/>
                <w:b/>
                <w:color w:val="000000" w:themeColor="text1"/>
                <w:sz w:val="16"/>
                <w:szCs w:val="16"/>
                <w:lang w:val="sq-AL"/>
              </w:rPr>
              <w:t xml:space="preserve">Masa 4.4.3 </w:t>
            </w:r>
            <w:r w:rsidRPr="004A47DC">
              <w:rPr>
                <w:rFonts w:ascii="Garamond" w:hAnsi="Garamond"/>
                <w:b/>
                <w:bCs/>
                <w:color w:val="000000" w:themeColor="text1"/>
                <w:sz w:val="16"/>
                <w:szCs w:val="16"/>
                <w:lang w:val="sq-AL"/>
              </w:rPr>
              <w:t>Fillimi gradual i zhvillimit të vlerësimit të nevojshëm për instrumente të reja alternative të financimit (të gjelbër, Social ose Qëndrueshmëri ose instrumente të tjera)</w:t>
            </w: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4A38E12E" w14:textId="6BFA271E" w:rsidR="004719D2" w:rsidRPr="004A47DC" w:rsidRDefault="003C2D23" w:rsidP="00FE3CD0">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Kryerja e një vlerësimi të instrumenteve/</w:t>
            </w:r>
            <w:r w:rsidR="00AD1479">
              <w:rPr>
                <w:rFonts w:ascii="Garamond" w:hAnsi="Garamond"/>
                <w:sz w:val="16"/>
                <w:szCs w:val="16"/>
                <w:lang w:val="sq-AL"/>
              </w:rPr>
              <w:t xml:space="preserve"> </w:t>
            </w:r>
            <w:r w:rsidR="004719D2" w:rsidRPr="004A47DC">
              <w:rPr>
                <w:rFonts w:ascii="Garamond" w:hAnsi="Garamond"/>
                <w:sz w:val="16"/>
                <w:szCs w:val="16"/>
                <w:lang w:val="sq-AL"/>
              </w:rPr>
              <w:t>obligacioneve të ndryshme të gjelbra dhe instrumenteve të tjera alternative të financimit dhe se si ato mund të zbatohen.</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3236B5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lang w:val="sq-AL"/>
              </w:rPr>
              <w:t>T3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00DABDD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lang w:val="sq-AL"/>
              </w:rPr>
              <w:t>T4 2025</w:t>
            </w:r>
          </w:p>
        </w:tc>
        <w:tc>
          <w:tcPr>
            <w:tcW w:w="725" w:type="pct"/>
            <w:vMerge w:val="restart"/>
            <w:tcBorders>
              <w:top w:val="single" w:sz="4" w:space="0" w:color="auto"/>
              <w:left w:val="single" w:sz="4" w:space="0" w:color="auto"/>
              <w:right w:val="single" w:sz="4" w:space="0" w:color="auto"/>
            </w:tcBorders>
            <w:shd w:val="clear" w:color="auto" w:fill="auto"/>
          </w:tcPr>
          <w:p w14:paraId="62B14F33"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4738388E" w14:textId="478B1335"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DPBSH</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 DPB</w:t>
            </w:r>
            <w:r w:rsidR="00AD1479">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w:t>
            </w:r>
            <w:r w:rsidR="00AD1479" w:rsidRPr="004A47DC">
              <w:rPr>
                <w:rFonts w:ascii="Garamond" w:hAnsi="Garamond"/>
                <w:color w:val="000000" w:themeColor="text1"/>
                <w:sz w:val="16"/>
                <w:szCs w:val="16"/>
                <w:lang w:val="sq-AL"/>
              </w:rPr>
              <w:t>ministritë e linjës</w:t>
            </w:r>
          </w:p>
          <w:p w14:paraId="52DE6EEF" w14:textId="77777777" w:rsidR="004719D2" w:rsidRPr="004A47DC" w:rsidRDefault="004719D2" w:rsidP="00CF7CEC">
            <w:pPr>
              <w:rPr>
                <w:rFonts w:ascii="Garamond" w:hAnsi="Garamond"/>
                <w:color w:val="000000" w:themeColor="text1"/>
                <w:sz w:val="16"/>
                <w:szCs w:val="16"/>
                <w:lang w:val="sq-AL"/>
              </w:rPr>
            </w:pPr>
          </w:p>
          <w:p w14:paraId="3A52AE60"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10F873C4" w14:textId="2D63E304"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Banka Botërore, GIZ</w:t>
            </w:r>
            <w:r w:rsidR="00AD1479">
              <w:rPr>
                <w:rFonts w:ascii="Garamond" w:hAnsi="Garamond"/>
                <w:color w:val="000000" w:themeColor="text1"/>
                <w:sz w:val="16"/>
                <w:szCs w:val="16"/>
                <w:lang w:val="sq-AL"/>
              </w:rPr>
              <w:t>-i</w:t>
            </w:r>
            <w:r w:rsidRPr="004A47DC">
              <w:rPr>
                <w:rFonts w:ascii="Garamond" w:hAnsi="Garamond"/>
                <w:color w:val="000000" w:themeColor="text1"/>
                <w:sz w:val="16"/>
                <w:szCs w:val="16"/>
                <w:lang w:val="sq-AL"/>
              </w:rPr>
              <w:t>, AFD</w:t>
            </w:r>
            <w:r w:rsidR="00AD1479">
              <w:rPr>
                <w:rFonts w:ascii="Garamond" w:hAnsi="Garamond"/>
                <w:color w:val="000000" w:themeColor="text1"/>
                <w:sz w:val="16"/>
                <w:szCs w:val="16"/>
                <w:lang w:val="sq-AL"/>
              </w:rPr>
              <w:t>-ja</w:t>
            </w:r>
          </w:p>
        </w:tc>
      </w:tr>
      <w:tr w:rsidR="004719D2" w:rsidRPr="004A47DC" w14:paraId="2F13846B" w14:textId="77777777" w:rsidTr="006D20A2">
        <w:trPr>
          <w:trHeight w:val="20"/>
        </w:trPr>
        <w:tc>
          <w:tcPr>
            <w:tcW w:w="1444" w:type="pct"/>
            <w:vMerge/>
            <w:tcBorders>
              <w:left w:val="single" w:sz="4" w:space="0" w:color="auto"/>
              <w:bottom w:val="single" w:sz="4" w:space="0" w:color="auto"/>
              <w:right w:val="single" w:sz="4" w:space="0" w:color="auto"/>
            </w:tcBorders>
            <w:shd w:val="clear" w:color="auto" w:fill="auto"/>
          </w:tcPr>
          <w:p w14:paraId="46FA8407" w14:textId="77777777" w:rsidR="004719D2" w:rsidRPr="004A47DC" w:rsidRDefault="004719D2" w:rsidP="00CF7CEC">
            <w:pPr>
              <w:rPr>
                <w:rFonts w:ascii="Garamond" w:hAnsi="Garamond"/>
                <w:b/>
                <w:bCs/>
                <w:color w:val="000000" w:themeColor="text1"/>
                <w:sz w:val="16"/>
                <w:szCs w:val="16"/>
                <w:lang w:val="sq-AL"/>
              </w:rPr>
            </w:pPr>
          </w:p>
        </w:tc>
        <w:tc>
          <w:tcPr>
            <w:tcW w:w="1982" w:type="pct"/>
            <w:tcBorders>
              <w:top w:val="single" w:sz="4" w:space="0" w:color="auto"/>
              <w:left w:val="single" w:sz="4" w:space="0" w:color="auto"/>
              <w:bottom w:val="single" w:sz="4" w:space="0" w:color="auto"/>
              <w:right w:val="single" w:sz="4" w:space="0" w:color="auto"/>
            </w:tcBorders>
            <w:shd w:val="clear" w:color="auto" w:fill="auto"/>
            <w:vAlign w:val="center"/>
          </w:tcPr>
          <w:p w14:paraId="13A7D404" w14:textId="483C290C" w:rsidR="004719D2" w:rsidRPr="004A47DC" w:rsidRDefault="003C2D23" w:rsidP="00FE3CD0">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Ndërtimi i kapaciteteve të DPBSH-së, MIP-it dhe stafit të tjerë për të përmirësuar të kuptuarit e financimit të gjelbër dhe instrumenteve të tjera alternative të financimit dhe kushteve dhe kërkesave përkatëse.</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87D5E4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lang w:val="sq-AL"/>
              </w:rPr>
              <w:t>T3 2024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6C96351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bCs/>
                <w:color w:val="000000" w:themeColor="text1"/>
                <w:sz w:val="16"/>
                <w:szCs w:val="16"/>
                <w:lang w:val="sq-AL"/>
              </w:rPr>
              <w:t>T4 2025</w:t>
            </w:r>
          </w:p>
        </w:tc>
        <w:tc>
          <w:tcPr>
            <w:tcW w:w="725" w:type="pct"/>
            <w:vMerge/>
            <w:tcBorders>
              <w:left w:val="single" w:sz="4" w:space="0" w:color="auto"/>
              <w:bottom w:val="single" w:sz="4" w:space="0" w:color="auto"/>
              <w:right w:val="single" w:sz="4" w:space="0" w:color="auto"/>
            </w:tcBorders>
            <w:shd w:val="clear" w:color="auto" w:fill="auto"/>
          </w:tcPr>
          <w:p w14:paraId="59806E47" w14:textId="77777777" w:rsidR="004719D2" w:rsidRPr="004A47DC" w:rsidRDefault="004719D2" w:rsidP="00CF7CEC">
            <w:pPr>
              <w:rPr>
                <w:rFonts w:ascii="Garamond" w:hAnsi="Garamond"/>
                <w:b/>
                <w:bCs/>
                <w:color w:val="000000" w:themeColor="text1"/>
                <w:sz w:val="16"/>
                <w:szCs w:val="16"/>
                <w:lang w:val="sq-AL"/>
              </w:rPr>
            </w:pPr>
          </w:p>
        </w:tc>
      </w:tr>
    </w:tbl>
    <w:p w14:paraId="1ACBC28F" w14:textId="77777777" w:rsidR="004719D2" w:rsidRPr="004A47DC" w:rsidRDefault="004719D2" w:rsidP="004719D2">
      <w:pPr>
        <w:rPr>
          <w:rFonts w:ascii="Garamond" w:hAnsi="Garamond"/>
          <w:color w:val="000000" w:themeColor="text1"/>
        </w:rPr>
      </w:pPr>
    </w:p>
    <w:p w14:paraId="15F39895"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Treguesit e performancës dhe vlerat e synuara</w:t>
      </w:r>
    </w:p>
    <w:tbl>
      <w:tblPr>
        <w:tblStyle w:val="TableGridIDEA3"/>
        <w:tblW w:w="9017" w:type="dxa"/>
        <w:tblLayout w:type="fixed"/>
        <w:tblCellMar>
          <w:top w:w="28" w:type="dxa"/>
          <w:left w:w="57" w:type="dxa"/>
          <w:bottom w:w="28" w:type="dxa"/>
          <w:right w:w="57" w:type="dxa"/>
        </w:tblCellMar>
        <w:tblLook w:val="04A0" w:firstRow="1" w:lastRow="0" w:firstColumn="1" w:lastColumn="0" w:noHBand="0" w:noVBand="1"/>
      </w:tblPr>
      <w:tblGrid>
        <w:gridCol w:w="3114"/>
        <w:gridCol w:w="1180"/>
        <w:gridCol w:w="1181"/>
        <w:gridCol w:w="1180"/>
        <w:gridCol w:w="1181"/>
        <w:gridCol w:w="1181"/>
      </w:tblGrid>
      <w:tr w:rsidR="004719D2" w:rsidRPr="004A47DC" w14:paraId="6FFF15A9" w14:textId="77777777" w:rsidTr="006D20A2">
        <w:trPr>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313B2F"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Treguesi</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B8569D"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Vlera bazë (viti)</w:t>
            </w:r>
          </w:p>
        </w:tc>
        <w:tc>
          <w:tcPr>
            <w:tcW w:w="47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DF8506"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Vlerat e synuara</w:t>
            </w:r>
          </w:p>
        </w:tc>
      </w:tr>
      <w:tr w:rsidR="004719D2" w:rsidRPr="004A47DC" w14:paraId="3D68FF0D" w14:textId="77777777" w:rsidTr="006D20A2">
        <w:trPr>
          <w:tblHead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7EEF679" w14:textId="77777777" w:rsidR="004719D2" w:rsidRPr="004A47DC" w:rsidRDefault="004719D2" w:rsidP="006D20A2">
            <w:pPr>
              <w:jc w:val="center"/>
              <w:rPr>
                <w:rFonts w:ascii="Garamond" w:hAnsi="Garamond"/>
                <w:b/>
                <w:bCs/>
                <w:color w:val="000000" w:themeColor="text1"/>
                <w:sz w:val="16"/>
                <w:szCs w:val="16"/>
                <w:lang w:val="sq-AL"/>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5724006" w14:textId="77777777" w:rsidR="004719D2" w:rsidRPr="004A47DC" w:rsidRDefault="004719D2" w:rsidP="006D20A2">
            <w:pPr>
              <w:jc w:val="center"/>
              <w:rPr>
                <w:rFonts w:ascii="Garamond" w:hAnsi="Garamond"/>
                <w:b/>
                <w:bCs/>
                <w:color w:val="000000" w:themeColor="text1"/>
                <w:sz w:val="16"/>
                <w:szCs w:val="16"/>
                <w:lang w:val="sq-AL"/>
              </w:rPr>
            </w:pP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0EE545"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2023</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7E5FA8"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2024</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2896D5"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2025</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F4B4F"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2026</w:t>
            </w:r>
          </w:p>
        </w:tc>
      </w:tr>
      <w:tr w:rsidR="004719D2" w:rsidRPr="004A47DC" w14:paraId="011B95CE" w14:textId="77777777" w:rsidTr="00CF7CEC">
        <w:tc>
          <w:tcPr>
            <w:tcW w:w="3114" w:type="dxa"/>
            <w:tcBorders>
              <w:top w:val="single" w:sz="4" w:space="0" w:color="auto"/>
              <w:left w:val="single" w:sz="4" w:space="0" w:color="auto"/>
              <w:bottom w:val="single" w:sz="4" w:space="0" w:color="auto"/>
              <w:right w:val="single" w:sz="4" w:space="0" w:color="auto"/>
            </w:tcBorders>
          </w:tcPr>
          <w:p w14:paraId="000D5830" w14:textId="5A249193" w:rsidR="004719D2" w:rsidRPr="004A47DC" w:rsidRDefault="003C2D23" w:rsidP="003C2D23">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 xml:space="preserve">Plani Vjetor i Huamarrjes dhe Raporti i Monitorimit </w:t>
            </w:r>
            <w:r w:rsidR="00424F1D">
              <w:rPr>
                <w:rFonts w:ascii="Garamond" w:hAnsi="Garamond"/>
                <w:sz w:val="16"/>
                <w:szCs w:val="16"/>
                <w:lang w:val="sq-AL"/>
              </w:rPr>
              <w:t>të</w:t>
            </w:r>
            <w:r w:rsidR="004719D2" w:rsidRPr="004A47DC">
              <w:rPr>
                <w:rFonts w:ascii="Garamond" w:hAnsi="Garamond"/>
                <w:sz w:val="16"/>
                <w:szCs w:val="16"/>
                <w:lang w:val="sq-AL"/>
              </w:rPr>
              <w:t xml:space="preserve"> SMB-së i përgatitur dhe publikuar</w:t>
            </w:r>
          </w:p>
        </w:tc>
        <w:tc>
          <w:tcPr>
            <w:tcW w:w="1180" w:type="dxa"/>
            <w:tcBorders>
              <w:top w:val="single" w:sz="4" w:space="0" w:color="auto"/>
              <w:left w:val="single" w:sz="4" w:space="0" w:color="auto"/>
              <w:bottom w:val="single" w:sz="4" w:space="0" w:color="auto"/>
              <w:right w:val="single" w:sz="4" w:space="0" w:color="auto"/>
            </w:tcBorders>
            <w:vAlign w:val="center"/>
          </w:tcPr>
          <w:p w14:paraId="1AFCE15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725D670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Dokumentet e publikuara në faqen zyrtare të MF-së</w:t>
            </w:r>
          </w:p>
        </w:tc>
        <w:tc>
          <w:tcPr>
            <w:tcW w:w="1180" w:type="dxa"/>
            <w:tcBorders>
              <w:top w:val="single" w:sz="4" w:space="0" w:color="auto"/>
              <w:left w:val="single" w:sz="4" w:space="0" w:color="auto"/>
              <w:bottom w:val="single" w:sz="4" w:space="0" w:color="auto"/>
              <w:right w:val="single" w:sz="4" w:space="0" w:color="auto"/>
            </w:tcBorders>
            <w:vAlign w:val="center"/>
          </w:tcPr>
          <w:p w14:paraId="044737C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Dokumentet e publikuara në faqen zyrtare të MF-së</w:t>
            </w:r>
          </w:p>
        </w:tc>
        <w:tc>
          <w:tcPr>
            <w:tcW w:w="1181" w:type="dxa"/>
            <w:tcBorders>
              <w:top w:val="single" w:sz="4" w:space="0" w:color="auto"/>
              <w:left w:val="single" w:sz="4" w:space="0" w:color="auto"/>
              <w:bottom w:val="single" w:sz="4" w:space="0" w:color="auto"/>
              <w:right w:val="single" w:sz="4" w:space="0" w:color="auto"/>
            </w:tcBorders>
          </w:tcPr>
          <w:p w14:paraId="3B3400B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Dokumentet e publikuara në faqen zyrtare të MF-së</w:t>
            </w:r>
          </w:p>
        </w:tc>
        <w:tc>
          <w:tcPr>
            <w:tcW w:w="1181" w:type="dxa"/>
            <w:tcBorders>
              <w:top w:val="single" w:sz="4" w:space="0" w:color="auto"/>
              <w:left w:val="single" w:sz="4" w:space="0" w:color="auto"/>
              <w:bottom w:val="single" w:sz="4" w:space="0" w:color="auto"/>
              <w:right w:val="single" w:sz="4" w:space="0" w:color="auto"/>
            </w:tcBorders>
          </w:tcPr>
          <w:p w14:paraId="550D7A59"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Dokumentet e publikuara në faqen zyrtare të MF-së</w:t>
            </w:r>
          </w:p>
        </w:tc>
      </w:tr>
      <w:tr w:rsidR="004719D2" w:rsidRPr="004A47DC" w14:paraId="1A33640F" w14:textId="77777777" w:rsidTr="00CF7CEC">
        <w:tc>
          <w:tcPr>
            <w:tcW w:w="3114" w:type="dxa"/>
            <w:tcBorders>
              <w:top w:val="single" w:sz="4" w:space="0" w:color="auto"/>
              <w:left w:val="single" w:sz="4" w:space="0" w:color="auto"/>
              <w:bottom w:val="single" w:sz="4" w:space="0" w:color="auto"/>
              <w:right w:val="single" w:sz="4" w:space="0" w:color="auto"/>
            </w:tcBorders>
          </w:tcPr>
          <w:p w14:paraId="1A4EC1C7" w14:textId="47F197C2" w:rsidR="004719D2" w:rsidRPr="004A47DC" w:rsidRDefault="003C2D23" w:rsidP="003C2D23">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Kuadri Gjithëpërfshirës i Vlerësimit të Riskut të Kredisë (VRK)</w:t>
            </w:r>
          </w:p>
        </w:tc>
        <w:tc>
          <w:tcPr>
            <w:tcW w:w="1180" w:type="dxa"/>
            <w:tcBorders>
              <w:top w:val="single" w:sz="4" w:space="0" w:color="auto"/>
              <w:left w:val="single" w:sz="4" w:space="0" w:color="auto"/>
              <w:bottom w:val="single" w:sz="4" w:space="0" w:color="auto"/>
              <w:right w:val="single" w:sz="4" w:space="0" w:color="auto"/>
            </w:tcBorders>
            <w:vAlign w:val="center"/>
          </w:tcPr>
          <w:p w14:paraId="5A6C9CC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13C7471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0" w:type="dxa"/>
            <w:tcBorders>
              <w:top w:val="single" w:sz="4" w:space="0" w:color="auto"/>
              <w:left w:val="single" w:sz="4" w:space="0" w:color="auto"/>
              <w:bottom w:val="single" w:sz="4" w:space="0" w:color="auto"/>
              <w:right w:val="single" w:sz="4" w:space="0" w:color="auto"/>
            </w:tcBorders>
            <w:vAlign w:val="center"/>
          </w:tcPr>
          <w:p w14:paraId="5EFEEF6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tcPr>
          <w:p w14:paraId="75334F8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tcPr>
          <w:p w14:paraId="4C7E093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 xml:space="preserve">Kuadri VRK i zhvilluar dhe i zbatuar </w:t>
            </w:r>
            <w:r w:rsidRPr="004A47DC">
              <w:rPr>
                <w:rFonts w:ascii="Garamond" w:hAnsi="Garamond"/>
                <w:color w:val="000000" w:themeColor="text1"/>
                <w:sz w:val="16"/>
                <w:szCs w:val="16"/>
                <w:vertAlign w:val="superscript"/>
                <w:lang w:val="sq-AL"/>
              </w:rPr>
              <w:footnoteReference w:id="58"/>
            </w:r>
          </w:p>
        </w:tc>
      </w:tr>
      <w:tr w:rsidR="004719D2" w:rsidRPr="004A47DC" w14:paraId="4095FFEE" w14:textId="77777777" w:rsidTr="00CF7CEC">
        <w:trPr>
          <w:trHeight w:val="21"/>
        </w:trPr>
        <w:tc>
          <w:tcPr>
            <w:tcW w:w="3114" w:type="dxa"/>
            <w:tcBorders>
              <w:top w:val="single" w:sz="4" w:space="0" w:color="auto"/>
              <w:left w:val="single" w:sz="4" w:space="0" w:color="auto"/>
              <w:bottom w:val="single" w:sz="4" w:space="0" w:color="auto"/>
              <w:right w:val="single" w:sz="4" w:space="0" w:color="auto"/>
            </w:tcBorders>
          </w:tcPr>
          <w:p w14:paraId="40926353" w14:textId="33B189AB" w:rsidR="004719D2" w:rsidRPr="004A47DC" w:rsidRDefault="003C2D23" w:rsidP="003C2D23">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 xml:space="preserve">Zhvillimi i </w:t>
            </w:r>
            <w:r w:rsidR="00424F1D">
              <w:rPr>
                <w:rFonts w:ascii="Garamond" w:hAnsi="Garamond"/>
                <w:sz w:val="16"/>
                <w:szCs w:val="16"/>
                <w:lang w:val="sq-AL"/>
              </w:rPr>
              <w:t>d</w:t>
            </w:r>
            <w:r w:rsidR="004719D2" w:rsidRPr="004A47DC">
              <w:rPr>
                <w:rFonts w:ascii="Garamond" w:hAnsi="Garamond"/>
                <w:sz w:val="16"/>
                <w:szCs w:val="16"/>
                <w:lang w:val="sq-AL"/>
              </w:rPr>
              <w:t>okumentit konceptual mbi instrumentet e financimit të gjelbër/alternativë</w:t>
            </w:r>
          </w:p>
        </w:tc>
        <w:tc>
          <w:tcPr>
            <w:tcW w:w="1180" w:type="dxa"/>
            <w:tcBorders>
              <w:top w:val="single" w:sz="4" w:space="0" w:color="auto"/>
              <w:left w:val="single" w:sz="4" w:space="0" w:color="auto"/>
              <w:bottom w:val="single" w:sz="4" w:space="0" w:color="auto"/>
              <w:right w:val="single" w:sz="4" w:space="0" w:color="auto"/>
            </w:tcBorders>
            <w:vAlign w:val="center"/>
          </w:tcPr>
          <w:p w14:paraId="4AF932C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551CFA8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0" w:type="dxa"/>
            <w:tcBorders>
              <w:top w:val="single" w:sz="4" w:space="0" w:color="auto"/>
              <w:left w:val="single" w:sz="4" w:space="0" w:color="auto"/>
              <w:bottom w:val="single" w:sz="4" w:space="0" w:color="auto"/>
              <w:right w:val="single" w:sz="4" w:space="0" w:color="auto"/>
            </w:tcBorders>
            <w:vAlign w:val="center"/>
          </w:tcPr>
          <w:p w14:paraId="53C3831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0E886A0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Raporti i vlerësimit i përgatitur</w:t>
            </w:r>
          </w:p>
        </w:tc>
        <w:tc>
          <w:tcPr>
            <w:tcW w:w="1181" w:type="dxa"/>
            <w:tcBorders>
              <w:top w:val="single" w:sz="4" w:space="0" w:color="auto"/>
              <w:left w:val="single" w:sz="4" w:space="0" w:color="auto"/>
              <w:bottom w:val="single" w:sz="4" w:space="0" w:color="auto"/>
              <w:right w:val="single" w:sz="4" w:space="0" w:color="auto"/>
            </w:tcBorders>
            <w:vAlign w:val="center"/>
          </w:tcPr>
          <w:p w14:paraId="2258B7F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w:t>
            </w:r>
          </w:p>
        </w:tc>
      </w:tr>
    </w:tbl>
    <w:p w14:paraId="558823B4" w14:textId="77777777" w:rsidR="004719D2" w:rsidRPr="004A47DC" w:rsidRDefault="004719D2" w:rsidP="004719D2">
      <w:pPr>
        <w:rPr>
          <w:rFonts w:ascii="Garamond" w:hAnsi="Garamond"/>
          <w:color w:val="000000" w:themeColor="text1"/>
        </w:rPr>
      </w:pPr>
    </w:p>
    <w:p w14:paraId="28FE6695" w14:textId="3733B50A" w:rsidR="004719D2" w:rsidRPr="004A47DC" w:rsidRDefault="007128C7" w:rsidP="007128C7">
      <w:pPr>
        <w:pStyle w:val="TEKSTIII"/>
        <w:rPr>
          <w:rFonts w:eastAsiaTheme="minorHAnsi"/>
          <w:b/>
        </w:rPr>
      </w:pPr>
      <w:bookmarkStart w:id="33" w:name="_Toc152719056"/>
      <w:bookmarkStart w:id="34" w:name="_Toc168918694"/>
      <w:r w:rsidRPr="004A47DC">
        <w:rPr>
          <w:rFonts w:eastAsiaTheme="minorHAnsi"/>
          <w:b/>
        </w:rPr>
        <w:t>5.</w:t>
      </w:r>
      <w:r w:rsidR="002F08B1" w:rsidRPr="004A47DC">
        <w:rPr>
          <w:rFonts w:eastAsiaTheme="minorHAnsi"/>
          <w:b/>
        </w:rPr>
        <w:t>6</w:t>
      </w:r>
      <w:r w:rsidRPr="004A47DC">
        <w:rPr>
          <w:rFonts w:eastAsiaTheme="minorHAnsi"/>
          <w:b/>
        </w:rPr>
        <w:t xml:space="preserve"> </w:t>
      </w:r>
      <w:r w:rsidR="004719D2" w:rsidRPr="004A47DC">
        <w:rPr>
          <w:rFonts w:eastAsiaTheme="minorHAnsi"/>
          <w:b/>
        </w:rPr>
        <w:t>Komponenti 4.5</w:t>
      </w:r>
      <w:r w:rsidR="006D20A2" w:rsidRPr="004A47DC">
        <w:rPr>
          <w:rFonts w:eastAsiaTheme="minorHAnsi"/>
          <w:b/>
        </w:rPr>
        <w:t>:</w:t>
      </w:r>
      <w:r w:rsidR="004719D2" w:rsidRPr="004A47DC">
        <w:rPr>
          <w:rFonts w:eastAsiaTheme="minorHAnsi"/>
          <w:b/>
        </w:rPr>
        <w:t xml:space="preserve"> </w:t>
      </w:r>
      <w:bookmarkEnd w:id="33"/>
      <w:r w:rsidR="004719D2" w:rsidRPr="004A47DC">
        <w:rPr>
          <w:rFonts w:eastAsiaTheme="minorHAnsi"/>
          <w:b/>
        </w:rPr>
        <w:t>Menaxhimi i likuiditetit</w:t>
      </w:r>
      <w:bookmarkEnd w:id="34"/>
    </w:p>
    <w:p w14:paraId="4643FDD9" w14:textId="77777777" w:rsidR="004719D2" w:rsidRPr="004A47DC" w:rsidRDefault="004719D2" w:rsidP="007128C7">
      <w:pPr>
        <w:pStyle w:val="TEKSTIII"/>
        <w:rPr>
          <w:b/>
          <w:bCs/>
        </w:rPr>
      </w:pPr>
      <w:r w:rsidRPr="004A47DC">
        <w:rPr>
          <w:b/>
          <w:bCs/>
        </w:rPr>
        <w:t>Objektivi</w:t>
      </w:r>
    </w:p>
    <w:p w14:paraId="396E57C8" w14:textId="77777777" w:rsidR="004719D2" w:rsidRPr="004A47DC" w:rsidRDefault="004719D2" w:rsidP="007128C7">
      <w:pPr>
        <w:pStyle w:val="TEKSTIII"/>
      </w:pPr>
      <w:r w:rsidRPr="004A47DC">
        <w:t>Synimi për vitin 2030 është që të ketë sisteme të avancuara të planifikimit dhe menaxhimit të likuiditetit për të siguruar operacione efikase dhe efektive të thesarit.</w:t>
      </w:r>
    </w:p>
    <w:p w14:paraId="4ACBBD6A" w14:textId="77777777" w:rsidR="004719D2" w:rsidRPr="004A47DC" w:rsidRDefault="004719D2" w:rsidP="007128C7">
      <w:pPr>
        <w:pStyle w:val="TEKSTIII"/>
        <w:rPr>
          <w:b/>
          <w:bCs/>
        </w:rPr>
      </w:pPr>
      <w:r w:rsidRPr="004A47DC">
        <w:rPr>
          <w:b/>
          <w:bCs/>
        </w:rPr>
        <w:t>Konteksti</w:t>
      </w:r>
    </w:p>
    <w:p w14:paraId="052E5D8F" w14:textId="156CC3BB" w:rsidR="004719D2" w:rsidRPr="004A47DC" w:rsidRDefault="004719D2" w:rsidP="007128C7">
      <w:pPr>
        <w:pStyle w:val="TEKSTIII"/>
      </w:pPr>
      <w:r w:rsidRPr="004A47DC">
        <w:t>Procesi i parashikimit të fluksit të likuiditetit është përmirësuar kohët e fundit. Parashikimet mujore të fluksit të likuiditetit prodhohen për 12 muaj përpara dhe parashikimet ditore përgatiten për periudhën e ardhshme tremujore. Planet buxhetore të marra nga subjektet shpenzuese dhe të dhënat historike janë një input për parashikimet. Përveç qasjes së parashikimit nga lart-poshtë, është zbatuar një pilotim me tre ministri të linjës dhe me autoritetet tatimore dhe doganore për të plotësuar parashikimin me informacion nga poshtë-lart. Për të përmirësuar saktësinë e parashikimeve dhe për të minimizuar devijimet, nevojitet një vlerësim periodik i saktësisë së parashikimit nga DPTH</w:t>
      </w:r>
      <w:r w:rsidR="00424F1D">
        <w:t>-ja</w:t>
      </w:r>
      <w:r w:rsidRPr="004A47DC">
        <w:rPr>
          <w:szCs w:val="14"/>
          <w:vertAlign w:val="superscript"/>
        </w:rPr>
        <w:footnoteReference w:id="59"/>
      </w:r>
      <w:r w:rsidRPr="004A47DC">
        <w:t>. Për sa i përket menaxhimit të parasë, vihet re që nga depozitat e llogarive të thesarit pranë Bankës së Shqipërisë, të ardhurat nga interesi nuk janë shumë të larta. Gjithashtu</w:t>
      </w:r>
      <w:r w:rsidR="00424F1D">
        <w:t>,</w:t>
      </w:r>
      <w:r w:rsidRPr="004A47DC">
        <w:t xml:space="preserve"> ka një qasje më fleksibël ndaj sasisë së rezervave monetare që duhet të mbajë.</w:t>
      </w:r>
    </w:p>
    <w:p w14:paraId="35E0D020" w14:textId="77777777" w:rsidR="004719D2" w:rsidRPr="004A47DC" w:rsidRDefault="004719D2" w:rsidP="007128C7">
      <w:pPr>
        <w:pStyle w:val="TEKSTIII"/>
        <w:rPr>
          <w:b/>
          <w:bCs/>
        </w:rPr>
      </w:pPr>
      <w:r w:rsidRPr="004A47DC">
        <w:rPr>
          <w:b/>
          <w:bCs/>
        </w:rPr>
        <w:t>Prioritetet</w:t>
      </w:r>
    </w:p>
    <w:p w14:paraId="0C9D2941" w14:textId="016509D6" w:rsidR="004719D2" w:rsidRPr="004A47DC" w:rsidRDefault="004719D2" w:rsidP="007128C7">
      <w:pPr>
        <w:pStyle w:val="TEKSTIII"/>
      </w:pPr>
      <w:r w:rsidRPr="004A47DC">
        <w:t xml:space="preserve">Prioritetet për periudhën </w:t>
      </w:r>
      <w:r w:rsidR="00DB1D7E" w:rsidRPr="004A47DC">
        <w:t>2023–2026</w:t>
      </w:r>
      <w:r w:rsidRPr="004A47DC">
        <w:t xml:space="preserve"> janë:</w:t>
      </w:r>
    </w:p>
    <w:p w14:paraId="04445CFD" w14:textId="1EBA0954" w:rsidR="004719D2" w:rsidRPr="004A47DC" w:rsidRDefault="007128C7" w:rsidP="007128C7">
      <w:pPr>
        <w:pStyle w:val="TEKSTIII"/>
      </w:pPr>
      <w:r w:rsidRPr="004A47DC">
        <w:t xml:space="preserve">- </w:t>
      </w:r>
      <w:r w:rsidR="004719D2" w:rsidRPr="004A47DC">
        <w:t>Përmirësimi i procesit të parashikimit të likuiditetit</w:t>
      </w:r>
      <w:r w:rsidR="00424F1D">
        <w:t>;</w:t>
      </w:r>
    </w:p>
    <w:p w14:paraId="4DAFF621" w14:textId="6716339A" w:rsidR="004719D2" w:rsidRPr="004A47DC" w:rsidRDefault="007128C7" w:rsidP="007128C7">
      <w:pPr>
        <w:pStyle w:val="TEKSTIII"/>
      </w:pPr>
      <w:r w:rsidRPr="004A47DC">
        <w:t xml:space="preserve">- </w:t>
      </w:r>
      <w:r w:rsidR="004719D2" w:rsidRPr="004A47DC">
        <w:t>Krijimi i një sistemi gjithëpërfshirës të monitorimit të performancës për parashikimin e likuiditetit</w:t>
      </w:r>
      <w:r w:rsidR="00424F1D">
        <w:t>;</w:t>
      </w:r>
    </w:p>
    <w:p w14:paraId="72822DDF" w14:textId="52A3AD54" w:rsidR="004719D2" w:rsidRPr="004A47DC" w:rsidRDefault="007128C7" w:rsidP="007128C7">
      <w:pPr>
        <w:pStyle w:val="TEKSTIII"/>
      </w:pPr>
      <w:r w:rsidRPr="004A47DC">
        <w:t xml:space="preserve">- </w:t>
      </w:r>
      <w:r w:rsidR="004719D2" w:rsidRPr="004A47DC">
        <w:t>Përmirësimi i instrumenteve të menaxhimit të likuiditetit.</w:t>
      </w:r>
    </w:p>
    <w:p w14:paraId="0726B4B5" w14:textId="77777777" w:rsidR="004719D2" w:rsidRPr="004A47DC" w:rsidRDefault="004719D2" w:rsidP="004719D2">
      <w:pPr>
        <w:rPr>
          <w:rFonts w:ascii="Garamond" w:hAnsi="Garamond"/>
          <w:b/>
          <w:bCs/>
          <w:color w:val="000000" w:themeColor="text1"/>
        </w:rPr>
      </w:pPr>
    </w:p>
    <w:p w14:paraId="72EF3E6C"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Masat dhe aktivitetet</w:t>
      </w:r>
    </w:p>
    <w:tbl>
      <w:tblPr>
        <w:tblStyle w:val="TableGridIDEA4"/>
        <w:tblW w:w="0" w:type="auto"/>
        <w:jc w:val="center"/>
        <w:tblCellMar>
          <w:top w:w="57" w:type="dxa"/>
          <w:left w:w="85" w:type="dxa"/>
          <w:bottom w:w="57" w:type="dxa"/>
          <w:right w:w="85" w:type="dxa"/>
        </w:tblCellMar>
        <w:tblLook w:val="04A0" w:firstRow="1" w:lastRow="0" w:firstColumn="1" w:lastColumn="0" w:noHBand="0" w:noVBand="1"/>
      </w:tblPr>
      <w:tblGrid>
        <w:gridCol w:w="2814"/>
        <w:gridCol w:w="3639"/>
        <w:gridCol w:w="638"/>
        <w:gridCol w:w="762"/>
        <w:gridCol w:w="1208"/>
      </w:tblGrid>
      <w:tr w:rsidR="004719D2" w:rsidRPr="004A47DC" w14:paraId="2CC2FA72" w14:textId="77777777" w:rsidTr="006D20A2">
        <w:trPr>
          <w:trHeight w:val="287"/>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3A97B0"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Masa</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DA2ED9"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Aktiviteti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443AF5"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Fillimi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96BA13"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Mbarimi</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6D2220" w14:textId="1E21B883"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 xml:space="preserve">Grupet e </w:t>
            </w:r>
            <w:r w:rsidR="006D20A2" w:rsidRPr="004A47DC">
              <w:rPr>
                <w:rFonts w:ascii="Garamond" w:hAnsi="Garamond"/>
                <w:b/>
                <w:bCs/>
                <w:color w:val="000000" w:themeColor="text1"/>
                <w:sz w:val="16"/>
                <w:szCs w:val="16"/>
                <w:lang w:val="sq-AL"/>
              </w:rPr>
              <w:t>i</w:t>
            </w:r>
            <w:r w:rsidRPr="004A47DC">
              <w:rPr>
                <w:rFonts w:ascii="Garamond" w:hAnsi="Garamond"/>
                <w:b/>
                <w:bCs/>
                <w:color w:val="000000" w:themeColor="text1"/>
                <w:sz w:val="16"/>
                <w:szCs w:val="16"/>
                <w:lang w:val="sq-AL"/>
              </w:rPr>
              <w:t>nteresit</w:t>
            </w:r>
          </w:p>
        </w:tc>
      </w:tr>
      <w:tr w:rsidR="004719D2" w:rsidRPr="004A47DC" w14:paraId="174B8BCA" w14:textId="77777777" w:rsidTr="006D20A2">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tcPr>
          <w:p w14:paraId="4F0EB291" w14:textId="77777777" w:rsidR="004719D2" w:rsidRPr="004A47DC" w:rsidRDefault="004719D2" w:rsidP="00CF7CEC">
            <w:pPr>
              <w:rPr>
                <w:rFonts w:ascii="Garamond" w:hAnsi="Garamond"/>
                <w:b/>
                <w:color w:val="000000" w:themeColor="text1"/>
                <w:sz w:val="16"/>
                <w:szCs w:val="16"/>
                <w:lang w:val="sq-AL"/>
              </w:rPr>
            </w:pPr>
            <w:r w:rsidRPr="004A47DC">
              <w:rPr>
                <w:rFonts w:ascii="Garamond" w:hAnsi="Garamond"/>
                <w:b/>
                <w:color w:val="000000" w:themeColor="text1"/>
                <w:sz w:val="16"/>
                <w:szCs w:val="16"/>
                <w:lang w:val="sq-AL"/>
              </w:rPr>
              <w:t xml:space="preserve">Masa 4.5.1 </w:t>
            </w:r>
            <w:r w:rsidRPr="004A47DC">
              <w:rPr>
                <w:rFonts w:ascii="Garamond" w:hAnsi="Garamond" w:cs="Open Sans Light"/>
                <w:b/>
                <w:color w:val="000000" w:themeColor="text1"/>
                <w:sz w:val="16"/>
                <w:szCs w:val="16"/>
                <w:lang w:val="sq-AL"/>
              </w:rPr>
              <w:t>Përmirësimi i procesit të parashikimit të likuiditetit</w:t>
            </w:r>
          </w:p>
          <w:p w14:paraId="01E545A3"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hideMark/>
          </w:tcPr>
          <w:p w14:paraId="53AD3357" w14:textId="58D2198D" w:rsidR="004719D2" w:rsidRPr="004A47DC" w:rsidRDefault="00F80234" w:rsidP="00F80234">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Rishikimi i procesit të përgatitjes dhe dorëzimit të planeve të thesarit nga institucionet buxhetore.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97622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9C6E7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0" w:type="auto"/>
            <w:vMerge w:val="restart"/>
            <w:tcBorders>
              <w:top w:val="single" w:sz="4" w:space="0" w:color="auto"/>
              <w:left w:val="single" w:sz="4" w:space="0" w:color="auto"/>
              <w:bottom w:val="single" w:sz="4" w:space="0" w:color="auto"/>
              <w:right w:val="single" w:sz="4" w:space="0" w:color="auto"/>
            </w:tcBorders>
          </w:tcPr>
          <w:p w14:paraId="5445D8D0"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169B95C2" w14:textId="56612664"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w:t>
            </w:r>
            <w:r w:rsidR="00424F1D">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 CMU</w:t>
            </w:r>
            <w:r w:rsidR="00424F1D">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w:t>
            </w:r>
          </w:p>
          <w:p w14:paraId="69CCE00F" w14:textId="77777777" w:rsidR="004719D2" w:rsidRPr="004A47DC" w:rsidRDefault="004719D2" w:rsidP="00CF7CEC">
            <w:pPr>
              <w:rPr>
                <w:rFonts w:ascii="Garamond" w:hAnsi="Garamond"/>
                <w:color w:val="000000" w:themeColor="text1"/>
                <w:sz w:val="16"/>
                <w:szCs w:val="16"/>
                <w:lang w:val="sq-AL"/>
              </w:rPr>
            </w:pPr>
          </w:p>
          <w:p w14:paraId="73BC7C35"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w:t>
            </w:r>
          </w:p>
          <w:p w14:paraId="20F5F883" w14:textId="577E4B47"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IB, DPT, Doganat, FMN</w:t>
            </w:r>
            <w:r w:rsidR="00424F1D">
              <w:rPr>
                <w:rFonts w:ascii="Garamond" w:hAnsi="Garamond"/>
                <w:color w:val="000000" w:themeColor="text1"/>
                <w:sz w:val="16"/>
                <w:szCs w:val="16"/>
                <w:lang w:val="sq-AL"/>
              </w:rPr>
              <w:t>-ja</w:t>
            </w:r>
          </w:p>
        </w:tc>
      </w:tr>
      <w:tr w:rsidR="004719D2" w:rsidRPr="004A47DC" w14:paraId="0FDF3E3D" w14:textId="77777777" w:rsidTr="006D20A2">
        <w:trPr>
          <w:trHeight w:val="2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E81D3"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hideMark/>
          </w:tcPr>
          <w:p w14:paraId="21075365" w14:textId="32187F8A" w:rsidR="004719D2" w:rsidRPr="004A47DC" w:rsidRDefault="00F80234" w:rsidP="00F80234">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 xml:space="preserve">Krijimi i Komitetit Teknik dhe organizimi i takimeve teknike në baza mujore me IB-të më të mëdha, </w:t>
            </w:r>
            <w:r w:rsidR="00424F1D" w:rsidRPr="004A47DC">
              <w:rPr>
                <w:rFonts w:ascii="Garamond" w:hAnsi="Garamond"/>
                <w:sz w:val="16"/>
                <w:szCs w:val="16"/>
                <w:lang w:val="sq-AL"/>
              </w:rPr>
              <w:t>tatimet dhe doganat për të marrë informacione të rëndë</w:t>
            </w:r>
            <w:r w:rsidR="004719D2" w:rsidRPr="004A47DC">
              <w:rPr>
                <w:rFonts w:ascii="Garamond" w:hAnsi="Garamond"/>
                <w:sz w:val="16"/>
                <w:szCs w:val="16"/>
                <w:lang w:val="sq-AL"/>
              </w:rPr>
              <w:t>sishme në kohë reale.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1171811"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031DD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D9162" w14:textId="77777777" w:rsidR="004719D2" w:rsidRPr="004A47DC" w:rsidRDefault="004719D2" w:rsidP="00CF7CEC">
            <w:pPr>
              <w:rPr>
                <w:rFonts w:ascii="Garamond" w:hAnsi="Garamond"/>
                <w:color w:val="000000" w:themeColor="text1"/>
                <w:sz w:val="16"/>
                <w:szCs w:val="16"/>
                <w:lang w:val="sq-AL"/>
              </w:rPr>
            </w:pPr>
          </w:p>
        </w:tc>
      </w:tr>
      <w:tr w:rsidR="004719D2" w:rsidRPr="004A47DC" w14:paraId="286F35C8" w14:textId="77777777" w:rsidTr="006D20A2">
        <w:trPr>
          <w:trHeight w:val="2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35147"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hideMark/>
          </w:tcPr>
          <w:p w14:paraId="3731BD3A" w14:textId="70E1A4C0" w:rsidR="004719D2" w:rsidRPr="004A47DC" w:rsidRDefault="00F80234" w:rsidP="00F80234">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Prezantimi i një mekanizmi njoftimi dy javë përpara se të kryhen pagesa të mëdha</w:t>
            </w:r>
            <w:r w:rsidR="00424F1D">
              <w:rPr>
                <w:rFonts w:ascii="Garamond" w:hAnsi="Garamond"/>
                <w:sz w:val="16"/>
                <w:szCs w:val="16"/>
                <w:lang w:val="sq-AL"/>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3528E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46ECD5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C7FE30" w14:textId="77777777" w:rsidR="004719D2" w:rsidRPr="004A47DC" w:rsidRDefault="004719D2" w:rsidP="00CF7CEC">
            <w:pPr>
              <w:rPr>
                <w:rFonts w:ascii="Garamond" w:hAnsi="Garamond"/>
                <w:color w:val="000000" w:themeColor="text1"/>
                <w:sz w:val="16"/>
                <w:szCs w:val="16"/>
                <w:lang w:val="sq-AL"/>
              </w:rPr>
            </w:pPr>
          </w:p>
        </w:tc>
      </w:tr>
      <w:tr w:rsidR="004719D2" w:rsidRPr="004A47DC" w14:paraId="6BDF2F7E" w14:textId="77777777" w:rsidTr="006D20A2">
        <w:trPr>
          <w:trHeight w:val="2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EF1ED"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hideMark/>
          </w:tcPr>
          <w:p w14:paraId="3443FABF" w14:textId="1038B87F" w:rsidR="004719D2" w:rsidRPr="004A47DC" w:rsidRDefault="003B2C59" w:rsidP="003B2C59">
            <w:pPr>
              <w:rPr>
                <w:rFonts w:ascii="Garamond" w:hAnsi="Garamond"/>
                <w:sz w:val="16"/>
                <w:szCs w:val="16"/>
                <w:lang w:val="sq-AL"/>
              </w:rPr>
            </w:pPr>
            <w:r w:rsidRPr="004A47DC">
              <w:rPr>
                <w:rFonts w:ascii="Garamond" w:hAnsi="Garamond"/>
                <w:sz w:val="16"/>
                <w:szCs w:val="16"/>
                <w:lang w:val="sq-AL"/>
              </w:rPr>
              <w:t xml:space="preserve">4. </w:t>
            </w:r>
            <w:r w:rsidR="004719D2" w:rsidRPr="004A47DC">
              <w:rPr>
                <w:rFonts w:ascii="Garamond" w:hAnsi="Garamond"/>
                <w:sz w:val="16"/>
                <w:szCs w:val="16"/>
                <w:lang w:val="sq-AL"/>
              </w:rPr>
              <w:t xml:space="preserve">Përdorimi i një </w:t>
            </w:r>
            <w:r w:rsidR="00E33A13" w:rsidRPr="004A47DC">
              <w:rPr>
                <w:rFonts w:ascii="Garamond" w:hAnsi="Garamond"/>
                <w:sz w:val="16"/>
                <w:szCs w:val="16"/>
                <w:lang w:val="sq-AL"/>
              </w:rPr>
              <w:t>“</w:t>
            </w:r>
            <w:r w:rsidR="004719D2" w:rsidRPr="004A47DC">
              <w:rPr>
                <w:rFonts w:ascii="Garamond" w:hAnsi="Garamond"/>
                <w:sz w:val="16"/>
                <w:szCs w:val="16"/>
                <w:lang w:val="sq-AL"/>
              </w:rPr>
              <w:t>mjeti</w:t>
            </w:r>
            <w:r w:rsidR="00E33A13" w:rsidRPr="004A47DC">
              <w:rPr>
                <w:rFonts w:ascii="Garamond" w:hAnsi="Garamond"/>
                <w:sz w:val="16"/>
                <w:szCs w:val="16"/>
                <w:lang w:val="sq-AL"/>
              </w:rPr>
              <w:t>”</w:t>
            </w:r>
            <w:r w:rsidR="004719D2" w:rsidRPr="004A47DC">
              <w:rPr>
                <w:rFonts w:ascii="Garamond" w:hAnsi="Garamond"/>
                <w:sz w:val="16"/>
                <w:szCs w:val="16"/>
                <w:lang w:val="sq-AL"/>
              </w:rPr>
              <w:t xml:space="preserve"> të ri të zhvilluar nga FMN</w:t>
            </w:r>
            <w:r w:rsidR="00424F1D">
              <w:rPr>
                <w:rFonts w:ascii="Garamond" w:hAnsi="Garamond"/>
                <w:sz w:val="16"/>
                <w:szCs w:val="16"/>
                <w:lang w:val="sq-AL"/>
              </w:rPr>
              <w:t>-ja</w:t>
            </w:r>
            <w:r w:rsidR="004719D2" w:rsidRPr="004A47DC">
              <w:rPr>
                <w:rFonts w:ascii="Garamond" w:hAnsi="Garamond"/>
                <w:sz w:val="16"/>
                <w:szCs w:val="16"/>
                <w:lang w:val="sq-AL"/>
              </w:rPr>
              <w:t xml:space="preserve"> në </w:t>
            </w:r>
            <w:r w:rsidR="00424F1D" w:rsidRPr="004A47DC">
              <w:rPr>
                <w:rFonts w:ascii="Garamond" w:hAnsi="Garamond"/>
                <w:sz w:val="16"/>
                <w:szCs w:val="16"/>
                <w:lang w:val="sq-AL"/>
              </w:rPr>
              <w:t xml:space="preserve">microsoft excel </w:t>
            </w:r>
            <w:r w:rsidR="004719D2" w:rsidRPr="004A47DC">
              <w:rPr>
                <w:rFonts w:ascii="Garamond" w:hAnsi="Garamond"/>
                <w:sz w:val="16"/>
                <w:szCs w:val="16"/>
                <w:lang w:val="sq-AL"/>
              </w:rPr>
              <w:t>për përgatitjen e parashikimeve dhe për analizën e të dhënave.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F74F93"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B47A3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C26D13" w14:textId="77777777" w:rsidR="004719D2" w:rsidRPr="004A47DC" w:rsidRDefault="004719D2" w:rsidP="00CF7CEC">
            <w:pPr>
              <w:rPr>
                <w:rFonts w:ascii="Garamond" w:hAnsi="Garamond"/>
                <w:color w:val="000000" w:themeColor="text1"/>
                <w:sz w:val="16"/>
                <w:szCs w:val="16"/>
                <w:lang w:val="sq-AL"/>
              </w:rPr>
            </w:pPr>
          </w:p>
        </w:tc>
      </w:tr>
      <w:tr w:rsidR="004719D2" w:rsidRPr="004A47DC" w14:paraId="03BD352D" w14:textId="77777777" w:rsidTr="006D20A2">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2DDA73" w14:textId="77777777" w:rsidR="004719D2" w:rsidRPr="004A47DC" w:rsidRDefault="004719D2" w:rsidP="00CF7CEC">
            <w:pPr>
              <w:rPr>
                <w:rFonts w:ascii="Garamond" w:hAnsi="Garamond"/>
                <w:b/>
                <w:color w:val="000000" w:themeColor="text1"/>
                <w:sz w:val="16"/>
                <w:szCs w:val="16"/>
                <w:lang w:val="sq-AL"/>
              </w:rPr>
            </w:pPr>
            <w:r w:rsidRPr="004A47DC">
              <w:rPr>
                <w:rFonts w:ascii="Garamond" w:hAnsi="Garamond"/>
                <w:b/>
                <w:color w:val="000000" w:themeColor="text1"/>
                <w:sz w:val="16"/>
                <w:szCs w:val="16"/>
                <w:lang w:val="sq-AL"/>
              </w:rPr>
              <w:t>Masa 4.5.2 Prezantimi i një sistemi gjithëpërfshirës të monitorimit të performancës për parashikimin e likuiditetit</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36225A59" w14:textId="437270DB" w:rsidR="004719D2" w:rsidRPr="004A47DC" w:rsidRDefault="003B2C59" w:rsidP="00F80234">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Matja dhe monitorimi i devijimeve nga parashikimet mujore të përditësuara.</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EF0E9D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46B67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2025</w:t>
            </w:r>
          </w:p>
        </w:tc>
        <w:tc>
          <w:tcPr>
            <w:tcW w:w="0" w:type="auto"/>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D2CE45"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2C3FFB25" w14:textId="0B83E19E"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w:t>
            </w:r>
            <w:r w:rsidR="00424F1D">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 </w:t>
            </w:r>
          </w:p>
          <w:p w14:paraId="2D927842" w14:textId="77777777" w:rsidR="004719D2" w:rsidRPr="004A47DC" w:rsidRDefault="004719D2" w:rsidP="00CF7CEC">
            <w:pPr>
              <w:rPr>
                <w:rFonts w:ascii="Garamond" w:hAnsi="Garamond"/>
                <w:color w:val="000000" w:themeColor="text1"/>
                <w:sz w:val="16"/>
                <w:szCs w:val="16"/>
                <w:lang w:val="sq-AL"/>
              </w:rPr>
            </w:pPr>
          </w:p>
          <w:p w14:paraId="671C5032"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443D6E4C" w14:textId="2098A40A"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FMN</w:t>
            </w:r>
            <w:r w:rsidR="00424F1D">
              <w:rPr>
                <w:rFonts w:ascii="Garamond" w:hAnsi="Garamond"/>
                <w:color w:val="000000" w:themeColor="text1"/>
                <w:sz w:val="16"/>
                <w:szCs w:val="16"/>
                <w:lang w:val="sq-AL"/>
              </w:rPr>
              <w:t>-ja</w:t>
            </w:r>
          </w:p>
        </w:tc>
      </w:tr>
      <w:tr w:rsidR="004719D2" w:rsidRPr="004A47DC" w14:paraId="1EFD2BEC" w14:textId="77777777" w:rsidTr="006D20A2">
        <w:trPr>
          <w:trHeight w:val="2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DB17A"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7E7E5CA6" w14:textId="6B0A951C" w:rsidR="004719D2" w:rsidRPr="004A47DC" w:rsidRDefault="003B2C59" w:rsidP="00F80234">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Përcaktimi i treguesve kryesore të performancës (TKP) për parashikimet ditore dhe mujore</w:t>
            </w:r>
            <w:r w:rsidR="00424F1D">
              <w:rPr>
                <w:rFonts w:ascii="Garamond" w:hAnsi="Garamond"/>
                <w:sz w:val="16"/>
                <w:szCs w:val="16"/>
                <w:lang w:val="sq-AL"/>
              </w:rPr>
              <w:t>,</w:t>
            </w:r>
            <w:r w:rsidR="004719D2" w:rsidRPr="004A47DC">
              <w:rPr>
                <w:rFonts w:ascii="Garamond" w:hAnsi="Garamond"/>
                <w:sz w:val="16"/>
                <w:szCs w:val="16"/>
                <w:lang w:val="sq-AL"/>
              </w:rPr>
              <w:t xml:space="preserve"> dhe prezantimin e tyre në Komitetin e Menaxhimit të Likuiditetit dhe Borxhit (KMLB).</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0B54982"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D1EE25"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9ED30" w14:textId="77777777" w:rsidR="004719D2" w:rsidRPr="004A47DC" w:rsidRDefault="004719D2" w:rsidP="00CF7CEC">
            <w:pPr>
              <w:rPr>
                <w:rFonts w:ascii="Garamond" w:hAnsi="Garamond"/>
                <w:color w:val="000000" w:themeColor="text1"/>
                <w:sz w:val="16"/>
                <w:szCs w:val="16"/>
                <w:lang w:val="sq-AL"/>
              </w:rPr>
            </w:pPr>
          </w:p>
        </w:tc>
      </w:tr>
      <w:tr w:rsidR="004719D2" w:rsidRPr="004A47DC" w14:paraId="3877D4EF" w14:textId="77777777" w:rsidTr="006D20A2">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18ABC59" w14:textId="77777777" w:rsidR="004719D2" w:rsidRPr="004A47DC" w:rsidRDefault="004719D2" w:rsidP="00CF7CEC">
            <w:pPr>
              <w:rPr>
                <w:rFonts w:ascii="Garamond" w:hAnsi="Garamond"/>
                <w:b/>
                <w:color w:val="000000" w:themeColor="text1"/>
                <w:sz w:val="16"/>
                <w:szCs w:val="16"/>
                <w:lang w:val="sq-AL"/>
              </w:rPr>
            </w:pPr>
            <w:r w:rsidRPr="004A47DC">
              <w:rPr>
                <w:rFonts w:ascii="Garamond" w:hAnsi="Garamond"/>
                <w:b/>
                <w:color w:val="000000" w:themeColor="text1"/>
                <w:sz w:val="16"/>
                <w:szCs w:val="16"/>
                <w:lang w:val="sq-AL"/>
              </w:rPr>
              <w:t>Masa 4.5.3 Përmirësimi i instrumenteve të menaxhimit të likuiditetit</w:t>
            </w:r>
          </w:p>
          <w:p w14:paraId="72688456"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EA9C790" w14:textId="10073D20" w:rsidR="004719D2" w:rsidRPr="004A47DC" w:rsidRDefault="003B2C59" w:rsidP="00F80234">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Përmirësimi i politikave të rezervave monetare</w:t>
            </w:r>
            <w:r w:rsidR="00424F1D">
              <w:rPr>
                <w:rFonts w:ascii="Garamond" w:hAnsi="Garamond"/>
                <w:sz w:val="16"/>
                <w:szCs w:val="16"/>
                <w:lang w:val="sq-AL"/>
              </w:rPr>
              <w:t>.</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42599D9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02FF0E7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2025</w:t>
            </w:r>
          </w:p>
        </w:tc>
        <w:tc>
          <w:tcPr>
            <w:tcW w:w="0" w:type="auto"/>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DD97FBC"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Njësitë përgjegjëse:</w:t>
            </w:r>
          </w:p>
          <w:p w14:paraId="6C0606BE" w14:textId="5D7315DB"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DPTH</w:t>
            </w:r>
            <w:r w:rsidR="00424F1D">
              <w:rPr>
                <w:rFonts w:ascii="Garamond" w:hAnsi="Garamond"/>
                <w:color w:val="000000" w:themeColor="text1"/>
                <w:sz w:val="16"/>
                <w:szCs w:val="16"/>
                <w:lang w:val="sq-AL"/>
              </w:rPr>
              <w:t>-ja</w:t>
            </w:r>
            <w:r w:rsidRPr="004A47DC">
              <w:rPr>
                <w:rFonts w:ascii="Garamond" w:hAnsi="Garamond"/>
                <w:color w:val="000000" w:themeColor="text1"/>
                <w:sz w:val="16"/>
                <w:szCs w:val="16"/>
                <w:lang w:val="sq-AL"/>
              </w:rPr>
              <w:t xml:space="preserve"> (lider) </w:t>
            </w:r>
          </w:p>
          <w:p w14:paraId="3E3DA7C0" w14:textId="77777777" w:rsidR="004719D2" w:rsidRPr="004A47DC" w:rsidRDefault="004719D2" w:rsidP="00CF7CEC">
            <w:pPr>
              <w:rPr>
                <w:rFonts w:ascii="Garamond" w:hAnsi="Garamond"/>
                <w:color w:val="000000" w:themeColor="text1"/>
                <w:sz w:val="16"/>
                <w:szCs w:val="16"/>
                <w:lang w:val="sq-AL"/>
              </w:rPr>
            </w:pPr>
          </w:p>
          <w:p w14:paraId="5E594CFC" w14:textId="77777777" w:rsidR="004719D2" w:rsidRPr="004A47DC" w:rsidRDefault="004719D2" w:rsidP="00CF7CEC">
            <w:pP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Partnerët:</w:t>
            </w:r>
          </w:p>
          <w:p w14:paraId="22EB5064" w14:textId="44F71F73" w:rsidR="004719D2" w:rsidRPr="004A47DC" w:rsidRDefault="004719D2" w:rsidP="00CF7CEC">
            <w:pPr>
              <w:rPr>
                <w:rFonts w:ascii="Garamond" w:hAnsi="Garamond"/>
                <w:color w:val="000000" w:themeColor="text1"/>
                <w:sz w:val="16"/>
                <w:szCs w:val="16"/>
                <w:lang w:val="sq-AL"/>
              </w:rPr>
            </w:pPr>
            <w:r w:rsidRPr="004A47DC">
              <w:rPr>
                <w:rFonts w:ascii="Garamond" w:hAnsi="Garamond"/>
                <w:color w:val="000000" w:themeColor="text1"/>
                <w:sz w:val="16"/>
                <w:szCs w:val="16"/>
                <w:lang w:val="sq-AL"/>
              </w:rPr>
              <w:t>BSH</w:t>
            </w:r>
            <w:r w:rsidR="00424F1D">
              <w:rPr>
                <w:rFonts w:ascii="Garamond" w:hAnsi="Garamond"/>
                <w:color w:val="000000" w:themeColor="text1"/>
                <w:sz w:val="16"/>
                <w:szCs w:val="16"/>
                <w:lang w:val="sq-AL"/>
              </w:rPr>
              <w:t>-ja</w:t>
            </w:r>
            <w:r w:rsidRPr="004A47DC">
              <w:rPr>
                <w:rFonts w:ascii="Garamond" w:hAnsi="Garamond"/>
                <w:color w:val="000000" w:themeColor="text1"/>
                <w:sz w:val="16"/>
                <w:szCs w:val="16"/>
                <w:lang w:val="sq-AL"/>
              </w:rPr>
              <w:t>, FMN</w:t>
            </w:r>
            <w:r w:rsidR="00424F1D">
              <w:rPr>
                <w:rFonts w:ascii="Garamond" w:hAnsi="Garamond"/>
                <w:color w:val="000000" w:themeColor="text1"/>
                <w:sz w:val="16"/>
                <w:szCs w:val="16"/>
                <w:lang w:val="sq-AL"/>
              </w:rPr>
              <w:t>-ja</w:t>
            </w:r>
          </w:p>
        </w:tc>
      </w:tr>
      <w:tr w:rsidR="004719D2" w:rsidRPr="004A47DC" w14:paraId="5E3DCEEB" w14:textId="77777777" w:rsidTr="006D20A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0AF09" w14:textId="77777777" w:rsidR="004719D2" w:rsidRPr="004A47DC" w:rsidRDefault="004719D2" w:rsidP="00CF7CEC">
            <w:pPr>
              <w:rPr>
                <w:rFonts w:ascii="Garamond" w:eastAsia="Times New Roman" w:hAnsi="Garamond"/>
                <w:b/>
                <w:bCs/>
                <w:color w:val="000000" w:themeColor="text1"/>
                <w:sz w:val="16"/>
                <w:szCs w:val="16"/>
                <w:lang w:val="sq-AL"/>
              </w:rPr>
            </w:pP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2EB7E0C9" w14:textId="7F1FBD46" w:rsidR="004719D2" w:rsidRPr="004A47DC" w:rsidRDefault="003B2C59" w:rsidP="00F80234">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Rritja e shumës dhe afatit kohor të investimit të depozitave në para në BSH dhe futja e instrumenteve të reja investimi.</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14:paraId="5F3743CD"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T1 2024</w:t>
            </w:r>
          </w:p>
        </w:tc>
        <w:tc>
          <w:tcPr>
            <w:tcW w:w="0" w:type="auto"/>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63105EF"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T4 2025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D8256" w14:textId="77777777" w:rsidR="004719D2" w:rsidRPr="004A47DC" w:rsidRDefault="004719D2" w:rsidP="00CF7CEC">
            <w:pPr>
              <w:rPr>
                <w:rFonts w:ascii="Garamond" w:hAnsi="Garamond"/>
                <w:color w:val="000000" w:themeColor="text1"/>
                <w:sz w:val="16"/>
                <w:szCs w:val="16"/>
                <w:lang w:val="sq-AL"/>
              </w:rPr>
            </w:pPr>
          </w:p>
        </w:tc>
      </w:tr>
    </w:tbl>
    <w:p w14:paraId="0437F7A0" w14:textId="77777777" w:rsidR="004719D2" w:rsidRPr="004A47DC" w:rsidRDefault="004719D2" w:rsidP="004719D2">
      <w:pPr>
        <w:rPr>
          <w:rFonts w:ascii="Garamond" w:hAnsi="Garamond"/>
          <w:color w:val="000000" w:themeColor="text1"/>
        </w:rPr>
      </w:pPr>
    </w:p>
    <w:p w14:paraId="72236EF8" w14:textId="77777777" w:rsidR="004719D2" w:rsidRPr="004A47DC" w:rsidRDefault="004719D2" w:rsidP="004719D2">
      <w:pPr>
        <w:rPr>
          <w:rFonts w:ascii="Garamond" w:hAnsi="Garamond"/>
          <w:b/>
          <w:bCs/>
          <w:color w:val="000000" w:themeColor="text1"/>
        </w:rPr>
      </w:pPr>
      <w:r w:rsidRPr="004A47DC">
        <w:rPr>
          <w:rFonts w:ascii="Garamond" w:hAnsi="Garamond"/>
          <w:b/>
          <w:bCs/>
          <w:color w:val="000000" w:themeColor="text1"/>
        </w:rPr>
        <w:t>Treguesit e performancës dhe vlerat e synuara</w:t>
      </w:r>
    </w:p>
    <w:tbl>
      <w:tblPr>
        <w:tblStyle w:val="TableGridIDEA4"/>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004096AF" w14:textId="77777777" w:rsidTr="006D20A2">
        <w:trPr>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6502A0"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228892"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DE17B7"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Vlerat e synuara</w:t>
            </w:r>
          </w:p>
        </w:tc>
      </w:tr>
      <w:tr w:rsidR="004719D2" w:rsidRPr="004A47DC" w14:paraId="71F552E5" w14:textId="77777777" w:rsidTr="006D20A2">
        <w:trPr>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48E16AD3" w14:textId="77777777" w:rsidR="004719D2" w:rsidRPr="004A47DC" w:rsidRDefault="004719D2" w:rsidP="006D20A2">
            <w:pPr>
              <w:jc w:val="center"/>
              <w:rPr>
                <w:rFonts w:ascii="Garamond" w:hAnsi="Garamond"/>
                <w:b/>
                <w:bCs/>
                <w:color w:val="000000" w:themeColor="text1"/>
                <w:sz w:val="16"/>
                <w:szCs w:val="16"/>
                <w:lang w:val="sq-AL"/>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0ACC03CA" w14:textId="77777777" w:rsidR="004719D2" w:rsidRPr="004A47DC" w:rsidRDefault="004719D2" w:rsidP="006D20A2">
            <w:pPr>
              <w:jc w:val="center"/>
              <w:rPr>
                <w:rFonts w:ascii="Garamond" w:hAnsi="Garamond"/>
                <w:b/>
                <w:bCs/>
                <w:color w:val="000000" w:themeColor="text1"/>
                <w:sz w:val="16"/>
                <w:szCs w:val="16"/>
                <w:lang w:val="sq-AL"/>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BA03CB"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30716B"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7BD437"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88FA41" w14:textId="77777777" w:rsidR="004719D2" w:rsidRPr="004A47DC" w:rsidRDefault="004719D2" w:rsidP="006D20A2">
            <w:pPr>
              <w:jc w:val="center"/>
              <w:rPr>
                <w:rFonts w:ascii="Garamond" w:hAnsi="Garamond"/>
                <w:b/>
                <w:bCs/>
                <w:color w:val="000000" w:themeColor="text1"/>
                <w:sz w:val="16"/>
                <w:szCs w:val="16"/>
                <w:lang w:val="sq-AL"/>
              </w:rPr>
            </w:pPr>
            <w:r w:rsidRPr="004A47DC">
              <w:rPr>
                <w:rFonts w:ascii="Garamond" w:hAnsi="Garamond"/>
                <w:b/>
                <w:bCs/>
                <w:color w:val="000000" w:themeColor="text1"/>
                <w:sz w:val="16"/>
                <w:szCs w:val="16"/>
                <w:lang w:val="sq-AL"/>
              </w:rPr>
              <w:t>2026</w:t>
            </w:r>
          </w:p>
        </w:tc>
      </w:tr>
      <w:tr w:rsidR="004719D2" w:rsidRPr="004A47DC" w14:paraId="4A356858" w14:textId="77777777" w:rsidTr="006D20A2">
        <w:tc>
          <w:tcPr>
            <w:tcW w:w="1727" w:type="pct"/>
            <w:tcBorders>
              <w:top w:val="single" w:sz="4" w:space="0" w:color="auto"/>
              <w:left w:val="single" w:sz="4" w:space="0" w:color="auto"/>
              <w:bottom w:val="single" w:sz="4" w:space="0" w:color="auto"/>
              <w:right w:val="single" w:sz="4" w:space="0" w:color="auto"/>
            </w:tcBorders>
          </w:tcPr>
          <w:p w14:paraId="6B7A1FBD" w14:textId="317F61CC" w:rsidR="004719D2" w:rsidRPr="004A47DC" w:rsidRDefault="002F08B1" w:rsidP="002F08B1">
            <w:pPr>
              <w:rPr>
                <w:rFonts w:ascii="Garamond" w:hAnsi="Garamond"/>
                <w:sz w:val="16"/>
                <w:szCs w:val="16"/>
                <w:lang w:val="sq-AL"/>
              </w:rPr>
            </w:pPr>
            <w:r w:rsidRPr="004A47DC">
              <w:rPr>
                <w:rFonts w:ascii="Garamond" w:hAnsi="Garamond"/>
                <w:sz w:val="16"/>
                <w:szCs w:val="16"/>
                <w:lang w:val="sq-AL"/>
              </w:rPr>
              <w:t xml:space="preserve">1. </w:t>
            </w:r>
            <w:r w:rsidR="004719D2" w:rsidRPr="004A47DC">
              <w:rPr>
                <w:rFonts w:ascii="Garamond" w:hAnsi="Garamond"/>
                <w:sz w:val="16"/>
                <w:szCs w:val="16"/>
                <w:lang w:val="sq-AL"/>
              </w:rPr>
              <w:t xml:space="preserve">Norma e saktësisë së parashikimit mujor të likuiditetit </w:t>
            </w:r>
          </w:p>
        </w:tc>
        <w:tc>
          <w:tcPr>
            <w:tcW w:w="654" w:type="pct"/>
            <w:tcBorders>
              <w:top w:val="single" w:sz="4" w:space="0" w:color="auto"/>
              <w:left w:val="single" w:sz="4" w:space="0" w:color="auto"/>
              <w:bottom w:val="single" w:sz="4" w:space="0" w:color="auto"/>
              <w:right w:val="single" w:sz="4" w:space="0" w:color="auto"/>
            </w:tcBorders>
          </w:tcPr>
          <w:p w14:paraId="47207BF0"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88%</w:t>
            </w:r>
          </w:p>
        </w:tc>
        <w:tc>
          <w:tcPr>
            <w:tcW w:w="655" w:type="pct"/>
            <w:tcBorders>
              <w:top w:val="single" w:sz="4" w:space="0" w:color="auto"/>
              <w:left w:val="single" w:sz="4" w:space="0" w:color="auto"/>
              <w:bottom w:val="single" w:sz="4" w:space="0" w:color="auto"/>
              <w:right w:val="single" w:sz="4" w:space="0" w:color="auto"/>
            </w:tcBorders>
          </w:tcPr>
          <w:p w14:paraId="443F7DC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88%</w:t>
            </w:r>
          </w:p>
        </w:tc>
        <w:tc>
          <w:tcPr>
            <w:tcW w:w="654" w:type="pct"/>
            <w:tcBorders>
              <w:top w:val="single" w:sz="4" w:space="0" w:color="auto"/>
              <w:left w:val="single" w:sz="4" w:space="0" w:color="auto"/>
              <w:bottom w:val="single" w:sz="4" w:space="0" w:color="auto"/>
              <w:right w:val="single" w:sz="4" w:space="0" w:color="auto"/>
            </w:tcBorders>
          </w:tcPr>
          <w:p w14:paraId="52C92218"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91%</w:t>
            </w:r>
          </w:p>
        </w:tc>
        <w:tc>
          <w:tcPr>
            <w:tcW w:w="655" w:type="pct"/>
            <w:tcBorders>
              <w:top w:val="single" w:sz="4" w:space="0" w:color="auto"/>
              <w:left w:val="single" w:sz="4" w:space="0" w:color="auto"/>
              <w:bottom w:val="single" w:sz="4" w:space="0" w:color="auto"/>
              <w:right w:val="single" w:sz="4" w:space="0" w:color="auto"/>
            </w:tcBorders>
          </w:tcPr>
          <w:p w14:paraId="092DD4A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93%</w:t>
            </w:r>
          </w:p>
        </w:tc>
        <w:tc>
          <w:tcPr>
            <w:tcW w:w="655" w:type="pct"/>
            <w:tcBorders>
              <w:top w:val="single" w:sz="4" w:space="0" w:color="auto"/>
              <w:left w:val="single" w:sz="4" w:space="0" w:color="auto"/>
              <w:bottom w:val="single" w:sz="4" w:space="0" w:color="auto"/>
              <w:right w:val="single" w:sz="4" w:space="0" w:color="auto"/>
            </w:tcBorders>
          </w:tcPr>
          <w:p w14:paraId="3E43CDA7"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96%</w:t>
            </w:r>
          </w:p>
        </w:tc>
      </w:tr>
      <w:tr w:rsidR="004719D2" w:rsidRPr="004A47DC" w14:paraId="0EB31916" w14:textId="77777777" w:rsidTr="006D20A2">
        <w:tc>
          <w:tcPr>
            <w:tcW w:w="1727" w:type="pct"/>
            <w:tcBorders>
              <w:top w:val="single" w:sz="4" w:space="0" w:color="auto"/>
              <w:left w:val="single" w:sz="4" w:space="0" w:color="auto"/>
              <w:bottom w:val="single" w:sz="4" w:space="0" w:color="auto"/>
              <w:right w:val="single" w:sz="4" w:space="0" w:color="auto"/>
            </w:tcBorders>
          </w:tcPr>
          <w:p w14:paraId="7DF0C84A" w14:textId="70BFF80D" w:rsidR="004719D2" w:rsidRPr="004A47DC" w:rsidRDefault="002F08B1" w:rsidP="002F08B1">
            <w:pPr>
              <w:rPr>
                <w:rFonts w:ascii="Garamond" w:hAnsi="Garamond"/>
                <w:sz w:val="16"/>
                <w:szCs w:val="16"/>
                <w:lang w:val="sq-AL"/>
              </w:rPr>
            </w:pPr>
            <w:r w:rsidRPr="004A47DC">
              <w:rPr>
                <w:rFonts w:ascii="Garamond" w:hAnsi="Garamond"/>
                <w:sz w:val="16"/>
                <w:szCs w:val="16"/>
                <w:lang w:val="sq-AL"/>
              </w:rPr>
              <w:t xml:space="preserve">2. </w:t>
            </w:r>
            <w:r w:rsidR="004719D2" w:rsidRPr="004A47DC">
              <w:rPr>
                <w:rFonts w:ascii="Garamond" w:hAnsi="Garamond"/>
                <w:sz w:val="16"/>
                <w:szCs w:val="16"/>
                <w:lang w:val="sq-AL"/>
              </w:rPr>
              <w:t xml:space="preserve">Zërat e detajuara të hyrjeve dhe daljeve në </w:t>
            </w:r>
            <w:r w:rsidR="00424F1D" w:rsidRPr="004A47DC">
              <w:rPr>
                <w:rFonts w:ascii="Garamond" w:hAnsi="Garamond"/>
                <w:sz w:val="16"/>
                <w:szCs w:val="16"/>
                <w:lang w:val="sq-AL"/>
              </w:rPr>
              <w:t>parashikimin e flukseve të likuiditetit të përfshira</w:t>
            </w:r>
          </w:p>
        </w:tc>
        <w:tc>
          <w:tcPr>
            <w:tcW w:w="654" w:type="pct"/>
            <w:tcBorders>
              <w:top w:val="single" w:sz="4" w:space="0" w:color="auto"/>
              <w:left w:val="single" w:sz="4" w:space="0" w:color="auto"/>
              <w:bottom w:val="single" w:sz="4" w:space="0" w:color="auto"/>
              <w:right w:val="single" w:sz="4" w:space="0" w:color="auto"/>
            </w:tcBorders>
            <w:vAlign w:val="center"/>
          </w:tcPr>
          <w:p w14:paraId="1940B44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c>
          <w:tcPr>
            <w:tcW w:w="655" w:type="pct"/>
            <w:tcBorders>
              <w:top w:val="single" w:sz="4" w:space="0" w:color="auto"/>
              <w:left w:val="single" w:sz="4" w:space="0" w:color="auto"/>
              <w:bottom w:val="single" w:sz="4" w:space="0" w:color="auto"/>
              <w:right w:val="single" w:sz="4" w:space="0" w:color="auto"/>
            </w:tcBorders>
            <w:vAlign w:val="center"/>
          </w:tcPr>
          <w:p w14:paraId="6251935C"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c>
          <w:tcPr>
            <w:tcW w:w="654" w:type="pct"/>
            <w:tcBorders>
              <w:top w:val="single" w:sz="4" w:space="0" w:color="auto"/>
              <w:left w:val="single" w:sz="4" w:space="0" w:color="auto"/>
              <w:bottom w:val="single" w:sz="4" w:space="0" w:color="auto"/>
              <w:right w:val="single" w:sz="4" w:space="0" w:color="auto"/>
            </w:tcBorders>
            <w:vAlign w:val="center"/>
          </w:tcPr>
          <w:p w14:paraId="6E8F22C3"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6</w:t>
            </w:r>
          </w:p>
        </w:tc>
        <w:tc>
          <w:tcPr>
            <w:tcW w:w="655" w:type="pct"/>
            <w:tcBorders>
              <w:top w:val="single" w:sz="4" w:space="0" w:color="auto"/>
              <w:left w:val="single" w:sz="4" w:space="0" w:color="auto"/>
              <w:bottom w:val="single" w:sz="4" w:space="0" w:color="auto"/>
              <w:right w:val="single" w:sz="4" w:space="0" w:color="auto"/>
            </w:tcBorders>
            <w:vAlign w:val="center"/>
          </w:tcPr>
          <w:p w14:paraId="043573B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2</w:t>
            </w:r>
          </w:p>
        </w:tc>
        <w:tc>
          <w:tcPr>
            <w:tcW w:w="655" w:type="pct"/>
            <w:tcBorders>
              <w:top w:val="single" w:sz="4" w:space="0" w:color="auto"/>
              <w:left w:val="single" w:sz="4" w:space="0" w:color="auto"/>
              <w:bottom w:val="single" w:sz="4" w:space="0" w:color="auto"/>
              <w:right w:val="single" w:sz="4" w:space="0" w:color="auto"/>
            </w:tcBorders>
            <w:vAlign w:val="center"/>
          </w:tcPr>
          <w:p w14:paraId="11A554CE"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r>
      <w:tr w:rsidR="004719D2" w:rsidRPr="004A47DC" w14:paraId="23C7B046" w14:textId="77777777" w:rsidTr="006D20A2">
        <w:tc>
          <w:tcPr>
            <w:tcW w:w="1727" w:type="pct"/>
            <w:tcBorders>
              <w:top w:val="single" w:sz="4" w:space="0" w:color="auto"/>
              <w:left w:val="single" w:sz="4" w:space="0" w:color="auto"/>
              <w:bottom w:val="single" w:sz="4" w:space="0" w:color="auto"/>
              <w:right w:val="single" w:sz="4" w:space="0" w:color="auto"/>
            </w:tcBorders>
          </w:tcPr>
          <w:p w14:paraId="07D627F4" w14:textId="1FDBC982" w:rsidR="004719D2" w:rsidRPr="004A47DC" w:rsidRDefault="002F08B1" w:rsidP="002F08B1">
            <w:pPr>
              <w:rPr>
                <w:rFonts w:ascii="Garamond" w:hAnsi="Garamond"/>
                <w:sz w:val="16"/>
                <w:szCs w:val="16"/>
                <w:lang w:val="sq-AL"/>
              </w:rPr>
            </w:pPr>
            <w:r w:rsidRPr="004A47DC">
              <w:rPr>
                <w:rFonts w:ascii="Garamond" w:hAnsi="Garamond"/>
                <w:sz w:val="16"/>
                <w:szCs w:val="16"/>
                <w:lang w:val="sq-AL"/>
              </w:rPr>
              <w:t xml:space="preserve">3. </w:t>
            </w:r>
            <w:r w:rsidR="004719D2" w:rsidRPr="004A47DC">
              <w:rPr>
                <w:rFonts w:ascii="Garamond" w:hAnsi="Garamond"/>
                <w:sz w:val="16"/>
                <w:szCs w:val="16"/>
                <w:lang w:val="sq-AL"/>
              </w:rPr>
              <w:t>Rritja e numrit të instrumenteve për menaxhim aktiv të likuiditetit</w:t>
            </w:r>
          </w:p>
        </w:tc>
        <w:tc>
          <w:tcPr>
            <w:tcW w:w="654" w:type="pct"/>
            <w:tcBorders>
              <w:top w:val="single" w:sz="4" w:space="0" w:color="auto"/>
              <w:left w:val="single" w:sz="4" w:space="0" w:color="auto"/>
              <w:bottom w:val="single" w:sz="4" w:space="0" w:color="auto"/>
              <w:right w:val="single" w:sz="4" w:space="0" w:color="auto"/>
            </w:tcBorders>
            <w:vAlign w:val="center"/>
          </w:tcPr>
          <w:p w14:paraId="3DC76FA4"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1</w:t>
            </w:r>
          </w:p>
        </w:tc>
        <w:tc>
          <w:tcPr>
            <w:tcW w:w="655" w:type="pct"/>
            <w:tcBorders>
              <w:top w:val="single" w:sz="4" w:space="0" w:color="auto"/>
              <w:left w:val="single" w:sz="4" w:space="0" w:color="auto"/>
              <w:bottom w:val="single" w:sz="4" w:space="0" w:color="auto"/>
              <w:right w:val="single" w:sz="4" w:space="0" w:color="auto"/>
            </w:tcBorders>
            <w:vAlign w:val="center"/>
          </w:tcPr>
          <w:p w14:paraId="2712C2AB"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c>
          <w:tcPr>
            <w:tcW w:w="654" w:type="pct"/>
            <w:tcBorders>
              <w:top w:val="single" w:sz="4" w:space="0" w:color="auto"/>
              <w:left w:val="single" w:sz="4" w:space="0" w:color="auto"/>
              <w:bottom w:val="single" w:sz="4" w:space="0" w:color="auto"/>
              <w:right w:val="single" w:sz="4" w:space="0" w:color="auto"/>
            </w:tcBorders>
            <w:vAlign w:val="center"/>
          </w:tcPr>
          <w:p w14:paraId="15C2D6AB"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c>
          <w:tcPr>
            <w:tcW w:w="655" w:type="pct"/>
            <w:tcBorders>
              <w:top w:val="single" w:sz="4" w:space="0" w:color="auto"/>
              <w:left w:val="single" w:sz="4" w:space="0" w:color="auto"/>
              <w:bottom w:val="single" w:sz="4" w:space="0" w:color="auto"/>
              <w:right w:val="single" w:sz="4" w:space="0" w:color="auto"/>
            </w:tcBorders>
            <w:vAlign w:val="center"/>
          </w:tcPr>
          <w:p w14:paraId="6EB2089A"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1</w:t>
            </w:r>
          </w:p>
        </w:tc>
        <w:tc>
          <w:tcPr>
            <w:tcW w:w="655" w:type="pct"/>
            <w:tcBorders>
              <w:top w:val="single" w:sz="4" w:space="0" w:color="auto"/>
              <w:left w:val="single" w:sz="4" w:space="0" w:color="auto"/>
              <w:bottom w:val="single" w:sz="4" w:space="0" w:color="auto"/>
              <w:right w:val="single" w:sz="4" w:space="0" w:color="auto"/>
            </w:tcBorders>
            <w:vAlign w:val="center"/>
          </w:tcPr>
          <w:p w14:paraId="3F00FBC6" w14:textId="77777777" w:rsidR="004719D2" w:rsidRPr="004A47DC" w:rsidRDefault="004719D2" w:rsidP="00CF7CEC">
            <w:pPr>
              <w:jc w:val="center"/>
              <w:rPr>
                <w:rFonts w:ascii="Garamond" w:hAnsi="Garamond"/>
                <w:color w:val="000000" w:themeColor="text1"/>
                <w:sz w:val="16"/>
                <w:szCs w:val="16"/>
                <w:lang w:val="sq-AL"/>
              </w:rPr>
            </w:pPr>
            <w:r w:rsidRPr="004A47DC">
              <w:rPr>
                <w:rFonts w:ascii="Garamond" w:hAnsi="Garamond"/>
                <w:color w:val="000000" w:themeColor="text1"/>
                <w:sz w:val="16"/>
                <w:szCs w:val="16"/>
                <w:lang w:val="sq-AL"/>
              </w:rPr>
              <w:t>0</w:t>
            </w:r>
          </w:p>
        </w:tc>
      </w:tr>
    </w:tbl>
    <w:p w14:paraId="3EC24300" w14:textId="77777777" w:rsidR="004719D2" w:rsidRPr="004A47DC" w:rsidRDefault="004719D2" w:rsidP="002F08B1">
      <w:pPr>
        <w:pStyle w:val="TEKSTIII"/>
      </w:pPr>
    </w:p>
    <w:p w14:paraId="02C9DF49" w14:textId="46F356BF" w:rsidR="004719D2" w:rsidRPr="004A47DC" w:rsidRDefault="002F08B1" w:rsidP="002F08B1">
      <w:pPr>
        <w:pStyle w:val="TEKSTIII"/>
        <w:rPr>
          <w:rFonts w:eastAsiaTheme="minorHAnsi"/>
          <w:b/>
        </w:rPr>
      </w:pPr>
      <w:bookmarkStart w:id="35" w:name="_Toc152719057"/>
      <w:bookmarkStart w:id="36" w:name="_Toc168918695"/>
      <w:bookmarkStart w:id="37" w:name="_Hlk148118301"/>
      <w:r w:rsidRPr="004A47DC">
        <w:rPr>
          <w:rFonts w:eastAsiaTheme="minorHAnsi"/>
          <w:b/>
        </w:rPr>
        <w:t xml:space="preserve">5.7 </w:t>
      </w:r>
      <w:r w:rsidR="004719D2" w:rsidRPr="004A47DC">
        <w:rPr>
          <w:rFonts w:eastAsiaTheme="minorHAnsi"/>
          <w:b/>
        </w:rPr>
        <w:t>Komponenti 4.6</w:t>
      </w:r>
      <w:r w:rsidR="006D20A2" w:rsidRPr="004A47DC">
        <w:rPr>
          <w:rFonts w:eastAsiaTheme="minorHAnsi"/>
          <w:b/>
        </w:rPr>
        <w:t>:</w:t>
      </w:r>
      <w:r w:rsidR="004719D2" w:rsidRPr="004A47DC">
        <w:rPr>
          <w:rFonts w:eastAsiaTheme="minorHAnsi"/>
          <w:b/>
        </w:rPr>
        <w:t xml:space="preserve"> </w:t>
      </w:r>
      <w:bookmarkEnd w:id="35"/>
      <w:r w:rsidR="004719D2" w:rsidRPr="004A47DC">
        <w:rPr>
          <w:rFonts w:eastAsiaTheme="minorHAnsi"/>
          <w:b/>
        </w:rPr>
        <w:t xml:space="preserve">Menaxhimi i </w:t>
      </w:r>
      <w:r w:rsidR="006D20A2" w:rsidRPr="004A47DC">
        <w:rPr>
          <w:rFonts w:eastAsiaTheme="minorHAnsi"/>
          <w:b/>
        </w:rPr>
        <w:t>a</w:t>
      </w:r>
      <w:r w:rsidR="004719D2" w:rsidRPr="004A47DC">
        <w:rPr>
          <w:rFonts w:eastAsiaTheme="minorHAnsi"/>
          <w:b/>
        </w:rPr>
        <w:t>seteve</w:t>
      </w:r>
      <w:bookmarkEnd w:id="36"/>
    </w:p>
    <w:p w14:paraId="10ED4D01" w14:textId="77777777" w:rsidR="004719D2" w:rsidRPr="004A47DC" w:rsidRDefault="004719D2" w:rsidP="002F08B1">
      <w:pPr>
        <w:pStyle w:val="TEKSTIII"/>
        <w:rPr>
          <w:b/>
        </w:rPr>
      </w:pPr>
      <w:r w:rsidRPr="004A47DC">
        <w:rPr>
          <w:b/>
        </w:rPr>
        <w:t>Objektivi</w:t>
      </w:r>
    </w:p>
    <w:p w14:paraId="7AAFCD37" w14:textId="0F9C07C8" w:rsidR="004719D2" w:rsidRPr="004A47DC" w:rsidRDefault="004719D2" w:rsidP="002F08B1">
      <w:pPr>
        <w:pStyle w:val="TEKSTIII"/>
        <w:rPr>
          <w:bCs/>
        </w:rPr>
      </w:pPr>
      <w:r w:rsidRPr="004A47DC">
        <w:rPr>
          <w:bCs/>
        </w:rPr>
        <w:t>Synimi për vitin 2030 është të kenë përfunduar procedurat dhe sistemet për regjistrimin dhe vlerësimin e të gjitha aseteve publike</w:t>
      </w:r>
      <w:r w:rsidR="00424F1D">
        <w:rPr>
          <w:bCs/>
        </w:rPr>
        <w:t>,</w:t>
      </w:r>
      <w:r w:rsidRPr="004A47DC">
        <w:rPr>
          <w:bCs/>
        </w:rPr>
        <w:t xml:space="preserve"> në përputhje me standardet e miratuara të kontabilitetit.</w:t>
      </w:r>
    </w:p>
    <w:p w14:paraId="2B51CCF6" w14:textId="77777777" w:rsidR="004719D2" w:rsidRPr="004A47DC" w:rsidRDefault="004719D2" w:rsidP="002F08B1">
      <w:pPr>
        <w:pStyle w:val="TEKSTIII"/>
        <w:rPr>
          <w:b/>
        </w:rPr>
      </w:pPr>
      <w:r w:rsidRPr="004A47DC">
        <w:rPr>
          <w:b/>
        </w:rPr>
        <w:t>Konteksti</w:t>
      </w:r>
    </w:p>
    <w:p w14:paraId="7C30B276" w14:textId="6FE33D46" w:rsidR="004719D2" w:rsidRPr="004A47DC" w:rsidRDefault="004719D2" w:rsidP="002F08B1">
      <w:pPr>
        <w:pStyle w:val="TEKSTIII"/>
      </w:pPr>
      <w:r w:rsidRPr="004A47DC">
        <w:rPr>
          <w:rStyle w:val="rynqvb"/>
          <w:color w:val="000000" w:themeColor="text1"/>
        </w:rPr>
        <w:t>Për qëllime të kontabilitetit, në SIFQ është krijuar një modul i regjistrit publik të aseteve.</w:t>
      </w:r>
      <w:r w:rsidRPr="004A47DC">
        <w:rPr>
          <w:rStyle w:val="hwtze"/>
          <w:color w:val="000000" w:themeColor="text1"/>
        </w:rPr>
        <w:t xml:space="preserve"> </w:t>
      </w:r>
      <w:r w:rsidRPr="004A47DC">
        <w:rPr>
          <w:rStyle w:val="rynqvb"/>
          <w:color w:val="000000" w:themeColor="text1"/>
        </w:rPr>
        <w:t xml:space="preserve">Duke marrë parasysh boshllëkun e konsiderueshëm të të dhënave në regjistrat e aseteve fikse, në kuadër të projektit të BB-së </w:t>
      </w:r>
      <w:r w:rsidR="00E33A13" w:rsidRPr="004A47DC">
        <w:rPr>
          <w:rStyle w:val="rynqvb"/>
          <w:color w:val="000000" w:themeColor="text1"/>
        </w:rPr>
        <w:t>“</w:t>
      </w:r>
      <w:r w:rsidRPr="004A47DC">
        <w:rPr>
          <w:rStyle w:val="rynqvb"/>
          <w:color w:val="000000" w:themeColor="text1"/>
        </w:rPr>
        <w:t>Zhvillimi i kontabilitetit të sektorit publik në Shqipëri (SNKSP)</w:t>
      </w:r>
      <w:r w:rsidR="00E33A13" w:rsidRPr="004A47DC">
        <w:rPr>
          <w:rStyle w:val="rynqvb"/>
          <w:color w:val="000000" w:themeColor="text1"/>
        </w:rPr>
        <w:t>”</w:t>
      </w:r>
      <w:r w:rsidRPr="004A47DC">
        <w:rPr>
          <w:rStyle w:val="rynqvb"/>
          <w:color w:val="000000" w:themeColor="text1"/>
        </w:rPr>
        <w:t xml:space="preserve"> u krye një vlerësim i cilësisë, plotësisë, metodologjisë dhe saktësisë së aseteve fikse.</w:t>
      </w:r>
      <w:r w:rsidRPr="004A47DC">
        <w:rPr>
          <w:rStyle w:val="hwtze"/>
          <w:color w:val="000000" w:themeColor="text1"/>
        </w:rPr>
        <w:t xml:space="preserve"> </w:t>
      </w:r>
      <w:r w:rsidRPr="004A47DC">
        <w:rPr>
          <w:rStyle w:val="rynqvb"/>
          <w:color w:val="000000" w:themeColor="text1"/>
        </w:rPr>
        <w:t>Si rezultat u hartuan disa udhëzime të tilla si: i</w:t>
      </w:r>
      <w:r w:rsidR="006D20A2" w:rsidRPr="004A47DC">
        <w:rPr>
          <w:rStyle w:val="rynqvb"/>
          <w:color w:val="000000" w:themeColor="text1"/>
        </w:rPr>
        <w:t>.</w:t>
      </w:r>
      <w:r w:rsidRPr="004A47DC">
        <w:rPr>
          <w:rStyle w:val="rynqvb"/>
          <w:color w:val="000000" w:themeColor="text1"/>
        </w:rPr>
        <w:t xml:space="preserve"> një udhëzim për njohjen fillestare, matjen dhe çregjistrimin e çdo klase të aseteve</w:t>
      </w:r>
      <w:r w:rsidR="006D20A2" w:rsidRPr="004A47DC">
        <w:rPr>
          <w:rStyle w:val="rynqvb"/>
          <w:color w:val="000000" w:themeColor="text1"/>
        </w:rPr>
        <w:t>;</w:t>
      </w:r>
      <w:r w:rsidRPr="004A47DC">
        <w:rPr>
          <w:rStyle w:val="rynqvb"/>
          <w:color w:val="000000" w:themeColor="text1"/>
        </w:rPr>
        <w:t xml:space="preserve"> ii</w:t>
      </w:r>
      <w:r w:rsidR="006D20A2" w:rsidRPr="004A47DC">
        <w:rPr>
          <w:rStyle w:val="rynqvb"/>
          <w:color w:val="000000" w:themeColor="text1"/>
        </w:rPr>
        <w:t>.</w:t>
      </w:r>
      <w:r w:rsidRPr="004A47DC">
        <w:rPr>
          <w:rStyle w:val="rynqvb"/>
          <w:color w:val="000000" w:themeColor="text1"/>
        </w:rPr>
        <w:t xml:space="preserve"> një metodologji për regjistrin e aseteve fikse</w:t>
      </w:r>
      <w:r w:rsidR="006D20A2" w:rsidRPr="004A47DC">
        <w:rPr>
          <w:rStyle w:val="rynqvb"/>
          <w:color w:val="000000" w:themeColor="text1"/>
        </w:rPr>
        <w:t>;</w:t>
      </w:r>
      <w:r w:rsidRPr="004A47DC">
        <w:rPr>
          <w:rStyle w:val="rynqvb"/>
          <w:color w:val="000000" w:themeColor="text1"/>
        </w:rPr>
        <w:t xml:space="preserve"> dhe iii</w:t>
      </w:r>
      <w:r w:rsidR="006D20A2" w:rsidRPr="004A47DC">
        <w:rPr>
          <w:rStyle w:val="rynqvb"/>
          <w:color w:val="000000" w:themeColor="text1"/>
        </w:rPr>
        <w:t>.</w:t>
      </w:r>
      <w:r w:rsidRPr="004A47DC">
        <w:rPr>
          <w:rStyle w:val="rynqvb"/>
          <w:color w:val="000000" w:themeColor="text1"/>
        </w:rPr>
        <w:t xml:space="preserve"> një plan veprimi për</w:t>
      </w:r>
      <w:r w:rsidRPr="004A47DC">
        <w:rPr>
          <w:rStyle w:val="hwtze"/>
          <w:color w:val="000000" w:themeColor="text1"/>
        </w:rPr>
        <w:t xml:space="preserve"> </w:t>
      </w:r>
      <w:r w:rsidRPr="004A47DC">
        <w:rPr>
          <w:rStyle w:val="rynqvb"/>
          <w:color w:val="000000" w:themeColor="text1"/>
        </w:rPr>
        <w:t>inventarizimin e aktiveve dhe masat e propozuara për inventarizimin në nivel njësie biznesi.</w:t>
      </w:r>
      <w:r w:rsidRPr="004A47DC">
        <w:rPr>
          <w:rStyle w:val="hwtze"/>
          <w:color w:val="000000" w:themeColor="text1"/>
        </w:rPr>
        <w:t xml:space="preserve"> </w:t>
      </w:r>
      <w:r w:rsidRPr="004A47DC">
        <w:rPr>
          <w:rStyle w:val="rynqvb"/>
          <w:color w:val="000000" w:themeColor="text1"/>
        </w:rPr>
        <w:t>Në lidhje me hapjen e regjistrit, është ofruar trajnim për përdoruesit e sistemit.</w:t>
      </w:r>
    </w:p>
    <w:p w14:paraId="4370C058" w14:textId="77777777" w:rsidR="004719D2" w:rsidRPr="004A47DC" w:rsidRDefault="004719D2" w:rsidP="002F08B1">
      <w:pPr>
        <w:pStyle w:val="TEKSTIII"/>
        <w:rPr>
          <w:b/>
        </w:rPr>
      </w:pPr>
      <w:r w:rsidRPr="004A47DC">
        <w:rPr>
          <w:b/>
        </w:rPr>
        <w:t xml:space="preserve">Prioritetet </w:t>
      </w:r>
    </w:p>
    <w:p w14:paraId="578FBAF9" w14:textId="0733B0A6" w:rsidR="004719D2" w:rsidRPr="004A47DC" w:rsidRDefault="004719D2" w:rsidP="002F08B1">
      <w:pPr>
        <w:pStyle w:val="TEKSTIII"/>
      </w:pPr>
      <w:r w:rsidRPr="004A47DC">
        <w:t xml:space="preserve">Prioriteti për periudhën </w:t>
      </w:r>
      <w:r w:rsidR="00DB1D7E" w:rsidRPr="004A47DC">
        <w:t>2023–2026</w:t>
      </w:r>
      <w:r w:rsidRPr="004A47DC">
        <w:t xml:space="preserve"> është:</w:t>
      </w:r>
    </w:p>
    <w:p w14:paraId="4004B57A" w14:textId="2195E032" w:rsidR="004719D2" w:rsidRPr="004A47DC" w:rsidRDefault="00DC05DF" w:rsidP="002F08B1">
      <w:pPr>
        <w:pStyle w:val="TEKSTIII"/>
      </w:pPr>
      <w:r w:rsidRPr="004A47DC">
        <w:t xml:space="preserve">- </w:t>
      </w:r>
      <w:r w:rsidR="004719D2" w:rsidRPr="004A47DC">
        <w:t>Finalizimi i reformës për futjen dhe vendosjen e plotë të modulit të regjistrit të aseteve në SIFQ.</w:t>
      </w:r>
    </w:p>
    <w:p w14:paraId="5E3CDC7E" w14:textId="77777777" w:rsidR="004719D2" w:rsidRPr="004A47DC" w:rsidRDefault="004719D2" w:rsidP="002F08B1">
      <w:pPr>
        <w:pStyle w:val="TEKSTIII"/>
        <w:rPr>
          <w:b/>
        </w:rPr>
      </w:pPr>
      <w:r w:rsidRPr="004A47DC">
        <w:rPr>
          <w:rStyle w:val="rynqvb"/>
          <w:b/>
          <w:color w:val="000000" w:themeColor="text1"/>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324"/>
        <w:gridCol w:w="3406"/>
        <w:gridCol w:w="694"/>
        <w:gridCol w:w="854"/>
        <w:gridCol w:w="1783"/>
      </w:tblGrid>
      <w:tr w:rsidR="004719D2" w:rsidRPr="004A47DC" w14:paraId="314BA09F" w14:textId="77777777" w:rsidTr="006D20A2">
        <w:trPr>
          <w:trHeight w:val="20"/>
          <w:tblHeader/>
        </w:trPr>
        <w:tc>
          <w:tcPr>
            <w:tcW w:w="12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E3C6A2"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8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480E2B"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544EE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62DD9C"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98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DC9BA4" w14:textId="77777777" w:rsidR="004719D2" w:rsidRPr="004A47DC" w:rsidRDefault="004719D2" w:rsidP="006D20A2">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40C271B0" w14:textId="77777777" w:rsidTr="006D20A2">
        <w:trPr>
          <w:trHeight w:val="20"/>
        </w:trPr>
        <w:tc>
          <w:tcPr>
            <w:tcW w:w="1282" w:type="pct"/>
            <w:vMerge w:val="restart"/>
            <w:tcBorders>
              <w:top w:val="single" w:sz="4" w:space="0" w:color="auto"/>
              <w:left w:val="single" w:sz="4" w:space="0" w:color="auto"/>
              <w:right w:val="single" w:sz="4" w:space="0" w:color="auto"/>
            </w:tcBorders>
          </w:tcPr>
          <w:p w14:paraId="3D5DB686" w14:textId="77777777" w:rsidR="004719D2" w:rsidRPr="004A47DC" w:rsidRDefault="004719D2" w:rsidP="00CF7CEC">
            <w:pPr>
              <w:pStyle w:val="EcorysBody"/>
              <w:spacing w:line="240" w:lineRule="auto"/>
              <w:rPr>
                <w:rFonts w:ascii="Garamond" w:hAnsi="Garamond" w:cs="Arial"/>
                <w:b/>
                <w:color w:val="000000" w:themeColor="text1"/>
                <w:sz w:val="16"/>
                <w:szCs w:val="16"/>
              </w:rPr>
            </w:pPr>
            <w:r w:rsidRPr="004A47DC">
              <w:rPr>
                <w:rFonts w:ascii="Garamond" w:hAnsi="Garamond" w:cs="Arial"/>
                <w:b/>
                <w:color w:val="000000" w:themeColor="text1"/>
                <w:sz w:val="16"/>
                <w:szCs w:val="16"/>
              </w:rPr>
              <w:t>Masa 4.6.1 Finalizimi i reformës për regjistrimin e aseteve për qëllime kontabiliteti</w:t>
            </w:r>
          </w:p>
          <w:p w14:paraId="4F300673" w14:textId="77777777" w:rsidR="004719D2" w:rsidRPr="004A47DC" w:rsidRDefault="004719D2" w:rsidP="00CF7CEC">
            <w:pPr>
              <w:pStyle w:val="EcorysBody"/>
              <w:spacing w:line="240" w:lineRule="auto"/>
              <w:rPr>
                <w:rFonts w:ascii="Garamond" w:eastAsia="Times New Roman" w:hAnsi="Garamond" w:cs="Arial"/>
                <w:b/>
                <w:bCs/>
                <w:color w:val="000000" w:themeColor="text1"/>
                <w:sz w:val="16"/>
                <w:szCs w:val="16"/>
              </w:rPr>
            </w:pPr>
          </w:p>
        </w:tc>
        <w:tc>
          <w:tcPr>
            <w:tcW w:w="1879" w:type="pct"/>
            <w:tcBorders>
              <w:top w:val="single" w:sz="4" w:space="0" w:color="auto"/>
              <w:left w:val="single" w:sz="4" w:space="0" w:color="auto"/>
              <w:bottom w:val="single" w:sz="4" w:space="0" w:color="auto"/>
              <w:right w:val="single" w:sz="4" w:space="0" w:color="auto"/>
            </w:tcBorders>
            <w:vAlign w:val="center"/>
            <w:hideMark/>
          </w:tcPr>
          <w:p w14:paraId="00744678" w14:textId="28CADB96" w:rsidR="004719D2" w:rsidRPr="004A47DC" w:rsidRDefault="00DC05DF" w:rsidP="00DC05DF">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Rishikimi dhe ndryshimi i metodologjisë përkatëse për menaxhimin e aseteve</w:t>
            </w:r>
            <w:r w:rsidR="00424F1D">
              <w:rPr>
                <w:rFonts w:ascii="Garamond" w:hAnsi="Garamond"/>
                <w:sz w:val="16"/>
                <w:szCs w:val="16"/>
              </w:rPr>
              <w:t>,</w:t>
            </w:r>
            <w:r w:rsidR="004719D2" w:rsidRPr="004A47DC">
              <w:rPr>
                <w:rFonts w:ascii="Garamond" w:hAnsi="Garamond"/>
                <w:sz w:val="16"/>
                <w:szCs w:val="16"/>
              </w:rPr>
              <w:t xml:space="preserve"> në përputhje me kërkesat e SNKSP</w:t>
            </w:r>
            <w:r w:rsidR="00424F1D">
              <w:rPr>
                <w:rFonts w:ascii="Garamond" w:hAnsi="Garamond"/>
                <w:sz w:val="16"/>
                <w:szCs w:val="16"/>
              </w:rPr>
              <w:t>-ve</w:t>
            </w:r>
            <w:r w:rsidR="004719D2" w:rsidRPr="004A47DC">
              <w:rPr>
                <w:rFonts w:ascii="Garamond" w:hAnsi="Garamond"/>
                <w:sz w:val="16"/>
                <w:szCs w:val="16"/>
              </w:rPr>
              <w:t>.</w:t>
            </w:r>
            <w:r w:rsidR="004719D2" w:rsidRPr="00424F1D">
              <w:rPr>
                <w:rFonts w:ascii="Garamond" w:hAnsi="Garamond"/>
                <w:sz w:val="16"/>
                <w:szCs w:val="16"/>
                <w:vertAlign w:val="superscript"/>
              </w:rPr>
              <w:footnoteReference w:id="60"/>
            </w:r>
          </w:p>
        </w:tc>
        <w:tc>
          <w:tcPr>
            <w:tcW w:w="383" w:type="pct"/>
            <w:tcBorders>
              <w:top w:val="single" w:sz="4" w:space="0" w:color="auto"/>
              <w:left w:val="single" w:sz="4" w:space="0" w:color="auto"/>
              <w:bottom w:val="single" w:sz="4" w:space="0" w:color="auto"/>
              <w:right w:val="single" w:sz="4" w:space="0" w:color="auto"/>
            </w:tcBorders>
            <w:vAlign w:val="center"/>
            <w:hideMark/>
          </w:tcPr>
          <w:p w14:paraId="07C0112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hideMark/>
          </w:tcPr>
          <w:p w14:paraId="6E5F01C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2027</w:t>
            </w:r>
          </w:p>
        </w:tc>
        <w:tc>
          <w:tcPr>
            <w:tcW w:w="984" w:type="pct"/>
            <w:vMerge w:val="restart"/>
            <w:tcBorders>
              <w:top w:val="single" w:sz="4" w:space="0" w:color="auto"/>
              <w:left w:val="single" w:sz="4" w:space="0" w:color="auto"/>
              <w:right w:val="single" w:sz="4" w:space="0" w:color="auto"/>
            </w:tcBorders>
          </w:tcPr>
          <w:p w14:paraId="4DD3F0E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56CD48E6" w14:textId="081AF1FE"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DHMFKK</w:t>
            </w:r>
            <w:r w:rsidR="00424F1D">
              <w:rPr>
                <w:rFonts w:ascii="Garamond" w:hAnsi="Garamond"/>
                <w:color w:val="000000" w:themeColor="text1"/>
                <w:sz w:val="16"/>
                <w:szCs w:val="16"/>
              </w:rPr>
              <w:t>-ja</w:t>
            </w:r>
            <w:r w:rsidRPr="004A47DC">
              <w:rPr>
                <w:rFonts w:ascii="Garamond" w:hAnsi="Garamond"/>
                <w:color w:val="000000" w:themeColor="text1"/>
                <w:sz w:val="16"/>
                <w:szCs w:val="16"/>
              </w:rPr>
              <w:t xml:space="preserve"> (lider për SNKSP</w:t>
            </w:r>
            <w:r w:rsidR="00424F1D">
              <w:rPr>
                <w:rFonts w:ascii="Garamond" w:hAnsi="Garamond"/>
                <w:color w:val="000000" w:themeColor="text1"/>
                <w:sz w:val="16"/>
                <w:szCs w:val="16"/>
              </w:rPr>
              <w:t>-të</w:t>
            </w:r>
            <w:r w:rsidRPr="004A47DC">
              <w:rPr>
                <w:rFonts w:ascii="Garamond" w:hAnsi="Garamond"/>
                <w:color w:val="000000" w:themeColor="text1"/>
                <w:sz w:val="16"/>
                <w:szCs w:val="16"/>
              </w:rPr>
              <w:t>), DPTH</w:t>
            </w:r>
            <w:r w:rsidR="00424F1D">
              <w:rPr>
                <w:rFonts w:ascii="Garamond" w:hAnsi="Garamond"/>
                <w:color w:val="000000" w:themeColor="text1"/>
                <w:sz w:val="16"/>
                <w:szCs w:val="16"/>
              </w:rPr>
              <w:t>-ja</w:t>
            </w:r>
            <w:r w:rsidRPr="004A47DC">
              <w:rPr>
                <w:rFonts w:ascii="Garamond" w:hAnsi="Garamond"/>
                <w:color w:val="000000" w:themeColor="text1"/>
                <w:sz w:val="16"/>
                <w:szCs w:val="16"/>
              </w:rPr>
              <w:t xml:space="preserve"> (lider për SIFQ</w:t>
            </w:r>
            <w:r w:rsidR="00424F1D">
              <w:rPr>
                <w:rFonts w:ascii="Garamond" w:hAnsi="Garamond"/>
                <w:color w:val="000000" w:themeColor="text1"/>
                <w:sz w:val="16"/>
                <w:szCs w:val="16"/>
              </w:rPr>
              <w:t>-në</w:t>
            </w:r>
            <w:r w:rsidRPr="004A47DC">
              <w:rPr>
                <w:rFonts w:ascii="Garamond" w:hAnsi="Garamond"/>
                <w:color w:val="000000" w:themeColor="text1"/>
                <w:sz w:val="16"/>
                <w:szCs w:val="16"/>
              </w:rPr>
              <w:t xml:space="preserve">). </w:t>
            </w:r>
          </w:p>
          <w:p w14:paraId="1C7272E1" w14:textId="77777777" w:rsidR="004719D2" w:rsidRPr="004A47DC" w:rsidRDefault="004719D2" w:rsidP="00CF7CEC">
            <w:pPr>
              <w:rPr>
                <w:rFonts w:ascii="Garamond" w:hAnsi="Garamond"/>
                <w:color w:val="000000" w:themeColor="text1"/>
                <w:sz w:val="16"/>
                <w:szCs w:val="16"/>
              </w:rPr>
            </w:pPr>
          </w:p>
          <w:p w14:paraId="6DADD49D" w14:textId="77777777" w:rsidR="004719D2" w:rsidRPr="004A47DC" w:rsidRDefault="004719D2" w:rsidP="00CF7CEC">
            <w:pPr>
              <w:rPr>
                <w:rFonts w:ascii="Garamond" w:hAnsi="Garamond"/>
                <w:color w:val="000000" w:themeColor="text1"/>
                <w:sz w:val="16"/>
                <w:szCs w:val="16"/>
              </w:rPr>
            </w:pPr>
          </w:p>
        </w:tc>
      </w:tr>
      <w:tr w:rsidR="004719D2" w:rsidRPr="004A47DC" w14:paraId="15ACCCA5" w14:textId="77777777" w:rsidTr="006D20A2">
        <w:trPr>
          <w:trHeight w:val="20"/>
        </w:trPr>
        <w:tc>
          <w:tcPr>
            <w:tcW w:w="1282" w:type="pct"/>
            <w:vMerge/>
            <w:tcBorders>
              <w:left w:val="single" w:sz="4" w:space="0" w:color="auto"/>
              <w:right w:val="single" w:sz="4" w:space="0" w:color="auto"/>
            </w:tcBorders>
            <w:vAlign w:val="center"/>
            <w:hideMark/>
          </w:tcPr>
          <w:p w14:paraId="7E904114" w14:textId="77777777" w:rsidR="004719D2" w:rsidRPr="004A47DC" w:rsidRDefault="004719D2" w:rsidP="00CF7CEC">
            <w:pPr>
              <w:rPr>
                <w:rFonts w:ascii="Garamond" w:eastAsia="Times New Roman" w:hAnsi="Garamond"/>
                <w:b/>
                <w:bCs/>
                <w:color w:val="000000" w:themeColor="text1"/>
                <w:sz w:val="16"/>
                <w:szCs w:val="16"/>
              </w:rPr>
            </w:pPr>
          </w:p>
        </w:tc>
        <w:tc>
          <w:tcPr>
            <w:tcW w:w="1879" w:type="pct"/>
            <w:tcBorders>
              <w:top w:val="single" w:sz="4" w:space="0" w:color="auto"/>
              <w:left w:val="single" w:sz="4" w:space="0" w:color="auto"/>
              <w:bottom w:val="single" w:sz="4" w:space="0" w:color="auto"/>
              <w:right w:val="single" w:sz="4" w:space="0" w:color="auto"/>
            </w:tcBorders>
            <w:vAlign w:val="center"/>
            <w:hideMark/>
          </w:tcPr>
          <w:p w14:paraId="7F1D9BCA" w14:textId="63AD1486" w:rsidR="004719D2" w:rsidRPr="004A47DC" w:rsidRDefault="00DC05DF" w:rsidP="00DC05DF">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 xml:space="preserve">Vazhdimi dhe finalizimi i popullimit/futjes së të dhënave të aseteve në SIFQ nga </w:t>
            </w:r>
            <w:r w:rsidR="00424F1D" w:rsidRPr="004A47DC">
              <w:rPr>
                <w:rFonts w:ascii="Garamond" w:hAnsi="Garamond"/>
                <w:sz w:val="16"/>
                <w:szCs w:val="16"/>
              </w:rPr>
              <w:t xml:space="preserve">institucionet buxhetore </w:t>
            </w:r>
            <w:r w:rsidR="00424F1D" w:rsidRPr="00424F1D">
              <w:rPr>
                <w:rFonts w:ascii="Garamond" w:hAnsi="Garamond"/>
                <w:i/>
                <w:sz w:val="16"/>
                <w:szCs w:val="16"/>
              </w:rPr>
              <w:t>online</w:t>
            </w:r>
            <w:r w:rsidR="00424F1D" w:rsidRPr="004A47DC">
              <w:rPr>
                <w:rFonts w:ascii="Garamond" w:hAnsi="Garamond"/>
                <w:sz w:val="16"/>
                <w:szCs w:val="16"/>
              </w:rPr>
              <w:t xml:space="preserve"> dhe kryerja e </w:t>
            </w:r>
            <w:r w:rsidR="004719D2" w:rsidRPr="004A47DC">
              <w:rPr>
                <w:rFonts w:ascii="Garamond" w:hAnsi="Garamond"/>
                <w:sz w:val="16"/>
                <w:szCs w:val="16"/>
              </w:rPr>
              <w:t>kontrolleve të nevojshme.</w:t>
            </w:r>
          </w:p>
        </w:tc>
        <w:tc>
          <w:tcPr>
            <w:tcW w:w="383" w:type="pct"/>
            <w:tcBorders>
              <w:top w:val="single" w:sz="4" w:space="0" w:color="auto"/>
              <w:left w:val="single" w:sz="4" w:space="0" w:color="auto"/>
              <w:bottom w:val="single" w:sz="4" w:space="0" w:color="auto"/>
              <w:right w:val="single" w:sz="4" w:space="0" w:color="auto"/>
            </w:tcBorders>
            <w:vAlign w:val="center"/>
          </w:tcPr>
          <w:p w14:paraId="2DEE9A9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tcBorders>
              <w:top w:val="single" w:sz="4" w:space="0" w:color="auto"/>
              <w:left w:val="single" w:sz="4" w:space="0" w:color="auto"/>
              <w:bottom w:val="single" w:sz="4" w:space="0" w:color="auto"/>
              <w:right w:val="single" w:sz="4" w:space="0" w:color="auto"/>
            </w:tcBorders>
            <w:vAlign w:val="center"/>
          </w:tcPr>
          <w:p w14:paraId="35AD05E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2026</w:t>
            </w:r>
          </w:p>
        </w:tc>
        <w:tc>
          <w:tcPr>
            <w:tcW w:w="984" w:type="pct"/>
            <w:vMerge/>
            <w:tcBorders>
              <w:left w:val="single" w:sz="4" w:space="0" w:color="auto"/>
              <w:right w:val="single" w:sz="4" w:space="0" w:color="auto"/>
            </w:tcBorders>
            <w:vAlign w:val="center"/>
            <w:hideMark/>
          </w:tcPr>
          <w:p w14:paraId="49C7EBC5" w14:textId="77777777" w:rsidR="004719D2" w:rsidRPr="004A47DC" w:rsidRDefault="004719D2" w:rsidP="00CF7CEC">
            <w:pPr>
              <w:rPr>
                <w:rFonts w:ascii="Garamond" w:hAnsi="Garamond"/>
                <w:color w:val="000000" w:themeColor="text1"/>
                <w:sz w:val="16"/>
                <w:szCs w:val="16"/>
              </w:rPr>
            </w:pPr>
          </w:p>
        </w:tc>
      </w:tr>
      <w:tr w:rsidR="004719D2" w:rsidRPr="004A47DC" w14:paraId="49D79DB2" w14:textId="77777777" w:rsidTr="006D20A2">
        <w:trPr>
          <w:trHeight w:val="20"/>
        </w:trPr>
        <w:tc>
          <w:tcPr>
            <w:tcW w:w="1282" w:type="pct"/>
            <w:vMerge/>
            <w:tcBorders>
              <w:left w:val="single" w:sz="4" w:space="0" w:color="auto"/>
              <w:right w:val="single" w:sz="4" w:space="0" w:color="auto"/>
            </w:tcBorders>
            <w:vAlign w:val="center"/>
          </w:tcPr>
          <w:p w14:paraId="213394E2" w14:textId="77777777" w:rsidR="004719D2" w:rsidRPr="004A47DC" w:rsidRDefault="004719D2" w:rsidP="00CF7CEC">
            <w:pPr>
              <w:rPr>
                <w:rFonts w:ascii="Garamond" w:eastAsia="Times New Roman" w:hAnsi="Garamond"/>
                <w:b/>
                <w:bCs/>
                <w:color w:val="000000" w:themeColor="text1"/>
                <w:sz w:val="16"/>
                <w:szCs w:val="16"/>
              </w:rPr>
            </w:pPr>
          </w:p>
        </w:tc>
        <w:tc>
          <w:tcPr>
            <w:tcW w:w="1879" w:type="pct"/>
            <w:tcBorders>
              <w:top w:val="single" w:sz="4" w:space="0" w:color="auto"/>
              <w:left w:val="single" w:sz="4" w:space="0" w:color="auto"/>
              <w:bottom w:val="single" w:sz="4" w:space="0" w:color="auto"/>
              <w:right w:val="single" w:sz="4" w:space="0" w:color="auto"/>
            </w:tcBorders>
            <w:vAlign w:val="center"/>
          </w:tcPr>
          <w:p w14:paraId="52E36BC1" w14:textId="0E871AA7" w:rsidR="004719D2" w:rsidRPr="004A47DC" w:rsidRDefault="00DC05DF" w:rsidP="00DC05DF">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Institucionet e sektorit publik kryejnë inventarizimin dhe vlerësimin e aseteve të tyre.</w:t>
            </w:r>
          </w:p>
        </w:tc>
        <w:tc>
          <w:tcPr>
            <w:tcW w:w="383" w:type="pct"/>
            <w:tcBorders>
              <w:top w:val="single" w:sz="4" w:space="0" w:color="auto"/>
              <w:left w:val="single" w:sz="4" w:space="0" w:color="auto"/>
              <w:bottom w:val="single" w:sz="4" w:space="0" w:color="auto"/>
              <w:right w:val="single" w:sz="4" w:space="0" w:color="auto"/>
            </w:tcBorders>
            <w:vAlign w:val="center"/>
          </w:tcPr>
          <w:p w14:paraId="79A9BA2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tcBorders>
              <w:top w:val="single" w:sz="4" w:space="0" w:color="auto"/>
              <w:left w:val="single" w:sz="4" w:space="0" w:color="auto"/>
              <w:bottom w:val="single" w:sz="4" w:space="0" w:color="auto"/>
              <w:right w:val="single" w:sz="4" w:space="0" w:color="auto"/>
            </w:tcBorders>
            <w:vAlign w:val="center"/>
          </w:tcPr>
          <w:p w14:paraId="7F5771B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84" w:type="pct"/>
            <w:vMerge/>
            <w:tcBorders>
              <w:left w:val="single" w:sz="4" w:space="0" w:color="auto"/>
              <w:right w:val="single" w:sz="4" w:space="0" w:color="auto"/>
            </w:tcBorders>
            <w:vAlign w:val="center"/>
          </w:tcPr>
          <w:p w14:paraId="58B24395" w14:textId="77777777" w:rsidR="004719D2" w:rsidRPr="004A47DC" w:rsidRDefault="004719D2" w:rsidP="00CF7CEC">
            <w:pPr>
              <w:rPr>
                <w:rFonts w:ascii="Garamond" w:hAnsi="Garamond"/>
                <w:color w:val="000000" w:themeColor="text1"/>
                <w:sz w:val="16"/>
                <w:szCs w:val="16"/>
              </w:rPr>
            </w:pPr>
          </w:p>
        </w:tc>
      </w:tr>
      <w:tr w:rsidR="004719D2" w:rsidRPr="004A47DC" w14:paraId="5ECC87A3" w14:textId="77777777" w:rsidTr="006D20A2">
        <w:trPr>
          <w:trHeight w:val="20"/>
        </w:trPr>
        <w:tc>
          <w:tcPr>
            <w:tcW w:w="1282" w:type="pct"/>
            <w:vMerge/>
            <w:tcBorders>
              <w:left w:val="single" w:sz="4" w:space="0" w:color="auto"/>
              <w:bottom w:val="single" w:sz="4" w:space="0" w:color="auto"/>
              <w:right w:val="single" w:sz="4" w:space="0" w:color="auto"/>
            </w:tcBorders>
            <w:vAlign w:val="center"/>
          </w:tcPr>
          <w:p w14:paraId="6FC98516" w14:textId="77777777" w:rsidR="004719D2" w:rsidRPr="004A47DC" w:rsidRDefault="004719D2" w:rsidP="00CF7CEC">
            <w:pPr>
              <w:rPr>
                <w:rFonts w:ascii="Garamond" w:eastAsia="Times New Roman" w:hAnsi="Garamond"/>
                <w:b/>
                <w:bCs/>
                <w:color w:val="000000" w:themeColor="text1"/>
                <w:sz w:val="16"/>
                <w:szCs w:val="16"/>
              </w:rPr>
            </w:pPr>
          </w:p>
        </w:tc>
        <w:tc>
          <w:tcPr>
            <w:tcW w:w="1879" w:type="pct"/>
            <w:tcBorders>
              <w:top w:val="single" w:sz="4" w:space="0" w:color="auto"/>
              <w:left w:val="single" w:sz="4" w:space="0" w:color="auto"/>
              <w:bottom w:val="single" w:sz="4" w:space="0" w:color="auto"/>
              <w:right w:val="single" w:sz="4" w:space="0" w:color="auto"/>
            </w:tcBorders>
            <w:vAlign w:val="center"/>
          </w:tcPr>
          <w:p w14:paraId="21038B83" w14:textId="32CF2C13" w:rsidR="004719D2" w:rsidRPr="004A47DC" w:rsidRDefault="00DC05DF" w:rsidP="00DC05DF">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Përgatitja e një regjistri të konsoliduar të aseteve në institucionet qendrore, në nivel njësie kontrolluese.</w:t>
            </w:r>
          </w:p>
        </w:tc>
        <w:tc>
          <w:tcPr>
            <w:tcW w:w="383" w:type="pct"/>
            <w:tcBorders>
              <w:top w:val="single" w:sz="4" w:space="0" w:color="auto"/>
              <w:left w:val="single" w:sz="4" w:space="0" w:color="auto"/>
              <w:bottom w:val="single" w:sz="4" w:space="0" w:color="auto"/>
              <w:right w:val="single" w:sz="4" w:space="0" w:color="auto"/>
            </w:tcBorders>
            <w:vAlign w:val="center"/>
          </w:tcPr>
          <w:p w14:paraId="200BF76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tcBorders>
              <w:top w:val="single" w:sz="4" w:space="0" w:color="auto"/>
              <w:left w:val="single" w:sz="4" w:space="0" w:color="auto"/>
              <w:bottom w:val="single" w:sz="4" w:space="0" w:color="auto"/>
              <w:right w:val="single" w:sz="4" w:space="0" w:color="auto"/>
            </w:tcBorders>
            <w:vAlign w:val="center"/>
          </w:tcPr>
          <w:p w14:paraId="062024C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84" w:type="pct"/>
            <w:vMerge/>
            <w:tcBorders>
              <w:left w:val="single" w:sz="4" w:space="0" w:color="auto"/>
              <w:bottom w:val="single" w:sz="4" w:space="0" w:color="auto"/>
              <w:right w:val="single" w:sz="4" w:space="0" w:color="auto"/>
            </w:tcBorders>
            <w:vAlign w:val="center"/>
          </w:tcPr>
          <w:p w14:paraId="1A30D79E" w14:textId="77777777" w:rsidR="004719D2" w:rsidRPr="004A47DC" w:rsidRDefault="004719D2" w:rsidP="00CF7CEC">
            <w:pPr>
              <w:rPr>
                <w:rFonts w:ascii="Garamond" w:hAnsi="Garamond"/>
                <w:color w:val="000000" w:themeColor="text1"/>
                <w:sz w:val="16"/>
                <w:szCs w:val="16"/>
              </w:rPr>
            </w:pPr>
          </w:p>
        </w:tc>
      </w:tr>
    </w:tbl>
    <w:p w14:paraId="677C5DBE" w14:textId="77777777" w:rsidR="004719D2" w:rsidRPr="004A47DC" w:rsidRDefault="004719D2" w:rsidP="004719D2">
      <w:pPr>
        <w:rPr>
          <w:rFonts w:ascii="Garamond" w:hAnsi="Garamond"/>
          <w:color w:val="000000" w:themeColor="text1"/>
        </w:rPr>
      </w:pPr>
    </w:p>
    <w:p w14:paraId="29252096"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957"/>
        <w:gridCol w:w="924"/>
        <w:gridCol w:w="1044"/>
        <w:gridCol w:w="1046"/>
        <w:gridCol w:w="1044"/>
        <w:gridCol w:w="1046"/>
      </w:tblGrid>
      <w:tr w:rsidR="004719D2" w:rsidRPr="004A47DC" w14:paraId="698AF95E" w14:textId="77777777" w:rsidTr="006D20A2">
        <w:tc>
          <w:tcPr>
            <w:tcW w:w="218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5FD6D0"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Treguesi</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C0A581"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Vlera bazë (viti)</w:t>
            </w:r>
          </w:p>
        </w:tc>
        <w:tc>
          <w:tcPr>
            <w:tcW w:w="2306"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9A2BB1"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Vlera e synuar</w:t>
            </w:r>
          </w:p>
        </w:tc>
      </w:tr>
      <w:tr w:rsidR="004719D2" w:rsidRPr="004A47DC" w14:paraId="05E90837" w14:textId="77777777" w:rsidTr="006D20A2">
        <w:tc>
          <w:tcPr>
            <w:tcW w:w="2184" w:type="pct"/>
            <w:vMerge/>
            <w:tcBorders>
              <w:top w:val="single" w:sz="4" w:space="0" w:color="auto"/>
              <w:left w:val="single" w:sz="4" w:space="0" w:color="auto"/>
              <w:bottom w:val="single" w:sz="4" w:space="0" w:color="auto"/>
              <w:right w:val="single" w:sz="4" w:space="0" w:color="auto"/>
            </w:tcBorders>
            <w:vAlign w:val="center"/>
            <w:hideMark/>
          </w:tcPr>
          <w:p w14:paraId="138D83B6" w14:textId="77777777" w:rsidR="004719D2" w:rsidRPr="004A47DC" w:rsidRDefault="004719D2" w:rsidP="006D20A2">
            <w:pPr>
              <w:jc w:val="center"/>
              <w:rPr>
                <w:rFonts w:ascii="Garamond" w:hAnsi="Garamond"/>
                <w:b/>
                <w:bCs/>
                <w:color w:val="000000" w:themeColor="text1"/>
                <w:sz w:val="16"/>
                <w:szCs w:val="16"/>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37029A8F" w14:textId="77777777" w:rsidR="004719D2" w:rsidRPr="004A47DC" w:rsidRDefault="004719D2" w:rsidP="006D20A2">
            <w:pPr>
              <w:jc w:val="center"/>
              <w:rPr>
                <w:rFonts w:ascii="Garamond" w:hAnsi="Garamond"/>
                <w:b/>
                <w:bCs/>
                <w:color w:val="000000" w:themeColor="text1"/>
                <w:sz w:val="16"/>
                <w:szCs w:val="16"/>
              </w:rPr>
            </w:pPr>
          </w:p>
        </w:tc>
        <w:tc>
          <w:tcPr>
            <w:tcW w:w="5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F037B0"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2023</w:t>
            </w:r>
          </w:p>
        </w:tc>
        <w:tc>
          <w:tcPr>
            <w:tcW w:w="5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954FAE"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2024</w:t>
            </w:r>
          </w:p>
        </w:tc>
        <w:tc>
          <w:tcPr>
            <w:tcW w:w="5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1E79AF"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2025</w:t>
            </w:r>
          </w:p>
        </w:tc>
        <w:tc>
          <w:tcPr>
            <w:tcW w:w="5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2F269D" w14:textId="77777777" w:rsidR="004719D2" w:rsidRPr="004A47DC" w:rsidRDefault="004719D2" w:rsidP="006D20A2">
            <w:pPr>
              <w:pStyle w:val="EcorysBody"/>
              <w:spacing w:line="240" w:lineRule="auto"/>
              <w:jc w:val="center"/>
              <w:rPr>
                <w:rFonts w:ascii="Garamond" w:hAnsi="Garamond" w:cs="Arial"/>
                <w:b/>
                <w:bCs/>
                <w:color w:val="000000" w:themeColor="text1"/>
                <w:sz w:val="16"/>
                <w:szCs w:val="16"/>
              </w:rPr>
            </w:pPr>
            <w:r w:rsidRPr="004A47DC">
              <w:rPr>
                <w:rFonts w:ascii="Garamond" w:hAnsi="Garamond" w:cs="Arial"/>
                <w:b/>
                <w:bCs/>
                <w:color w:val="000000" w:themeColor="text1"/>
                <w:sz w:val="16"/>
                <w:szCs w:val="16"/>
              </w:rPr>
              <w:t>2026</w:t>
            </w:r>
          </w:p>
        </w:tc>
      </w:tr>
      <w:tr w:rsidR="004719D2" w:rsidRPr="004A47DC" w14:paraId="4FEF9975" w14:textId="77777777" w:rsidTr="006D20A2">
        <w:tc>
          <w:tcPr>
            <w:tcW w:w="2184" w:type="pct"/>
            <w:tcBorders>
              <w:top w:val="single" w:sz="4" w:space="0" w:color="auto"/>
              <w:left w:val="single" w:sz="4" w:space="0" w:color="auto"/>
              <w:bottom w:val="single" w:sz="4" w:space="0" w:color="auto"/>
              <w:right w:val="single" w:sz="4" w:space="0" w:color="auto"/>
            </w:tcBorders>
            <w:hideMark/>
          </w:tcPr>
          <w:p w14:paraId="57ECDBC7" w14:textId="46285764" w:rsidR="004719D2" w:rsidRPr="004A47DC" w:rsidRDefault="00DC05DF" w:rsidP="00DC05DF">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Krijimi i kuadrit të duhur rregullator për vlerësimin dhe inventarizimin e aseteve publike.</w:t>
            </w:r>
          </w:p>
        </w:tc>
        <w:tc>
          <w:tcPr>
            <w:tcW w:w="510" w:type="pct"/>
            <w:tcBorders>
              <w:top w:val="single" w:sz="4" w:space="0" w:color="auto"/>
              <w:left w:val="single" w:sz="4" w:space="0" w:color="auto"/>
              <w:bottom w:val="single" w:sz="4" w:space="0" w:color="auto"/>
              <w:right w:val="single" w:sz="4" w:space="0" w:color="auto"/>
            </w:tcBorders>
            <w:vAlign w:val="center"/>
          </w:tcPr>
          <w:p w14:paraId="34B84B2B"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w:t>
            </w:r>
          </w:p>
        </w:tc>
        <w:tc>
          <w:tcPr>
            <w:tcW w:w="576" w:type="pct"/>
            <w:tcBorders>
              <w:top w:val="single" w:sz="4" w:space="0" w:color="auto"/>
              <w:left w:val="single" w:sz="4" w:space="0" w:color="auto"/>
              <w:bottom w:val="single" w:sz="4" w:space="0" w:color="auto"/>
              <w:right w:val="single" w:sz="4" w:space="0" w:color="auto"/>
            </w:tcBorders>
            <w:vAlign w:val="center"/>
          </w:tcPr>
          <w:p w14:paraId="1D287D5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Koncept dokumenti i përgatitur</w:t>
            </w:r>
          </w:p>
        </w:tc>
        <w:tc>
          <w:tcPr>
            <w:tcW w:w="577" w:type="pct"/>
            <w:tcBorders>
              <w:top w:val="single" w:sz="4" w:space="0" w:color="auto"/>
              <w:left w:val="single" w:sz="4" w:space="0" w:color="auto"/>
              <w:bottom w:val="single" w:sz="4" w:space="0" w:color="auto"/>
              <w:right w:val="single" w:sz="4" w:space="0" w:color="auto"/>
            </w:tcBorders>
            <w:vAlign w:val="center"/>
          </w:tcPr>
          <w:p w14:paraId="355D992C"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Kuadri rregullator i hartuar</w:t>
            </w:r>
          </w:p>
        </w:tc>
        <w:tc>
          <w:tcPr>
            <w:tcW w:w="576" w:type="pct"/>
            <w:tcBorders>
              <w:top w:val="single" w:sz="4" w:space="0" w:color="auto"/>
              <w:left w:val="single" w:sz="4" w:space="0" w:color="auto"/>
              <w:bottom w:val="single" w:sz="4" w:space="0" w:color="auto"/>
              <w:right w:val="single" w:sz="4" w:space="0" w:color="auto"/>
            </w:tcBorders>
            <w:vAlign w:val="center"/>
          </w:tcPr>
          <w:p w14:paraId="62C9FEA8"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Kuadri rregullator i miratuar</w:t>
            </w:r>
          </w:p>
        </w:tc>
        <w:tc>
          <w:tcPr>
            <w:tcW w:w="577" w:type="pct"/>
            <w:tcBorders>
              <w:top w:val="single" w:sz="4" w:space="0" w:color="auto"/>
              <w:left w:val="single" w:sz="4" w:space="0" w:color="auto"/>
              <w:bottom w:val="single" w:sz="4" w:space="0" w:color="auto"/>
              <w:right w:val="single" w:sz="4" w:space="0" w:color="auto"/>
            </w:tcBorders>
            <w:vAlign w:val="center"/>
          </w:tcPr>
          <w:p w14:paraId="7A3B4C6B"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w:t>
            </w:r>
          </w:p>
        </w:tc>
      </w:tr>
      <w:tr w:rsidR="004719D2" w:rsidRPr="004A47DC" w14:paraId="7E8BE1E1" w14:textId="77777777" w:rsidTr="006D20A2">
        <w:tc>
          <w:tcPr>
            <w:tcW w:w="2184" w:type="pct"/>
            <w:tcBorders>
              <w:top w:val="single" w:sz="4" w:space="0" w:color="auto"/>
              <w:left w:val="single" w:sz="4" w:space="0" w:color="auto"/>
              <w:bottom w:val="single" w:sz="4" w:space="0" w:color="auto"/>
              <w:right w:val="single" w:sz="4" w:space="0" w:color="auto"/>
            </w:tcBorders>
            <w:hideMark/>
          </w:tcPr>
          <w:p w14:paraId="35DF0F9F" w14:textId="6AF4645C" w:rsidR="004719D2" w:rsidRPr="004A47DC" w:rsidRDefault="00DC05DF" w:rsidP="00DC05DF">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Përgatitja e një regjistri të konsoliduar të aseteve në institucionet qendrore, në nivel njësie kontrolluese.</w:t>
            </w:r>
          </w:p>
        </w:tc>
        <w:tc>
          <w:tcPr>
            <w:tcW w:w="510" w:type="pct"/>
            <w:tcBorders>
              <w:top w:val="single" w:sz="4" w:space="0" w:color="auto"/>
              <w:left w:val="single" w:sz="4" w:space="0" w:color="auto"/>
              <w:bottom w:val="single" w:sz="4" w:space="0" w:color="auto"/>
              <w:right w:val="single" w:sz="4" w:space="0" w:color="auto"/>
            </w:tcBorders>
            <w:vAlign w:val="center"/>
          </w:tcPr>
          <w:p w14:paraId="496712B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w:t>
            </w:r>
          </w:p>
        </w:tc>
        <w:tc>
          <w:tcPr>
            <w:tcW w:w="576" w:type="pct"/>
            <w:tcBorders>
              <w:top w:val="single" w:sz="4" w:space="0" w:color="auto"/>
              <w:left w:val="single" w:sz="4" w:space="0" w:color="auto"/>
              <w:bottom w:val="single" w:sz="4" w:space="0" w:color="auto"/>
              <w:right w:val="single" w:sz="4" w:space="0" w:color="auto"/>
            </w:tcBorders>
            <w:vAlign w:val="center"/>
          </w:tcPr>
          <w:p w14:paraId="1246BD8C"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Koncept dokumenti i përgatitur</w:t>
            </w:r>
          </w:p>
        </w:tc>
        <w:tc>
          <w:tcPr>
            <w:tcW w:w="577" w:type="pct"/>
            <w:tcBorders>
              <w:top w:val="single" w:sz="4" w:space="0" w:color="auto"/>
              <w:left w:val="single" w:sz="4" w:space="0" w:color="auto"/>
              <w:bottom w:val="single" w:sz="4" w:space="0" w:color="auto"/>
              <w:right w:val="single" w:sz="4" w:space="0" w:color="auto"/>
            </w:tcBorders>
            <w:vAlign w:val="center"/>
          </w:tcPr>
          <w:p w14:paraId="3EE25204"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Hartuar</w:t>
            </w:r>
          </w:p>
        </w:tc>
        <w:tc>
          <w:tcPr>
            <w:tcW w:w="576" w:type="pct"/>
            <w:tcBorders>
              <w:top w:val="single" w:sz="4" w:space="0" w:color="auto"/>
              <w:left w:val="single" w:sz="4" w:space="0" w:color="auto"/>
              <w:bottom w:val="single" w:sz="4" w:space="0" w:color="auto"/>
              <w:right w:val="single" w:sz="4" w:space="0" w:color="auto"/>
            </w:tcBorders>
            <w:vAlign w:val="center"/>
          </w:tcPr>
          <w:p w14:paraId="0B71391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Hartuar</w:t>
            </w:r>
          </w:p>
        </w:tc>
        <w:tc>
          <w:tcPr>
            <w:tcW w:w="577" w:type="pct"/>
            <w:tcBorders>
              <w:top w:val="single" w:sz="4" w:space="0" w:color="auto"/>
              <w:left w:val="single" w:sz="4" w:space="0" w:color="auto"/>
              <w:bottom w:val="single" w:sz="4" w:space="0" w:color="auto"/>
              <w:right w:val="single" w:sz="4" w:space="0" w:color="auto"/>
            </w:tcBorders>
            <w:vAlign w:val="center"/>
          </w:tcPr>
          <w:p w14:paraId="11A83F2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Miratuar</w:t>
            </w:r>
          </w:p>
        </w:tc>
      </w:tr>
    </w:tbl>
    <w:p w14:paraId="57657AB5" w14:textId="77777777" w:rsidR="004719D2" w:rsidRPr="004A47DC" w:rsidRDefault="004719D2" w:rsidP="008276F3">
      <w:pPr>
        <w:jc w:val="both"/>
        <w:rPr>
          <w:rFonts w:ascii="Garamond" w:hAnsi="Garamond"/>
        </w:rPr>
      </w:pPr>
    </w:p>
    <w:bookmarkEnd w:id="37"/>
    <w:p w14:paraId="7BD024AD" w14:textId="732195D0" w:rsidR="004719D2" w:rsidRPr="004A47DC" w:rsidRDefault="008276F3" w:rsidP="008276F3">
      <w:pPr>
        <w:pStyle w:val="TEKSTIII"/>
        <w:rPr>
          <w:b/>
        </w:rPr>
      </w:pPr>
      <w:r w:rsidRPr="004A47DC">
        <w:rPr>
          <w:b/>
        </w:rPr>
        <w:t xml:space="preserve">6. </w:t>
      </w:r>
      <w:bookmarkStart w:id="38" w:name="_Toc168918696"/>
      <w:r w:rsidR="004719D2" w:rsidRPr="004A47DC">
        <w:rPr>
          <w:b/>
        </w:rPr>
        <w:t xml:space="preserve">Shtylla 5: Kontrolli i </w:t>
      </w:r>
      <w:r w:rsidR="00610D03" w:rsidRPr="004A47DC">
        <w:rPr>
          <w:b/>
        </w:rPr>
        <w:t>Brendshëm Financiar Publik</w:t>
      </w:r>
      <w:bookmarkEnd w:id="38"/>
    </w:p>
    <w:p w14:paraId="793C45AD" w14:textId="14575EC2" w:rsidR="004719D2" w:rsidRPr="004A47DC" w:rsidRDefault="008276F3" w:rsidP="008276F3">
      <w:pPr>
        <w:pStyle w:val="TEKSTIII"/>
        <w:rPr>
          <w:b/>
        </w:rPr>
      </w:pPr>
      <w:bookmarkStart w:id="39" w:name="_Toc168918697"/>
      <w:r w:rsidRPr="004A47DC">
        <w:rPr>
          <w:b/>
        </w:rPr>
        <w:t xml:space="preserve">6.1 </w:t>
      </w:r>
      <w:r w:rsidR="004719D2" w:rsidRPr="004A47DC">
        <w:rPr>
          <w:b/>
        </w:rPr>
        <w:t>Hyrje</w:t>
      </w:r>
      <w:bookmarkEnd w:id="39"/>
    </w:p>
    <w:p w14:paraId="78676FF4" w14:textId="2DC6DBED" w:rsidR="004719D2" w:rsidRPr="00424F1D" w:rsidRDefault="004719D2" w:rsidP="00424F1D">
      <w:pPr>
        <w:pStyle w:val="TEKSTIII"/>
      </w:pPr>
      <w:r w:rsidRPr="004A47DC">
        <w:t xml:space="preserve">Objektivi specifik i </w:t>
      </w:r>
      <w:r w:rsidR="00424F1D">
        <w:t>s</w:t>
      </w:r>
      <w:r w:rsidRPr="004A47DC">
        <w:t xml:space="preserve">htyllës 5 është </w:t>
      </w:r>
      <w:r w:rsidR="00E33A13" w:rsidRPr="004A47DC">
        <w:t>“</w:t>
      </w:r>
      <w:r w:rsidRPr="004A47DC">
        <w:t>Sistemi i Kontrollit të Brendshëm Financiar Publik profesionalizohet më tej në të gjitha institucionet buxhetore</w:t>
      </w:r>
      <w:r w:rsidR="00424F1D">
        <w:t>,</w:t>
      </w:r>
      <w:r w:rsidRPr="004A47DC">
        <w:t xml:space="preserve"> në përputhje me kërkesat e integrimit në BE</w:t>
      </w:r>
      <w:r w:rsidR="00E33A13" w:rsidRPr="004A47DC">
        <w:t>”</w:t>
      </w:r>
      <w:r w:rsidRPr="004A47DC">
        <w:t xml:space="preserve"> dhe mbulon </w:t>
      </w:r>
      <w:r w:rsidR="00424F1D" w:rsidRPr="004A47DC">
        <w:t>menaxhimin financiar dhe kontrollin, auditimin e brendshëm, inspektimin financiar publik dhe shërbimet e koordinimit kundër mashtrimit</w:t>
      </w:r>
      <w:r w:rsidRPr="004A47DC">
        <w:t>, dhe menaxhimin e fondeve të BE-së.</w:t>
      </w:r>
    </w:p>
    <w:p w14:paraId="46D6F63D" w14:textId="6DD81BF3" w:rsidR="0069135E" w:rsidRPr="004A47DC" w:rsidRDefault="0069135E" w:rsidP="0069135E">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5.1</w:t>
      </w:r>
      <w:r w:rsidR="00424F1D">
        <w:rPr>
          <w:rFonts w:ascii="Garamond" w:hAnsi="Garamond" w:cs="Garamond"/>
          <w:b/>
          <w:bCs/>
          <w:lang w:eastAsia="sq-AL"/>
        </w:rPr>
        <w:t>:</w:t>
      </w:r>
      <w:r w:rsidRPr="004A47DC">
        <w:rPr>
          <w:rFonts w:ascii="Garamond" w:hAnsi="Garamond" w:cs="Garamond"/>
          <w:b/>
          <w:bCs/>
          <w:lang w:eastAsia="sq-AL"/>
        </w:rPr>
        <w:t xml:space="preserve"> Menaxhimi </w:t>
      </w:r>
      <w:r w:rsidR="005A2A99" w:rsidRPr="004A47DC">
        <w:rPr>
          <w:rFonts w:ascii="Garamond" w:hAnsi="Garamond" w:cs="Garamond"/>
          <w:b/>
          <w:bCs/>
          <w:lang w:eastAsia="sq-AL"/>
        </w:rPr>
        <w:t>financiar dhe kontrolli</w:t>
      </w:r>
    </w:p>
    <w:p w14:paraId="103A93A9" w14:textId="303239B0"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Sisteme të fuqishme të MFK-së funksionale në të gjitha </w:t>
      </w:r>
      <w:r w:rsidR="00424F1D" w:rsidRPr="004A47DC">
        <w:rPr>
          <w:rFonts w:ascii="Garamond" w:hAnsi="Garamond" w:cs="Garamond"/>
          <w:lang w:eastAsia="sq-AL"/>
        </w:rPr>
        <w:t>institucionet publike</w:t>
      </w:r>
      <w:r w:rsidR="00424F1D">
        <w:rPr>
          <w:rFonts w:ascii="Garamond" w:hAnsi="Garamond" w:cs="Garamond"/>
          <w:lang w:eastAsia="sq-AL"/>
        </w:rPr>
        <w:t>,</w:t>
      </w:r>
      <w:r w:rsidR="00424F1D" w:rsidRPr="004A47DC">
        <w:rPr>
          <w:rFonts w:ascii="Garamond" w:hAnsi="Garamond" w:cs="Garamond"/>
          <w:lang w:eastAsia="sq-AL"/>
        </w:rPr>
        <w:t xml:space="preserve"> </w:t>
      </w:r>
      <w:r w:rsidRPr="004A47DC">
        <w:rPr>
          <w:rFonts w:ascii="Garamond" w:hAnsi="Garamond" w:cs="Garamond"/>
          <w:lang w:eastAsia="sq-AL"/>
        </w:rPr>
        <w:t>në përputhje me legjislacionin kombëtar dhe praktikat e mira ndërkombëtare/BE.</w:t>
      </w:r>
    </w:p>
    <w:p w14:paraId="47D6C521" w14:textId="0D8DE796"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0835B2EA" w14:textId="11DBD42E"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color w:val="000000"/>
          <w:lang w:eastAsia="sq-AL"/>
        </w:rPr>
        <w:t>Masa 5.1.1 Përmirësimi i kuadrit ligjor dhe rregullator për MFK-në;</w:t>
      </w:r>
    </w:p>
    <w:p w14:paraId="7677E47A" w14:textId="3967A7E0"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color w:val="000000"/>
          <w:lang w:eastAsia="sq-AL"/>
        </w:rPr>
        <w:t>Masa 5.1.2 Përmirësimi i llogaridhënies menaxheriale në institucionet publike;</w:t>
      </w:r>
    </w:p>
    <w:p w14:paraId="3A6277EE" w14:textId="55C55F73"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color w:val="000000"/>
          <w:lang w:eastAsia="sq-AL"/>
        </w:rPr>
        <w:t xml:space="preserve">Masa 5.1.3 Forcimi i praktikave të </w:t>
      </w:r>
      <w:r w:rsidR="00424F1D" w:rsidRPr="004A47DC">
        <w:rPr>
          <w:rFonts w:ascii="Garamond" w:hAnsi="Garamond" w:cs="Garamond"/>
          <w:color w:val="000000"/>
          <w:lang w:eastAsia="sq-AL"/>
        </w:rPr>
        <w:t>menaxhimit të riskut</w:t>
      </w:r>
      <w:r w:rsidRPr="004A47DC">
        <w:rPr>
          <w:rFonts w:ascii="Garamond" w:hAnsi="Garamond" w:cs="Garamond"/>
          <w:color w:val="000000"/>
          <w:lang w:eastAsia="sq-AL"/>
        </w:rPr>
        <w:t>;</w:t>
      </w:r>
    </w:p>
    <w:p w14:paraId="0357E92E" w14:textId="11362582"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5.1.4 Përmirësimi i vlerësimit dhe përmirësimit të cilësisë së MFK-së në institucionet publike.</w:t>
      </w:r>
    </w:p>
    <w:p w14:paraId="38B321C4" w14:textId="3A1579C0" w:rsidR="0069135E" w:rsidRPr="004A47DC" w:rsidRDefault="0069135E" w:rsidP="0069135E">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5.2</w:t>
      </w:r>
      <w:r w:rsidR="00424F1D">
        <w:rPr>
          <w:rFonts w:ascii="Garamond" w:hAnsi="Garamond" w:cs="Garamond"/>
          <w:b/>
          <w:bCs/>
          <w:lang w:eastAsia="sq-AL"/>
        </w:rPr>
        <w:t>:</w:t>
      </w:r>
      <w:r w:rsidRPr="004A47DC">
        <w:rPr>
          <w:rFonts w:ascii="Garamond" w:hAnsi="Garamond" w:cs="Garamond"/>
          <w:b/>
          <w:bCs/>
          <w:lang w:eastAsia="sq-AL"/>
        </w:rPr>
        <w:t xml:space="preserve"> Auditimi i </w:t>
      </w:r>
      <w:r w:rsidR="00500AEA">
        <w:rPr>
          <w:rFonts w:ascii="Garamond" w:hAnsi="Garamond" w:cs="Garamond"/>
          <w:b/>
          <w:bCs/>
          <w:lang w:eastAsia="sq-AL"/>
        </w:rPr>
        <w:t>b</w:t>
      </w:r>
      <w:r w:rsidRPr="004A47DC">
        <w:rPr>
          <w:rFonts w:ascii="Garamond" w:hAnsi="Garamond" w:cs="Garamond"/>
          <w:b/>
          <w:bCs/>
          <w:lang w:eastAsia="sq-AL"/>
        </w:rPr>
        <w:t>rendshëm</w:t>
      </w:r>
    </w:p>
    <w:p w14:paraId="60BDC2F5" w14:textId="77777777"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Auditimi i brendshëm me vlerë të shtuar në të gjitha institucionet publike në përputhje me standardet ndërkombëtare.</w:t>
      </w:r>
    </w:p>
    <w:p w14:paraId="1D61FDC3" w14:textId="74211DB7"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234A0C32" w14:textId="3D71FEDF"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color w:val="000000"/>
          <w:lang w:eastAsia="sq-AL"/>
        </w:rPr>
        <w:t>Masa 5.2.1 Vazhdimi i mbikëqyrjes dhe zgjerimi i shërbimeve mbështetëse për institucionet publike dhe ekipet e auditimit të brendshëm;</w:t>
      </w:r>
    </w:p>
    <w:p w14:paraId="45059B25" w14:textId="77777777"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5.2.2 Profesionalizimi i praktikave thelbësore të auditimit të brendshëm përmes zhvillimit të udhëzimeve dhe ofrimit të aktiviteteve për ngritjen e kapaciteteve.</w:t>
      </w:r>
    </w:p>
    <w:p w14:paraId="27F5A4AC" w14:textId="40096543" w:rsidR="0069135E" w:rsidRPr="004A47DC" w:rsidRDefault="0069135E" w:rsidP="0069135E">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5.3</w:t>
      </w:r>
      <w:r w:rsidR="005A2A99">
        <w:rPr>
          <w:rFonts w:ascii="Garamond" w:hAnsi="Garamond" w:cs="Garamond"/>
          <w:b/>
          <w:bCs/>
          <w:lang w:eastAsia="sq-AL"/>
        </w:rPr>
        <w:t>:</w:t>
      </w:r>
      <w:r w:rsidRPr="004A47DC">
        <w:rPr>
          <w:rFonts w:ascii="Garamond" w:hAnsi="Garamond" w:cs="Garamond"/>
          <w:b/>
          <w:bCs/>
          <w:lang w:eastAsia="sq-AL"/>
        </w:rPr>
        <w:t xml:space="preserve"> Inspektimi </w:t>
      </w:r>
      <w:r w:rsidR="00500AEA" w:rsidRPr="004A47DC">
        <w:rPr>
          <w:rFonts w:ascii="Garamond" w:hAnsi="Garamond" w:cs="Garamond"/>
          <w:b/>
          <w:bCs/>
          <w:lang w:eastAsia="sq-AL"/>
        </w:rPr>
        <w:t>financiar publik dhe shërbimet e koordinimit kundër mashtrimit</w:t>
      </w:r>
    </w:p>
    <w:p w14:paraId="03849A73" w14:textId="4A83464D"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Inspektimi </w:t>
      </w:r>
      <w:r w:rsidR="00500AEA" w:rsidRPr="004A47DC">
        <w:rPr>
          <w:rFonts w:ascii="Garamond" w:hAnsi="Garamond" w:cs="Garamond"/>
          <w:lang w:eastAsia="sq-AL"/>
        </w:rPr>
        <w:t xml:space="preserve">financiar publik </w:t>
      </w:r>
      <w:r w:rsidRPr="004A47DC">
        <w:rPr>
          <w:rFonts w:ascii="Garamond" w:hAnsi="Garamond" w:cs="Garamond"/>
          <w:lang w:eastAsia="sq-AL"/>
        </w:rPr>
        <w:t>që trajton në mënyrë efektive të gjitha rastet e raportuara të parregullsive, mashtrimit dhe korrupsionit</w:t>
      </w:r>
      <w:r w:rsidR="00500AEA">
        <w:rPr>
          <w:rFonts w:ascii="Garamond" w:hAnsi="Garamond" w:cs="Garamond"/>
          <w:lang w:eastAsia="sq-AL"/>
        </w:rPr>
        <w:t>,</w:t>
      </w:r>
      <w:r w:rsidRPr="004A47DC">
        <w:rPr>
          <w:rFonts w:ascii="Garamond" w:hAnsi="Garamond" w:cs="Garamond"/>
          <w:lang w:eastAsia="sq-AL"/>
        </w:rPr>
        <w:t xml:space="preserve"> dhe strategjia kombëtare kundër mashtrimit e zbatuar për të mbrojtur interesat financiare të BE-së.</w:t>
      </w:r>
    </w:p>
    <w:p w14:paraId="468BE297" w14:textId="385B02D5"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77C32F50" w14:textId="5F34A2C0" w:rsidR="0069135E" w:rsidRPr="004A47DC" w:rsidRDefault="0069135E" w:rsidP="0069135E">
      <w:pPr>
        <w:tabs>
          <w:tab w:val="left" w:pos="9071"/>
        </w:tabs>
        <w:autoSpaceDE w:val="0"/>
        <w:autoSpaceDN w:val="0"/>
        <w:adjustRightInd w:val="0"/>
        <w:ind w:firstLine="284"/>
        <w:jc w:val="both"/>
        <w:rPr>
          <w:rFonts w:ascii="Symbol" w:hAnsi="Symbol" w:cs="Symbol"/>
          <w:color w:val="0070C0"/>
          <w:sz w:val="16"/>
          <w:szCs w:val="16"/>
          <w:lang w:eastAsia="sq-AL"/>
        </w:rPr>
      </w:pPr>
      <w:r w:rsidRPr="004A47DC">
        <w:rPr>
          <w:rFonts w:ascii="Garamond" w:hAnsi="Garamond" w:cs="Garamond"/>
          <w:color w:val="000000"/>
          <w:lang w:eastAsia="sq-AL"/>
        </w:rPr>
        <w:t>Masa 5.3.1 Rritja e bashkëpunimit me Auditimin e Brendshëm dhe KLSH</w:t>
      </w:r>
      <w:r w:rsidR="00500AEA">
        <w:rPr>
          <w:rFonts w:ascii="Garamond" w:hAnsi="Garamond" w:cs="Garamond"/>
          <w:color w:val="000000"/>
          <w:lang w:eastAsia="sq-AL"/>
        </w:rPr>
        <w:t>-në</w:t>
      </w:r>
      <w:r w:rsidRPr="004A47DC">
        <w:rPr>
          <w:rFonts w:ascii="Garamond" w:hAnsi="Garamond" w:cs="Garamond"/>
          <w:color w:val="000000"/>
          <w:lang w:eastAsia="sq-AL"/>
        </w:rPr>
        <w:t>;</w:t>
      </w:r>
    </w:p>
    <w:p w14:paraId="5B3E975D" w14:textId="3F82F1A8"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Symbol" w:hAnsi="Symbol" w:cs="Symbol"/>
          <w:color w:val="0070C0"/>
          <w:sz w:val="16"/>
          <w:szCs w:val="16"/>
          <w:lang w:eastAsia="sq-AL"/>
        </w:rPr>
        <w:t></w:t>
      </w:r>
      <w:r w:rsidRPr="004A47DC">
        <w:rPr>
          <w:rFonts w:ascii="Garamond" w:hAnsi="Garamond" w:cs="Garamond"/>
          <w:color w:val="000000"/>
          <w:lang w:eastAsia="sq-AL"/>
        </w:rPr>
        <w:t>Masa 5.3.2</w:t>
      </w:r>
      <w:r w:rsidR="006D20A2" w:rsidRPr="004A47DC">
        <w:rPr>
          <w:rFonts w:ascii="Garamond" w:hAnsi="Garamond" w:cs="Garamond"/>
          <w:color w:val="000000"/>
          <w:lang w:eastAsia="sq-AL"/>
        </w:rPr>
        <w:t>:</w:t>
      </w:r>
      <w:r w:rsidRPr="004A47DC">
        <w:rPr>
          <w:rFonts w:ascii="Garamond" w:hAnsi="Garamond" w:cs="Garamond"/>
          <w:color w:val="000000"/>
          <w:lang w:eastAsia="sq-AL"/>
        </w:rPr>
        <w:t xml:space="preserve"> Koordinimi i hartimit dhe monitorimit të Strategjisë Kombëtare Kundër Mashtrimit për mbrojtjen e interesave financiare të BE-së.</w:t>
      </w:r>
    </w:p>
    <w:p w14:paraId="71C82F1C" w14:textId="16B53044" w:rsidR="0069135E" w:rsidRPr="004A47DC" w:rsidRDefault="0069135E" w:rsidP="0069135E">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Komponenti 5.4</w:t>
      </w:r>
      <w:r w:rsidR="005A2A99">
        <w:rPr>
          <w:rFonts w:ascii="Garamond" w:hAnsi="Garamond" w:cs="Garamond"/>
          <w:b/>
          <w:bCs/>
          <w:lang w:eastAsia="sq-AL"/>
        </w:rPr>
        <w:t>:</w:t>
      </w:r>
      <w:r w:rsidRPr="004A47DC">
        <w:rPr>
          <w:rFonts w:ascii="Garamond" w:hAnsi="Garamond" w:cs="Garamond"/>
          <w:b/>
          <w:bCs/>
          <w:lang w:eastAsia="sq-AL"/>
        </w:rPr>
        <w:t xml:space="preserve"> Menaxhimi i </w:t>
      </w:r>
      <w:r w:rsidR="00500AEA">
        <w:rPr>
          <w:rFonts w:ascii="Garamond" w:hAnsi="Garamond" w:cs="Garamond"/>
          <w:b/>
          <w:bCs/>
          <w:lang w:eastAsia="sq-AL"/>
        </w:rPr>
        <w:t>f</w:t>
      </w:r>
      <w:r w:rsidRPr="004A47DC">
        <w:rPr>
          <w:rFonts w:ascii="Garamond" w:hAnsi="Garamond" w:cs="Garamond"/>
          <w:b/>
          <w:bCs/>
          <w:lang w:eastAsia="sq-AL"/>
        </w:rPr>
        <w:t>ondeve të BE-së</w:t>
      </w:r>
    </w:p>
    <w:p w14:paraId="3066DD08" w14:textId="0DE05F29"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Sisteme të përshtatshme të MFP</w:t>
      </w:r>
      <w:r w:rsidR="00500AEA">
        <w:rPr>
          <w:rFonts w:ascii="Garamond" w:hAnsi="Garamond" w:cs="Garamond"/>
          <w:lang w:eastAsia="sq-AL"/>
        </w:rPr>
        <w:t>-së,</w:t>
      </w:r>
      <w:r w:rsidRPr="004A47DC">
        <w:rPr>
          <w:rFonts w:ascii="Garamond" w:hAnsi="Garamond" w:cs="Garamond"/>
          <w:lang w:eastAsia="sq-AL"/>
        </w:rPr>
        <w:t xml:space="preserve"> në përputhje me kërkesat e BE-së për menaxhim të shëndoshë financiar, në mënyrë që të përthithen në mënyrë efektive fondet e BE-së.</w:t>
      </w:r>
    </w:p>
    <w:p w14:paraId="5ADB67D7" w14:textId="0D4EBB7A" w:rsidR="0069135E" w:rsidRPr="004A47DC" w:rsidRDefault="0069135E" w:rsidP="0069135E">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p>
    <w:p w14:paraId="584AC038" w14:textId="73AF68DB"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5.4.1 Krijimi i kuadrit ligjor IPA III;</w:t>
      </w:r>
    </w:p>
    <w:p w14:paraId="5D0290A4" w14:textId="2B5685E8"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5.4.2 Zhvillimi dhe zbatimi i rregulloreve, procedurave për menaxhimin e IPA III dhe rritja e kapaciteteve të strukturave të IPA III;</w:t>
      </w:r>
    </w:p>
    <w:p w14:paraId="60EBC6E7" w14:textId="2CF760B2"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5.4.3 Përmirësimi i procedurave të rregullimit financiar dhe/ose rikuperimit për fondet e BE-së</w:t>
      </w:r>
      <w:r w:rsidR="00500AEA">
        <w:rPr>
          <w:rFonts w:ascii="Garamond" w:hAnsi="Garamond" w:cs="Garamond"/>
          <w:color w:val="000000"/>
          <w:lang w:eastAsia="sq-AL"/>
        </w:rPr>
        <w:t>,</w:t>
      </w:r>
      <w:r w:rsidRPr="004A47DC">
        <w:rPr>
          <w:rFonts w:ascii="Garamond" w:hAnsi="Garamond" w:cs="Garamond"/>
          <w:color w:val="000000"/>
          <w:lang w:eastAsia="sq-AL"/>
        </w:rPr>
        <w:t xml:space="preserve"> në përputhje me kërkesat ligjore kombëtare dhe IPA III</w:t>
      </w:r>
      <w:r w:rsidR="006D20A2" w:rsidRPr="004A47DC">
        <w:rPr>
          <w:rFonts w:ascii="Garamond" w:hAnsi="Garamond" w:cs="Garamond"/>
          <w:color w:val="000000"/>
          <w:lang w:eastAsia="sq-AL"/>
        </w:rPr>
        <w:t>;</w:t>
      </w:r>
    </w:p>
    <w:p w14:paraId="6FDC616A" w14:textId="32D7192C" w:rsidR="0069135E" w:rsidRPr="004A47DC" w:rsidRDefault="0069135E" w:rsidP="0069135E">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 xml:space="preserve">Masa 5.4.4 Marrja parasysh e kërkesave të ardhshme për menaxhimin e fondeve të BE-së pas anëtarësimit dhe zhvillimi i një plani, në kuadër të </w:t>
      </w:r>
      <w:r w:rsidR="00500AEA">
        <w:rPr>
          <w:rFonts w:ascii="Garamond" w:hAnsi="Garamond" w:cs="Garamond"/>
          <w:color w:val="000000"/>
          <w:lang w:eastAsia="sq-AL"/>
        </w:rPr>
        <w:t>k</w:t>
      </w:r>
      <w:r w:rsidRPr="004A47DC">
        <w:rPr>
          <w:rFonts w:ascii="Garamond" w:hAnsi="Garamond" w:cs="Garamond"/>
          <w:color w:val="000000"/>
          <w:lang w:eastAsia="sq-AL"/>
        </w:rPr>
        <w:t>apitullit 22, i cili do të përcaktojë nevojat për përmirësimin e kuadrit ligjor të menaxhimit të fondeve</w:t>
      </w:r>
      <w:r w:rsidR="006D20A2" w:rsidRPr="004A47DC">
        <w:rPr>
          <w:rFonts w:ascii="Garamond" w:hAnsi="Garamond" w:cs="Garamond"/>
          <w:color w:val="000000"/>
          <w:lang w:eastAsia="sq-AL"/>
        </w:rPr>
        <w:t>;</w:t>
      </w:r>
    </w:p>
    <w:p w14:paraId="7B2EBEA2" w14:textId="30FE797C" w:rsidR="0069135E" w:rsidRPr="00500AEA" w:rsidRDefault="0069135E" w:rsidP="00500AEA">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color w:val="000000"/>
          <w:lang w:eastAsia="sq-AL"/>
        </w:rPr>
        <w:t>Masa 5.4.5 Zhvillimi i opsioneve të thjeshtuara të kostos (SCO).</w:t>
      </w:r>
    </w:p>
    <w:p w14:paraId="1420E5FA" w14:textId="369D1EC0" w:rsidR="004719D2" w:rsidRPr="004A47DC" w:rsidRDefault="008276F3" w:rsidP="008276F3">
      <w:pPr>
        <w:pStyle w:val="TEKSTIII"/>
        <w:rPr>
          <w:b/>
        </w:rPr>
      </w:pPr>
      <w:bookmarkStart w:id="40" w:name="_Toc168918698"/>
      <w:r w:rsidRPr="004A47DC">
        <w:rPr>
          <w:b/>
        </w:rPr>
        <w:t xml:space="preserve">6.2 </w:t>
      </w:r>
      <w:r w:rsidR="004719D2" w:rsidRPr="004A47DC">
        <w:rPr>
          <w:b/>
        </w:rPr>
        <w:t>Komponenti 5.1</w:t>
      </w:r>
      <w:r w:rsidR="006D20A2" w:rsidRPr="004A47DC">
        <w:rPr>
          <w:b/>
        </w:rPr>
        <w:t>:</w:t>
      </w:r>
      <w:r w:rsidR="004719D2" w:rsidRPr="004A47DC">
        <w:rPr>
          <w:b/>
        </w:rPr>
        <w:t xml:space="preserve"> Menaxhimi </w:t>
      </w:r>
      <w:r w:rsidR="006D20A2" w:rsidRPr="004A47DC">
        <w:rPr>
          <w:b/>
        </w:rPr>
        <w:t>financiar dhe kontrolli</w:t>
      </w:r>
      <w:bookmarkEnd w:id="40"/>
    </w:p>
    <w:p w14:paraId="61A016B3" w14:textId="77777777" w:rsidR="004719D2" w:rsidRPr="004A47DC" w:rsidRDefault="004719D2" w:rsidP="008276F3">
      <w:pPr>
        <w:pStyle w:val="TEKSTIII"/>
        <w:rPr>
          <w:b/>
        </w:rPr>
      </w:pPr>
      <w:r w:rsidRPr="004A47DC">
        <w:rPr>
          <w:b/>
        </w:rPr>
        <w:t>Objektivi</w:t>
      </w:r>
    </w:p>
    <w:p w14:paraId="5593C610" w14:textId="0C3FD7F4" w:rsidR="004719D2" w:rsidRPr="004A47DC" w:rsidRDefault="004719D2" w:rsidP="008276F3">
      <w:pPr>
        <w:pStyle w:val="TEKSTIII"/>
      </w:pPr>
      <w:r w:rsidRPr="004A47DC">
        <w:rPr>
          <w:rStyle w:val="rynqvb"/>
          <w:color w:val="000000" w:themeColor="text1"/>
        </w:rPr>
        <w:t xml:space="preserve">Synimi për vitin 2030 është që të kemi sisteme të fuqishme të MFK-së funksionale në të gjitha </w:t>
      </w:r>
      <w:r w:rsidR="00500AEA" w:rsidRPr="004A47DC">
        <w:rPr>
          <w:rStyle w:val="rynqvb"/>
          <w:color w:val="000000" w:themeColor="text1"/>
        </w:rPr>
        <w:t>institucionet publike</w:t>
      </w:r>
      <w:r w:rsidR="00500AEA">
        <w:rPr>
          <w:rStyle w:val="rynqvb"/>
          <w:color w:val="000000" w:themeColor="text1"/>
        </w:rPr>
        <w:t>,</w:t>
      </w:r>
      <w:r w:rsidR="00500AEA" w:rsidRPr="004A47DC">
        <w:rPr>
          <w:rStyle w:val="rynqvb"/>
          <w:color w:val="000000" w:themeColor="text1"/>
        </w:rPr>
        <w:t xml:space="preserve"> </w:t>
      </w:r>
      <w:r w:rsidRPr="004A47DC">
        <w:rPr>
          <w:rStyle w:val="rynqvb"/>
          <w:color w:val="000000" w:themeColor="text1"/>
        </w:rPr>
        <w:t>në përputhje me legjislacionin kombëtar dhe praktikat e mira ndërkombëtare/BE</w:t>
      </w:r>
      <w:r w:rsidR="00500AEA">
        <w:rPr>
          <w:rStyle w:val="rynqvb"/>
          <w:color w:val="000000" w:themeColor="text1"/>
        </w:rPr>
        <w:t>-në</w:t>
      </w:r>
      <w:r w:rsidRPr="004A47DC">
        <w:rPr>
          <w:rStyle w:val="rynqvb"/>
          <w:color w:val="000000" w:themeColor="text1"/>
        </w:rPr>
        <w:t>.</w:t>
      </w:r>
    </w:p>
    <w:p w14:paraId="3B65C17D" w14:textId="77777777" w:rsidR="004719D2" w:rsidRPr="004A47DC" w:rsidRDefault="004719D2" w:rsidP="008276F3">
      <w:pPr>
        <w:pStyle w:val="TEKSTIII"/>
        <w:rPr>
          <w:b/>
        </w:rPr>
      </w:pPr>
      <w:r w:rsidRPr="004A47DC">
        <w:rPr>
          <w:b/>
        </w:rPr>
        <w:t>Konteksti</w:t>
      </w:r>
    </w:p>
    <w:p w14:paraId="49BCBB8A" w14:textId="03D321B5" w:rsidR="004719D2" w:rsidRPr="004A47DC" w:rsidRDefault="004719D2" w:rsidP="008276F3">
      <w:pPr>
        <w:pStyle w:val="TEKSTIII"/>
      </w:pPr>
      <w:r w:rsidRPr="004A47DC">
        <w:rPr>
          <w:rStyle w:val="rynqvb"/>
          <w:color w:val="000000" w:themeColor="text1"/>
        </w:rPr>
        <w:t xml:space="preserve">Praktikat e </w:t>
      </w:r>
      <w:r w:rsidR="00500AEA" w:rsidRPr="004A47DC">
        <w:rPr>
          <w:rStyle w:val="rynqvb"/>
          <w:color w:val="000000" w:themeColor="text1"/>
        </w:rPr>
        <w:t xml:space="preserve">menaxhimit financiar dhe kontrollit </w:t>
      </w:r>
      <w:r w:rsidRPr="004A47DC">
        <w:rPr>
          <w:rStyle w:val="rynqvb"/>
          <w:color w:val="000000" w:themeColor="text1"/>
        </w:rPr>
        <w:t xml:space="preserve">(MFK) </w:t>
      </w:r>
      <w:r w:rsidR="00500AEA" w:rsidRPr="004A47DC">
        <w:rPr>
          <w:rStyle w:val="rynqvb"/>
          <w:color w:val="000000" w:themeColor="text1"/>
        </w:rPr>
        <w:t xml:space="preserve">në institucionet publike </w:t>
      </w:r>
      <w:r w:rsidRPr="004A47DC">
        <w:rPr>
          <w:rStyle w:val="rynqvb"/>
          <w:color w:val="000000" w:themeColor="text1"/>
        </w:rPr>
        <w:t>janë përmirësuar gradualisht me kalimin e kohës.</w:t>
      </w:r>
      <w:r w:rsidRPr="004A47DC">
        <w:rPr>
          <w:rStyle w:val="hwtze"/>
          <w:color w:val="000000" w:themeColor="text1"/>
        </w:rPr>
        <w:t xml:space="preserve"> </w:t>
      </w:r>
      <w:r w:rsidRPr="004A47DC">
        <w:rPr>
          <w:rStyle w:val="rynqvb"/>
          <w:color w:val="000000" w:themeColor="text1"/>
        </w:rPr>
        <w:t>Megjithatë, cilësia e MFK-së</w:t>
      </w:r>
      <w:r w:rsidR="00500AEA">
        <w:rPr>
          <w:rStyle w:val="rynqvb"/>
          <w:color w:val="000000" w:themeColor="text1"/>
        </w:rPr>
        <w:t>,</w:t>
      </w:r>
      <w:r w:rsidRPr="004A47DC">
        <w:rPr>
          <w:rStyle w:val="rynqvb"/>
          <w:color w:val="000000" w:themeColor="text1"/>
        </w:rPr>
        <w:t xml:space="preserve"> si dhe përputhshmëria me ligjet dhe rregulloret ndryshojnë në mënyrë të konsiderueshme ndërmjet institucioneve publike.</w:t>
      </w:r>
      <w:r w:rsidRPr="004A47DC">
        <w:rPr>
          <w:rStyle w:val="hwtze"/>
          <w:color w:val="000000" w:themeColor="text1"/>
        </w:rPr>
        <w:t xml:space="preserve"> </w:t>
      </w:r>
      <w:r w:rsidRPr="004A47DC">
        <w:rPr>
          <w:rStyle w:val="rynqvb"/>
          <w:color w:val="000000" w:themeColor="text1"/>
        </w:rPr>
        <w:t>Në veçanti në fushën e kontrollit të brendshëm, vërehet hapësira për përmirësime të llogaridhënies menaxheriale dhe menaxhimit të riskut.</w:t>
      </w:r>
      <w:r w:rsidRPr="004A47DC">
        <w:rPr>
          <w:rStyle w:val="hwtze"/>
          <w:color w:val="000000" w:themeColor="text1"/>
        </w:rPr>
        <w:t xml:space="preserve"> </w:t>
      </w:r>
      <w:r w:rsidRPr="004A47DC">
        <w:rPr>
          <w:rStyle w:val="rynqvb"/>
          <w:color w:val="000000" w:themeColor="text1"/>
        </w:rPr>
        <w:t xml:space="preserve">Kuadri ligjor i përbërë nga ligji për </w:t>
      </w:r>
      <w:r w:rsidR="00500AEA" w:rsidRPr="004A47DC">
        <w:rPr>
          <w:rStyle w:val="rynqvb"/>
          <w:color w:val="000000" w:themeColor="text1"/>
        </w:rPr>
        <w:t>menaxhimin financiar dhe kontrollin</w:t>
      </w:r>
      <w:r w:rsidRPr="00500AEA">
        <w:rPr>
          <w:rStyle w:val="FootnoteReference"/>
          <w:rFonts w:ascii="Garamond" w:hAnsi="Garamond"/>
          <w:color w:val="000000" w:themeColor="text1"/>
          <w:sz w:val="24"/>
          <w:szCs w:val="24"/>
        </w:rPr>
        <w:footnoteReference w:id="61"/>
      </w:r>
      <w:r w:rsidR="00500AEA" w:rsidRPr="004A47DC">
        <w:rPr>
          <w:rStyle w:val="rynqvb"/>
          <w:color w:val="000000" w:themeColor="text1"/>
        </w:rPr>
        <w:t xml:space="preserve"> dhe disa akte nënligjore janë në proces ndryshimi për të a</w:t>
      </w:r>
      <w:r w:rsidRPr="004A47DC">
        <w:rPr>
          <w:rStyle w:val="rynqvb"/>
          <w:color w:val="000000" w:themeColor="text1"/>
        </w:rPr>
        <w:t>dresuar reformat e vazhdueshme në këtë fushë.</w:t>
      </w:r>
      <w:r w:rsidRPr="004A47DC">
        <w:rPr>
          <w:rStyle w:val="hwtze"/>
          <w:color w:val="000000" w:themeColor="text1"/>
        </w:rPr>
        <w:t xml:space="preserve"> </w:t>
      </w:r>
      <w:r w:rsidRPr="004A47DC">
        <w:rPr>
          <w:rStyle w:val="rynqvb"/>
          <w:color w:val="000000" w:themeColor="text1"/>
        </w:rPr>
        <w:t>Gjithashtu</w:t>
      </w:r>
      <w:r w:rsidR="00500AEA">
        <w:rPr>
          <w:rStyle w:val="rynqvb"/>
          <w:color w:val="000000" w:themeColor="text1"/>
        </w:rPr>
        <w:t>,</w:t>
      </w:r>
      <w:r w:rsidRPr="004A47DC">
        <w:rPr>
          <w:rStyle w:val="rynqvb"/>
          <w:color w:val="000000" w:themeColor="text1"/>
        </w:rPr>
        <w:t xml:space="preserve"> manuali</w:t>
      </w:r>
      <w:r w:rsidRPr="004A47DC">
        <w:rPr>
          <w:rStyle w:val="FootnoteReference"/>
          <w:rFonts w:ascii="Garamond" w:hAnsi="Garamond"/>
          <w:color w:val="000000" w:themeColor="text1"/>
        </w:rPr>
        <w:footnoteReference w:id="62"/>
      </w:r>
      <w:r w:rsidRPr="004A47DC">
        <w:rPr>
          <w:rStyle w:val="rynqvb"/>
          <w:color w:val="000000" w:themeColor="text1"/>
        </w:rPr>
        <w:t xml:space="preserve"> i MFK-së është duke u përmirësuar dhe përshtatur më tej.</w:t>
      </w:r>
      <w:r w:rsidRPr="004A47DC">
        <w:rPr>
          <w:rStyle w:val="hwtze"/>
          <w:color w:val="000000" w:themeColor="text1"/>
        </w:rPr>
        <w:t xml:space="preserve"> </w:t>
      </w:r>
      <w:r w:rsidRPr="004A47DC">
        <w:rPr>
          <w:rStyle w:val="rynqvb"/>
          <w:color w:val="000000" w:themeColor="text1"/>
        </w:rPr>
        <w:t>Të gjitha ndryshimet janë në përputhje me kërkesat e BE-së</w:t>
      </w:r>
      <w:r w:rsidR="00500AEA">
        <w:rPr>
          <w:rStyle w:val="rynqvb"/>
          <w:color w:val="000000" w:themeColor="text1"/>
        </w:rPr>
        <w:t>,</w:t>
      </w:r>
      <w:r w:rsidRPr="004A47DC">
        <w:rPr>
          <w:rStyle w:val="rynqvb"/>
          <w:color w:val="000000" w:themeColor="text1"/>
        </w:rPr>
        <w:t xml:space="preserve"> siç përcaktohet në kapitullin 32 të </w:t>
      </w:r>
      <w:r w:rsidRPr="004A47DC">
        <w:rPr>
          <w:rStyle w:val="rynqvb"/>
          <w:i/>
          <w:color w:val="000000" w:themeColor="text1"/>
        </w:rPr>
        <w:t>acquis</w:t>
      </w:r>
      <w:r w:rsidRPr="004A47DC">
        <w:rPr>
          <w:rStyle w:val="rynqvb"/>
          <w:color w:val="000000" w:themeColor="text1"/>
        </w:rPr>
        <w:t>.</w:t>
      </w:r>
      <w:r w:rsidRPr="004A47DC">
        <w:rPr>
          <w:rStyle w:val="hwtze"/>
          <w:color w:val="000000" w:themeColor="text1"/>
        </w:rPr>
        <w:t xml:space="preserve"> Është krijuar p</w:t>
      </w:r>
      <w:r w:rsidRPr="004A47DC">
        <w:rPr>
          <w:rStyle w:val="rynqvb"/>
          <w:color w:val="000000" w:themeColor="text1"/>
        </w:rPr>
        <w:t>rocesi i vetëvlerësimit vjetor të cilësisë së sistemit të MFK-së (nëpërmjet një pyetësori</w:t>
      </w:r>
      <w:r w:rsidRPr="004A47DC">
        <w:rPr>
          <w:rStyle w:val="FootnoteReference"/>
          <w:rFonts w:ascii="Garamond" w:hAnsi="Garamond"/>
          <w:color w:val="000000" w:themeColor="text1"/>
        </w:rPr>
        <w:footnoteReference w:id="63"/>
      </w:r>
      <w:r w:rsidRPr="004A47DC">
        <w:rPr>
          <w:rStyle w:val="rynqvb"/>
          <w:color w:val="000000" w:themeColor="text1"/>
        </w:rPr>
        <w:t xml:space="preserve">), raportimi pasues në MF, zhvillimi i planeve të përmirësimit të MFK-së dhe zbatimi i tij nga </w:t>
      </w:r>
      <w:r w:rsidR="00500AEA" w:rsidRPr="004A47DC">
        <w:rPr>
          <w:rStyle w:val="rynqvb"/>
          <w:color w:val="000000" w:themeColor="text1"/>
        </w:rPr>
        <w:t>institucionet publike</w:t>
      </w:r>
      <w:r w:rsidR="00500AEA">
        <w:rPr>
          <w:rStyle w:val="rynqvb"/>
          <w:color w:val="000000" w:themeColor="text1"/>
        </w:rPr>
        <w:t>,</w:t>
      </w:r>
      <w:r w:rsidR="00500AEA" w:rsidRPr="004A47DC">
        <w:rPr>
          <w:rStyle w:val="rynqvb"/>
          <w:color w:val="000000" w:themeColor="text1"/>
        </w:rPr>
        <w:t xml:space="preserve"> </w:t>
      </w:r>
      <w:r w:rsidRPr="004A47DC">
        <w:rPr>
          <w:rStyle w:val="rynqvb"/>
          <w:color w:val="000000" w:themeColor="text1"/>
        </w:rPr>
        <w:t>si dhe mbështetet nga NjQH/MFK. Gjetjet kryesore raportohen në raportin vjetor të KBFP</w:t>
      </w:r>
      <w:r w:rsidR="00500AEA">
        <w:rPr>
          <w:rStyle w:val="rynqvb"/>
          <w:color w:val="000000" w:themeColor="text1"/>
        </w:rPr>
        <w:t>-së</w:t>
      </w:r>
      <w:r w:rsidRPr="004A47DC">
        <w:rPr>
          <w:rStyle w:val="rynqvb"/>
          <w:color w:val="000000" w:themeColor="text1"/>
        </w:rPr>
        <w:t xml:space="preserve"> dhe diskutohen nga bordi i KBFP</w:t>
      </w:r>
      <w:r w:rsidR="00500AEA">
        <w:rPr>
          <w:rStyle w:val="rynqvb"/>
          <w:color w:val="000000" w:themeColor="text1"/>
        </w:rPr>
        <w:t>-së</w:t>
      </w:r>
      <w:r w:rsidRPr="004A47DC">
        <w:rPr>
          <w:rStyle w:val="rynqvb"/>
          <w:color w:val="000000" w:themeColor="text1"/>
        </w:rPr>
        <w:t>.</w:t>
      </w:r>
      <w:r w:rsidRPr="004A47DC">
        <w:rPr>
          <w:rStyle w:val="hwtze"/>
          <w:color w:val="000000" w:themeColor="text1"/>
        </w:rPr>
        <w:t xml:space="preserve"> </w:t>
      </w:r>
      <w:r w:rsidRPr="004A47DC">
        <w:rPr>
          <w:rStyle w:val="rynqvb"/>
          <w:color w:val="000000" w:themeColor="text1"/>
        </w:rPr>
        <w:t>NJQH/MFK mbështet institucionet publike me asistencë të drejtpërdrejtë në zbatimin e kërkesave të menaxhimit financiar dhe kontrollit.</w:t>
      </w:r>
      <w:r w:rsidRPr="004A47DC">
        <w:rPr>
          <w:rStyle w:val="hwtze"/>
          <w:color w:val="000000" w:themeColor="text1"/>
        </w:rPr>
        <w:t xml:space="preserve"> </w:t>
      </w:r>
      <w:r w:rsidRPr="004A47DC">
        <w:rPr>
          <w:rStyle w:val="rynqvb"/>
          <w:color w:val="000000" w:themeColor="text1"/>
        </w:rPr>
        <w:t>Koncepti i llogaridhënies menaxheriale brenda institucioneve publike ende nuk është kristalizuar plotësisht dhe duhet të zhvillohet dhe lehtësohet një kuptim më i thellë i përgjegjshmërisë menaxheriale nga niveli ekzekutiv</w:t>
      </w:r>
      <w:r w:rsidR="00500AEA">
        <w:rPr>
          <w:rStyle w:val="rynqvb"/>
          <w:color w:val="000000" w:themeColor="text1"/>
        </w:rPr>
        <w:t>,</w:t>
      </w:r>
      <w:r w:rsidRPr="004A47DC">
        <w:rPr>
          <w:rStyle w:val="rynqvb"/>
          <w:color w:val="000000" w:themeColor="text1"/>
        </w:rPr>
        <w:t xml:space="preserve"> nga mjetet e nevojshme.</w:t>
      </w:r>
      <w:r w:rsidRPr="004A47DC">
        <w:rPr>
          <w:rStyle w:val="hwtze"/>
          <w:color w:val="000000" w:themeColor="text1"/>
        </w:rPr>
        <w:t xml:space="preserve"> Janë identifikuar d</w:t>
      </w:r>
      <w:r w:rsidRPr="004A47DC">
        <w:rPr>
          <w:rStyle w:val="rynqvb"/>
          <w:color w:val="000000" w:themeColor="text1"/>
        </w:rPr>
        <w:t>isa dobësi në ndjekjen sistematike të rekomandimeve nga auditorët e brendshëm dhe të jashtëm</w:t>
      </w:r>
      <w:r w:rsidR="00500AEA">
        <w:rPr>
          <w:rStyle w:val="rynqvb"/>
          <w:color w:val="000000" w:themeColor="text1"/>
        </w:rPr>
        <w:t>,</w:t>
      </w:r>
      <w:r w:rsidRPr="004A47DC">
        <w:rPr>
          <w:rStyle w:val="rynqvb"/>
          <w:color w:val="000000" w:themeColor="text1"/>
        </w:rPr>
        <w:t xml:space="preserve"> të cilat duhet të zgjidhen.</w:t>
      </w:r>
      <w:r w:rsidRPr="004A47DC">
        <w:rPr>
          <w:rStyle w:val="hwtze"/>
          <w:color w:val="000000" w:themeColor="text1"/>
        </w:rPr>
        <w:t xml:space="preserve"> </w:t>
      </w:r>
      <w:r w:rsidRPr="004A47DC">
        <w:rPr>
          <w:rStyle w:val="rynqvb"/>
          <w:color w:val="000000" w:themeColor="text1"/>
        </w:rPr>
        <w:t>Menaxhimi i riskut është ende në një fazë të hershme në të gjitha nivelet dhe duhet të përfshihet më mirë në menaxhimin e proceseve financiare dhe operacionale</w:t>
      </w:r>
      <w:r w:rsidRPr="004A47DC">
        <w:t>.</w:t>
      </w:r>
      <w:r w:rsidRPr="00500AEA">
        <w:rPr>
          <w:rStyle w:val="FootnoteReference"/>
          <w:rFonts w:ascii="Garamond" w:hAnsi="Garamond"/>
          <w:color w:val="000000" w:themeColor="text1"/>
          <w:sz w:val="24"/>
          <w:szCs w:val="24"/>
        </w:rPr>
        <w:footnoteReference w:id="64"/>
      </w:r>
    </w:p>
    <w:p w14:paraId="32710B91" w14:textId="77777777" w:rsidR="004719D2" w:rsidRPr="004A47DC" w:rsidRDefault="004719D2" w:rsidP="00FE42D4">
      <w:pPr>
        <w:pStyle w:val="TEKSTIII"/>
        <w:rPr>
          <w:b/>
        </w:rPr>
      </w:pPr>
      <w:r w:rsidRPr="004A47DC">
        <w:rPr>
          <w:b/>
        </w:rPr>
        <w:t>Prioritetet</w:t>
      </w:r>
    </w:p>
    <w:p w14:paraId="35D58FFE" w14:textId="26B983D8" w:rsidR="004719D2" w:rsidRPr="004A47DC" w:rsidRDefault="004719D2" w:rsidP="00FE42D4">
      <w:pPr>
        <w:pStyle w:val="TEKSTIII"/>
      </w:pPr>
      <w:r w:rsidRPr="004A47DC">
        <w:t xml:space="preserve">Prioritetet për periudhën </w:t>
      </w:r>
      <w:r w:rsidR="00DB1D7E" w:rsidRPr="004A47DC">
        <w:t>2023–2026</w:t>
      </w:r>
      <w:r w:rsidRPr="004A47DC">
        <w:t xml:space="preserve"> janë:</w:t>
      </w:r>
    </w:p>
    <w:p w14:paraId="5D01E6B4" w14:textId="547666B8" w:rsidR="004719D2" w:rsidRPr="004A47DC" w:rsidRDefault="00FE42D4" w:rsidP="00FE42D4">
      <w:pPr>
        <w:pStyle w:val="TEKSTIII"/>
      </w:pPr>
      <w:r w:rsidRPr="004A47DC">
        <w:t>-</w:t>
      </w:r>
      <w:r w:rsidR="006D20A2" w:rsidRPr="004A47DC">
        <w:t xml:space="preserve"> </w:t>
      </w:r>
      <w:r w:rsidR="004719D2" w:rsidRPr="004A47DC">
        <w:t>Përditësimi i kuadrit ligjor dhe rregullator për MFK-në</w:t>
      </w:r>
      <w:r w:rsidR="00500AEA">
        <w:t>,</w:t>
      </w:r>
      <w:r w:rsidR="004719D2" w:rsidRPr="004A47DC">
        <w:t xml:space="preserve"> në kuadër të reformave në vazhdim në fushën e MFK-së</w:t>
      </w:r>
      <w:r w:rsidR="006D20A2" w:rsidRPr="004A47DC">
        <w:t>;</w:t>
      </w:r>
    </w:p>
    <w:p w14:paraId="2CFC62A8" w14:textId="686BA74F" w:rsidR="004719D2" w:rsidRPr="004A47DC" w:rsidRDefault="00FE42D4" w:rsidP="00FE42D4">
      <w:pPr>
        <w:pStyle w:val="TEKSTIII"/>
      </w:pPr>
      <w:r w:rsidRPr="004A47DC">
        <w:t>-</w:t>
      </w:r>
      <w:r w:rsidR="006D20A2" w:rsidRPr="004A47DC">
        <w:t xml:space="preserve"> </w:t>
      </w:r>
      <w:r w:rsidR="004719D2" w:rsidRPr="004A47DC">
        <w:t>Përmirësimi i praktikave të llogaridhënies menaxheriale në institucionet publike</w:t>
      </w:r>
      <w:r w:rsidR="006D20A2" w:rsidRPr="004A47DC">
        <w:t>;</w:t>
      </w:r>
    </w:p>
    <w:p w14:paraId="696183A5" w14:textId="2F57EB4C" w:rsidR="004719D2" w:rsidRPr="004A47DC" w:rsidRDefault="00FE42D4" w:rsidP="00FE42D4">
      <w:pPr>
        <w:pStyle w:val="TEKSTIII"/>
      </w:pPr>
      <w:r w:rsidRPr="004A47DC">
        <w:t>-</w:t>
      </w:r>
      <w:r w:rsidR="006D20A2" w:rsidRPr="004A47DC">
        <w:t xml:space="preserve"> </w:t>
      </w:r>
      <w:r w:rsidR="004719D2" w:rsidRPr="004A47DC">
        <w:t>Përmirësimi i praktikave të menaxhimit të riskut në institucionet publike</w:t>
      </w:r>
      <w:r w:rsidR="006D20A2" w:rsidRPr="004A47DC">
        <w:t>;</w:t>
      </w:r>
    </w:p>
    <w:p w14:paraId="5D044F1F" w14:textId="5D4F8AF1" w:rsidR="004719D2" w:rsidRPr="004A47DC" w:rsidRDefault="00FE42D4" w:rsidP="00FE42D4">
      <w:pPr>
        <w:pStyle w:val="TEKSTIII"/>
      </w:pPr>
      <w:r w:rsidRPr="004A47DC">
        <w:t>-</w:t>
      </w:r>
      <w:r w:rsidR="006D20A2" w:rsidRPr="004A47DC">
        <w:t xml:space="preserve"> </w:t>
      </w:r>
      <w:r w:rsidR="004719D2" w:rsidRPr="004A47DC">
        <w:t>Vazhdimi i mbështetjes të institucioneve publike për zhvillimin dhe zbatimin e mjeteve të MFK-së.</w:t>
      </w:r>
    </w:p>
    <w:p w14:paraId="095C2D9C" w14:textId="77777777" w:rsidR="004719D2" w:rsidRPr="004A47DC" w:rsidRDefault="004719D2" w:rsidP="00FE42D4">
      <w:pPr>
        <w:pStyle w:val="TEKSTIII"/>
      </w:pPr>
    </w:p>
    <w:p w14:paraId="304E68E1" w14:textId="77777777" w:rsidR="004719D2" w:rsidRPr="004A47DC" w:rsidRDefault="004719D2" w:rsidP="004719D2">
      <w:pPr>
        <w:pStyle w:val="H5"/>
        <w:spacing w:after="0" w:line="240" w:lineRule="auto"/>
        <w:rPr>
          <w:rFonts w:ascii="Garamond" w:hAnsi="Garamond"/>
          <w:color w:val="000000" w:themeColor="text1"/>
          <w:sz w:val="24"/>
        </w:rPr>
      </w:pPr>
      <w:r w:rsidRPr="004A47DC">
        <w:rPr>
          <w:rStyle w:val="rynqvb"/>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479"/>
        <w:gridCol w:w="3791"/>
        <w:gridCol w:w="692"/>
        <w:gridCol w:w="854"/>
        <w:gridCol w:w="1245"/>
      </w:tblGrid>
      <w:tr w:rsidR="004719D2" w:rsidRPr="004A47DC" w14:paraId="3149C83B" w14:textId="77777777" w:rsidTr="006D20A2">
        <w:trPr>
          <w:cantSplit/>
          <w:trHeight w:val="20"/>
          <w:tblHeader/>
        </w:trPr>
        <w:tc>
          <w:tcPr>
            <w:tcW w:w="1368" w:type="pct"/>
            <w:shd w:val="clear" w:color="auto" w:fill="D9D9D9" w:themeFill="background1" w:themeFillShade="D9"/>
            <w:vAlign w:val="center"/>
          </w:tcPr>
          <w:p w14:paraId="4B1A43D9" w14:textId="77777777" w:rsidR="004719D2" w:rsidRPr="004A47DC" w:rsidRDefault="004719D2" w:rsidP="006D20A2">
            <w:pPr>
              <w:pStyle w:val="T-bold"/>
              <w:spacing w:line="240" w:lineRule="auto"/>
              <w:jc w:val="center"/>
              <w:rPr>
                <w:rFonts w:ascii="Garamond" w:hAnsi="Garamond"/>
                <w:color w:val="000000" w:themeColor="text1"/>
              </w:rPr>
            </w:pPr>
            <w:bookmarkStart w:id="41" w:name="_Hlk153204913"/>
            <w:r w:rsidRPr="004A47DC">
              <w:rPr>
                <w:rFonts w:ascii="Garamond" w:hAnsi="Garamond"/>
                <w:color w:val="000000" w:themeColor="text1"/>
              </w:rPr>
              <w:t>Masa</w:t>
            </w:r>
          </w:p>
        </w:tc>
        <w:tc>
          <w:tcPr>
            <w:tcW w:w="2092" w:type="pct"/>
            <w:shd w:val="clear" w:color="auto" w:fill="D9D9D9" w:themeFill="background1" w:themeFillShade="D9"/>
            <w:vAlign w:val="center"/>
          </w:tcPr>
          <w:p w14:paraId="49A9B9F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2" w:type="pct"/>
            <w:shd w:val="clear" w:color="auto" w:fill="D9D9D9" w:themeFill="background1" w:themeFillShade="D9"/>
            <w:vAlign w:val="center"/>
          </w:tcPr>
          <w:p w14:paraId="0F4F31CA"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6C35C0B0"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687" w:type="pct"/>
            <w:shd w:val="clear" w:color="auto" w:fill="D9D9D9" w:themeFill="background1" w:themeFillShade="D9"/>
            <w:vAlign w:val="center"/>
          </w:tcPr>
          <w:p w14:paraId="652E0384" w14:textId="77777777" w:rsidR="004719D2" w:rsidRPr="004A47DC" w:rsidRDefault="004719D2" w:rsidP="006D20A2">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59B0F138" w14:textId="77777777" w:rsidTr="006D20A2">
        <w:trPr>
          <w:cantSplit/>
          <w:trHeight w:val="20"/>
        </w:trPr>
        <w:tc>
          <w:tcPr>
            <w:tcW w:w="1368" w:type="pct"/>
            <w:vMerge w:val="restart"/>
            <w:shd w:val="clear" w:color="auto" w:fill="auto"/>
          </w:tcPr>
          <w:p w14:paraId="76933AC6"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Masa 5.1.1 Përmirësimi i kuadrit ligjor dhe rregullator për MFK-në</w:t>
            </w:r>
          </w:p>
        </w:tc>
        <w:tc>
          <w:tcPr>
            <w:tcW w:w="2092" w:type="pct"/>
            <w:vAlign w:val="center"/>
          </w:tcPr>
          <w:p w14:paraId="0942B8BE" w14:textId="18A20C4F" w:rsidR="004719D2" w:rsidRPr="004A47DC" w:rsidRDefault="00FE42D4" w:rsidP="00FE42D4">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Rishikimi i ligjit të MFK-së për adresimin e reformave në vazhdim në fushën e MFK-së.</w:t>
            </w:r>
          </w:p>
        </w:tc>
        <w:tc>
          <w:tcPr>
            <w:tcW w:w="382" w:type="pct"/>
            <w:shd w:val="clear" w:color="auto" w:fill="FFFFFF" w:themeFill="background1"/>
            <w:vAlign w:val="center"/>
          </w:tcPr>
          <w:p w14:paraId="5FB5F96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shd w:val="clear" w:color="auto" w:fill="FFFFFF" w:themeFill="background1"/>
            <w:vAlign w:val="center"/>
          </w:tcPr>
          <w:p w14:paraId="632E074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687" w:type="pct"/>
            <w:vMerge w:val="restart"/>
          </w:tcPr>
          <w:p w14:paraId="77DB5D8D"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35A0F417" w14:textId="24F9BF6B"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DHMFKK</w:t>
            </w:r>
            <w:r w:rsidR="002645BF">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7AC0F895"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580D715A"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r w:rsidRPr="004A47DC">
              <w:rPr>
                <w:rStyle w:val="FootnoteReference"/>
                <w:rFonts w:ascii="Garamond" w:hAnsi="Garamond"/>
                <w:color w:val="000000" w:themeColor="text1"/>
                <w:sz w:val="16"/>
                <w:szCs w:val="16"/>
              </w:rPr>
              <w:t xml:space="preserve"> </w:t>
            </w:r>
          </w:p>
          <w:p w14:paraId="16C2620A" w14:textId="1C313202"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2645BF">
              <w:rPr>
                <w:rFonts w:ascii="Garamond" w:hAnsi="Garamond"/>
                <w:sz w:val="16"/>
                <w:szCs w:val="16"/>
              </w:rPr>
              <w:t>-së</w:t>
            </w:r>
            <w:r w:rsidRPr="004A47DC">
              <w:rPr>
                <w:rFonts w:ascii="Garamond" w:hAnsi="Garamond" w:cs="Arial"/>
                <w:color w:val="000000" w:themeColor="text1"/>
                <w:sz w:val="16"/>
                <w:szCs w:val="16"/>
              </w:rPr>
              <w:t>, SIGMA, SECO.</w:t>
            </w:r>
            <w:r w:rsidRPr="004A47DC">
              <w:rPr>
                <w:rStyle w:val="FootnoteReference"/>
                <w:rFonts w:ascii="Garamond" w:hAnsi="Garamond"/>
                <w:color w:val="000000" w:themeColor="text1"/>
                <w:sz w:val="16"/>
                <w:szCs w:val="16"/>
              </w:rPr>
              <w:footnoteReference w:id="65"/>
            </w:r>
          </w:p>
          <w:p w14:paraId="3A37D307" w14:textId="77777777" w:rsidR="004719D2" w:rsidRPr="004A47DC" w:rsidRDefault="004719D2" w:rsidP="00CF7CEC">
            <w:pPr>
              <w:pStyle w:val="EcorysBody"/>
              <w:spacing w:line="240" w:lineRule="auto"/>
              <w:rPr>
                <w:rFonts w:ascii="Garamond" w:hAnsi="Garamond" w:cs="Arial"/>
                <w:color w:val="000000" w:themeColor="text1"/>
                <w:sz w:val="16"/>
                <w:szCs w:val="16"/>
              </w:rPr>
            </w:pPr>
          </w:p>
          <w:p w14:paraId="0AA792A1" w14:textId="77777777" w:rsidR="004719D2" w:rsidRPr="004A47DC" w:rsidRDefault="004719D2" w:rsidP="00CF7CEC">
            <w:pPr>
              <w:rPr>
                <w:rFonts w:ascii="Garamond" w:hAnsi="Garamond"/>
                <w:color w:val="000000" w:themeColor="text1"/>
                <w:sz w:val="16"/>
                <w:szCs w:val="16"/>
              </w:rPr>
            </w:pPr>
          </w:p>
        </w:tc>
      </w:tr>
      <w:tr w:rsidR="004719D2" w:rsidRPr="004A47DC" w14:paraId="4C78575C" w14:textId="77777777" w:rsidTr="006D20A2">
        <w:trPr>
          <w:cantSplit/>
          <w:trHeight w:val="566"/>
        </w:trPr>
        <w:tc>
          <w:tcPr>
            <w:tcW w:w="1368" w:type="pct"/>
            <w:vMerge/>
            <w:shd w:val="clear" w:color="auto" w:fill="auto"/>
          </w:tcPr>
          <w:p w14:paraId="7422DD2A" w14:textId="77777777" w:rsidR="004719D2" w:rsidRPr="004A47DC" w:rsidRDefault="004719D2" w:rsidP="00732B6D">
            <w:pPr>
              <w:pStyle w:val="EcorysBody"/>
              <w:numPr>
                <w:ilvl w:val="0"/>
                <w:numId w:val="5"/>
              </w:numPr>
              <w:spacing w:line="240" w:lineRule="auto"/>
              <w:rPr>
                <w:rFonts w:ascii="Garamond" w:hAnsi="Garamond" w:cs="Arial"/>
                <w:color w:val="000000" w:themeColor="text1"/>
                <w:sz w:val="16"/>
                <w:szCs w:val="16"/>
              </w:rPr>
            </w:pPr>
          </w:p>
        </w:tc>
        <w:tc>
          <w:tcPr>
            <w:tcW w:w="2092" w:type="pct"/>
            <w:vAlign w:val="center"/>
          </w:tcPr>
          <w:p w14:paraId="788B7CB4" w14:textId="5E3DE0BC" w:rsidR="004719D2" w:rsidRPr="004A47DC" w:rsidRDefault="00FE42D4" w:rsidP="00FE42D4">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Rishikimi dhe përditësimi i akteve nënligjore dhe përmirësimi i mëtejshëm i manualit të MFK-së.</w:t>
            </w:r>
          </w:p>
        </w:tc>
        <w:tc>
          <w:tcPr>
            <w:tcW w:w="382" w:type="pct"/>
            <w:shd w:val="clear" w:color="auto" w:fill="FFFFFF" w:themeFill="background1"/>
            <w:vAlign w:val="center"/>
          </w:tcPr>
          <w:p w14:paraId="1A3C0DB0"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shd w:val="clear" w:color="auto" w:fill="FFFFFF" w:themeFill="background1"/>
            <w:vAlign w:val="center"/>
          </w:tcPr>
          <w:p w14:paraId="0CE5DC0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87" w:type="pct"/>
            <w:vMerge/>
          </w:tcPr>
          <w:p w14:paraId="6935B547" w14:textId="77777777" w:rsidR="004719D2" w:rsidRPr="004A47DC" w:rsidRDefault="004719D2" w:rsidP="00CF7CEC">
            <w:pPr>
              <w:rPr>
                <w:rFonts w:ascii="Garamond" w:hAnsi="Garamond"/>
                <w:color w:val="000000" w:themeColor="text1"/>
                <w:sz w:val="16"/>
                <w:szCs w:val="16"/>
              </w:rPr>
            </w:pPr>
          </w:p>
        </w:tc>
      </w:tr>
      <w:tr w:rsidR="004719D2" w:rsidRPr="004A47DC" w14:paraId="215E790A" w14:textId="77777777" w:rsidTr="006D20A2">
        <w:trPr>
          <w:cantSplit/>
          <w:trHeight w:val="810"/>
        </w:trPr>
        <w:tc>
          <w:tcPr>
            <w:tcW w:w="1368" w:type="pct"/>
            <w:vMerge/>
            <w:shd w:val="clear" w:color="auto" w:fill="auto"/>
          </w:tcPr>
          <w:p w14:paraId="3FBC33D9" w14:textId="77777777" w:rsidR="004719D2" w:rsidRPr="004A47DC" w:rsidRDefault="004719D2" w:rsidP="00732B6D">
            <w:pPr>
              <w:pStyle w:val="EcorysBody"/>
              <w:numPr>
                <w:ilvl w:val="0"/>
                <w:numId w:val="5"/>
              </w:numPr>
              <w:spacing w:line="240" w:lineRule="auto"/>
              <w:rPr>
                <w:rFonts w:ascii="Garamond" w:hAnsi="Garamond" w:cs="Arial"/>
                <w:color w:val="000000" w:themeColor="text1"/>
                <w:sz w:val="16"/>
                <w:szCs w:val="16"/>
              </w:rPr>
            </w:pPr>
          </w:p>
        </w:tc>
        <w:tc>
          <w:tcPr>
            <w:tcW w:w="2092" w:type="pct"/>
            <w:vAlign w:val="center"/>
          </w:tcPr>
          <w:p w14:paraId="321DD3FD" w14:textId="5E805504" w:rsidR="004719D2" w:rsidRPr="004A47DC" w:rsidRDefault="00FE42D4" w:rsidP="00FE42D4">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Rishikimi i efektivitetit të ligjit të MFK-së</w:t>
            </w:r>
            <w:r w:rsidR="00500AEA">
              <w:rPr>
                <w:rFonts w:ascii="Garamond" w:hAnsi="Garamond"/>
                <w:sz w:val="16"/>
                <w:szCs w:val="16"/>
              </w:rPr>
              <w:t>,</w:t>
            </w:r>
            <w:r w:rsidR="004719D2" w:rsidRPr="004A47DC">
              <w:rPr>
                <w:rFonts w:ascii="Garamond" w:hAnsi="Garamond"/>
                <w:sz w:val="16"/>
                <w:szCs w:val="16"/>
              </w:rPr>
              <w:t xml:space="preserve"> si dhe harmonizimi i nevojshëm me ligjet e tjera dhe përgatitja e ndryshimeve nëse është e nevojshme.</w:t>
            </w:r>
          </w:p>
        </w:tc>
        <w:tc>
          <w:tcPr>
            <w:tcW w:w="382" w:type="pct"/>
            <w:shd w:val="clear" w:color="auto" w:fill="FFFFFF" w:themeFill="background1"/>
            <w:vAlign w:val="center"/>
          </w:tcPr>
          <w:p w14:paraId="3D5A67A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471" w:type="pct"/>
            <w:shd w:val="clear" w:color="auto" w:fill="FFFFFF" w:themeFill="background1"/>
            <w:vAlign w:val="center"/>
          </w:tcPr>
          <w:p w14:paraId="50483EB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2026</w:t>
            </w:r>
          </w:p>
        </w:tc>
        <w:tc>
          <w:tcPr>
            <w:tcW w:w="687" w:type="pct"/>
            <w:vMerge/>
          </w:tcPr>
          <w:p w14:paraId="7E9B281A" w14:textId="77777777" w:rsidR="004719D2" w:rsidRPr="004A47DC" w:rsidRDefault="004719D2" w:rsidP="00CF7CEC">
            <w:pPr>
              <w:rPr>
                <w:rFonts w:ascii="Garamond" w:hAnsi="Garamond"/>
                <w:color w:val="000000" w:themeColor="text1"/>
                <w:sz w:val="16"/>
                <w:szCs w:val="16"/>
              </w:rPr>
            </w:pPr>
          </w:p>
        </w:tc>
      </w:tr>
      <w:tr w:rsidR="004719D2" w:rsidRPr="004A47DC" w14:paraId="19973F94" w14:textId="77777777" w:rsidTr="006D20A2">
        <w:trPr>
          <w:cantSplit/>
          <w:trHeight w:val="1012"/>
        </w:trPr>
        <w:tc>
          <w:tcPr>
            <w:tcW w:w="1368" w:type="pct"/>
            <w:vMerge w:val="restart"/>
            <w:shd w:val="clear" w:color="auto" w:fill="auto"/>
          </w:tcPr>
          <w:p w14:paraId="40563765"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b/>
                <w:bCs/>
                <w:color w:val="000000" w:themeColor="text1"/>
                <w:sz w:val="16"/>
                <w:szCs w:val="16"/>
              </w:rPr>
              <w:t xml:space="preserve">Masa 5.1.2 Përmirësimi i llogaridhënies menaxheriale në institucionet publike </w:t>
            </w:r>
          </w:p>
        </w:tc>
        <w:tc>
          <w:tcPr>
            <w:tcW w:w="2092" w:type="pct"/>
          </w:tcPr>
          <w:p w14:paraId="4697F176" w14:textId="102C38A9" w:rsidR="004719D2" w:rsidRPr="004A47DC" w:rsidRDefault="00FE42D4" w:rsidP="00FE42D4">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Mbështetja e institucioneve publike për përdorimin e rregullave të delegimit të detyrave si vazhdimësi e kuadrit ligjor dhe rregullator të zhvilluar për MFK-në dhe llogaridhënien menaxheriale.</w:t>
            </w:r>
            <w:r w:rsidR="004719D2" w:rsidRPr="00500AEA">
              <w:rPr>
                <w:rFonts w:ascii="Garamond" w:hAnsi="Garamond"/>
                <w:sz w:val="16"/>
                <w:szCs w:val="16"/>
                <w:vertAlign w:val="superscript"/>
              </w:rPr>
              <w:footnoteReference w:id="66"/>
            </w:r>
          </w:p>
        </w:tc>
        <w:tc>
          <w:tcPr>
            <w:tcW w:w="382" w:type="pct"/>
            <w:shd w:val="clear" w:color="auto" w:fill="FFFFFF" w:themeFill="background1"/>
            <w:vAlign w:val="center"/>
          </w:tcPr>
          <w:p w14:paraId="4E17188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shd w:val="clear" w:color="auto" w:fill="FFFFFF" w:themeFill="background1"/>
            <w:vAlign w:val="center"/>
          </w:tcPr>
          <w:p w14:paraId="6715CD8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87" w:type="pct"/>
            <w:vMerge w:val="restart"/>
          </w:tcPr>
          <w:p w14:paraId="4A79F0D5"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4318F7D7" w14:textId="26582ACE"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DHMFKK</w:t>
            </w:r>
            <w:r w:rsidR="002645BF">
              <w:rPr>
                <w:rFonts w:ascii="Garamond" w:hAnsi="Garamond"/>
                <w:sz w:val="16"/>
                <w:szCs w:val="16"/>
              </w:rPr>
              <w:t>-së</w:t>
            </w:r>
            <w:r w:rsidRPr="004A47DC">
              <w:rPr>
                <w:rFonts w:ascii="Garamond" w:hAnsi="Garamond" w:cs="Arial"/>
                <w:color w:val="000000" w:themeColor="text1"/>
                <w:sz w:val="16"/>
                <w:szCs w:val="16"/>
              </w:rPr>
              <w:t xml:space="preserve"> (lider)</w:t>
            </w:r>
          </w:p>
          <w:p w14:paraId="2FE8D27E"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11DFE805"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5D4BCCA" w14:textId="1F6EDD88"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2645BF">
              <w:rPr>
                <w:rFonts w:ascii="Garamond" w:hAnsi="Garamond"/>
                <w:sz w:val="16"/>
                <w:szCs w:val="16"/>
              </w:rPr>
              <w:t>-së</w:t>
            </w:r>
            <w:r w:rsidRPr="004A47DC">
              <w:rPr>
                <w:rFonts w:ascii="Garamond" w:hAnsi="Garamond" w:cs="Arial"/>
                <w:color w:val="000000" w:themeColor="text1"/>
                <w:sz w:val="16"/>
                <w:szCs w:val="16"/>
              </w:rPr>
              <w:t>, SIGMA, SECO.</w:t>
            </w:r>
            <w:r w:rsidRPr="004A47DC">
              <w:rPr>
                <w:rStyle w:val="FootnoteReference"/>
                <w:rFonts w:ascii="Garamond" w:hAnsi="Garamond"/>
                <w:color w:val="000000" w:themeColor="text1"/>
                <w:sz w:val="16"/>
                <w:szCs w:val="16"/>
              </w:rPr>
              <w:footnoteReference w:id="67"/>
            </w:r>
          </w:p>
          <w:p w14:paraId="5D5B7B54" w14:textId="77777777" w:rsidR="004719D2" w:rsidRPr="004A47DC" w:rsidRDefault="004719D2" w:rsidP="00CF7CEC">
            <w:pPr>
              <w:rPr>
                <w:rFonts w:ascii="Garamond" w:hAnsi="Garamond"/>
                <w:color w:val="000000" w:themeColor="text1"/>
                <w:sz w:val="16"/>
                <w:szCs w:val="16"/>
              </w:rPr>
            </w:pPr>
          </w:p>
        </w:tc>
      </w:tr>
      <w:tr w:rsidR="004719D2" w:rsidRPr="004A47DC" w14:paraId="0030CA8E" w14:textId="77777777" w:rsidTr="006D20A2">
        <w:trPr>
          <w:cantSplit/>
          <w:trHeight w:val="20"/>
        </w:trPr>
        <w:tc>
          <w:tcPr>
            <w:tcW w:w="1368" w:type="pct"/>
            <w:vMerge/>
            <w:shd w:val="clear" w:color="auto" w:fill="auto"/>
          </w:tcPr>
          <w:p w14:paraId="5A6EC01E" w14:textId="77777777" w:rsidR="004719D2" w:rsidRPr="004A47DC" w:rsidRDefault="004719D2" w:rsidP="00732B6D">
            <w:pPr>
              <w:pStyle w:val="EcorysBody"/>
              <w:numPr>
                <w:ilvl w:val="0"/>
                <w:numId w:val="6"/>
              </w:numPr>
              <w:spacing w:line="240" w:lineRule="auto"/>
              <w:rPr>
                <w:rFonts w:ascii="Garamond" w:hAnsi="Garamond" w:cs="Arial"/>
                <w:color w:val="000000" w:themeColor="text1"/>
                <w:sz w:val="16"/>
                <w:szCs w:val="16"/>
              </w:rPr>
            </w:pPr>
          </w:p>
        </w:tc>
        <w:tc>
          <w:tcPr>
            <w:tcW w:w="2092" w:type="pct"/>
          </w:tcPr>
          <w:p w14:paraId="65CD374E" w14:textId="61C614ED" w:rsidR="004719D2" w:rsidRPr="004A47DC" w:rsidRDefault="00FE42D4" w:rsidP="00FE42D4">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Rritja e ndërgjegjësimit për llogaridhënien menaxheriale dhe shpërndarja e përvojave tek niveli i lartë drejtues i institucioneve publike përmes trajnimit dhe asistencës teknike gjatë vlerësimit të cilësisë së KB</w:t>
            </w:r>
            <w:r w:rsidR="00500AEA">
              <w:rPr>
                <w:rFonts w:ascii="Garamond" w:hAnsi="Garamond"/>
                <w:sz w:val="16"/>
                <w:szCs w:val="16"/>
              </w:rPr>
              <w:t>-së</w:t>
            </w:r>
            <w:r w:rsidR="004719D2" w:rsidRPr="004A47DC">
              <w:rPr>
                <w:rFonts w:ascii="Garamond" w:hAnsi="Garamond"/>
                <w:sz w:val="16"/>
                <w:szCs w:val="16"/>
              </w:rPr>
              <w:t xml:space="preserve">. </w:t>
            </w:r>
          </w:p>
        </w:tc>
        <w:tc>
          <w:tcPr>
            <w:tcW w:w="382" w:type="pct"/>
            <w:shd w:val="clear" w:color="auto" w:fill="FFFFFF" w:themeFill="background1"/>
            <w:vAlign w:val="center"/>
          </w:tcPr>
          <w:p w14:paraId="0CCFA79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shd w:val="clear" w:color="auto" w:fill="FFFFFF" w:themeFill="background1"/>
            <w:vAlign w:val="center"/>
          </w:tcPr>
          <w:p w14:paraId="155C45A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87" w:type="pct"/>
            <w:vMerge/>
          </w:tcPr>
          <w:p w14:paraId="0FE93206" w14:textId="77777777" w:rsidR="004719D2" w:rsidRPr="004A47DC" w:rsidRDefault="004719D2" w:rsidP="00CF7CEC">
            <w:pPr>
              <w:rPr>
                <w:rFonts w:ascii="Garamond" w:hAnsi="Garamond"/>
                <w:color w:val="000000" w:themeColor="text1"/>
                <w:sz w:val="16"/>
                <w:szCs w:val="16"/>
              </w:rPr>
            </w:pPr>
          </w:p>
        </w:tc>
      </w:tr>
      <w:tr w:rsidR="004719D2" w:rsidRPr="004A47DC" w14:paraId="514B8AF3" w14:textId="77777777" w:rsidTr="006D20A2">
        <w:trPr>
          <w:cantSplit/>
          <w:trHeight w:val="20"/>
        </w:trPr>
        <w:tc>
          <w:tcPr>
            <w:tcW w:w="1368" w:type="pct"/>
            <w:vMerge w:val="restart"/>
            <w:shd w:val="clear" w:color="auto" w:fill="auto"/>
          </w:tcPr>
          <w:p w14:paraId="6AD749CE" w14:textId="340FD58D" w:rsidR="004719D2" w:rsidRPr="004A47DC" w:rsidRDefault="004719D2" w:rsidP="00CF7CEC">
            <w:pPr>
              <w:rPr>
                <w:rFonts w:ascii="Garamond" w:hAnsi="Garamond"/>
                <w:color w:val="000000" w:themeColor="text1"/>
                <w:sz w:val="16"/>
                <w:szCs w:val="16"/>
              </w:rPr>
            </w:pPr>
            <w:r w:rsidRPr="004A47DC">
              <w:rPr>
                <w:rFonts w:ascii="Garamond" w:hAnsi="Garamond"/>
                <w:b/>
                <w:bCs/>
                <w:color w:val="000000" w:themeColor="text1"/>
                <w:sz w:val="16"/>
                <w:szCs w:val="16"/>
              </w:rPr>
              <w:t xml:space="preserve">Masa 5.1.3 Forcimi i praktikave të </w:t>
            </w:r>
            <w:r w:rsidR="00500AEA" w:rsidRPr="004A47DC">
              <w:rPr>
                <w:rFonts w:ascii="Garamond" w:hAnsi="Garamond"/>
                <w:b/>
                <w:bCs/>
                <w:color w:val="000000" w:themeColor="text1"/>
                <w:sz w:val="16"/>
                <w:szCs w:val="16"/>
              </w:rPr>
              <w:t>menaxhimit të riskut</w:t>
            </w:r>
          </w:p>
        </w:tc>
        <w:tc>
          <w:tcPr>
            <w:tcW w:w="2092" w:type="pct"/>
          </w:tcPr>
          <w:p w14:paraId="603741B9" w14:textId="0C37E373" w:rsidR="004719D2" w:rsidRPr="004A47DC" w:rsidRDefault="00FE42D4" w:rsidP="00FE42D4">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Rishikimi dhe ndryshimi i udhëzimeve të koordinatorit të riskut dhe koordinatorit të MFK-së.</w:t>
            </w:r>
          </w:p>
        </w:tc>
        <w:tc>
          <w:tcPr>
            <w:tcW w:w="382" w:type="pct"/>
            <w:shd w:val="clear" w:color="auto" w:fill="FFFFFF" w:themeFill="background1"/>
            <w:vAlign w:val="center"/>
          </w:tcPr>
          <w:p w14:paraId="42E12EF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shd w:val="clear" w:color="auto" w:fill="FFFFFF" w:themeFill="background1"/>
            <w:vAlign w:val="center"/>
          </w:tcPr>
          <w:p w14:paraId="53D4CFD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87" w:type="pct"/>
            <w:vMerge w:val="restart"/>
          </w:tcPr>
          <w:p w14:paraId="263657D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0DD42900" w14:textId="7B3562D3"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DHMFKK</w:t>
            </w:r>
            <w:r w:rsidR="002645BF">
              <w:rPr>
                <w:rFonts w:ascii="Garamond" w:hAnsi="Garamond"/>
                <w:sz w:val="16"/>
                <w:szCs w:val="16"/>
              </w:rPr>
              <w:t>-së</w:t>
            </w:r>
            <w:r w:rsidRPr="004A47DC">
              <w:rPr>
                <w:rFonts w:ascii="Garamond" w:hAnsi="Garamond"/>
                <w:color w:val="000000" w:themeColor="text1"/>
                <w:sz w:val="16"/>
                <w:szCs w:val="16"/>
              </w:rPr>
              <w:t xml:space="preserve"> (lider)</w:t>
            </w:r>
          </w:p>
          <w:p w14:paraId="1F359555"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65AE976C"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75F3F741" w14:textId="4A1D303D"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2645BF">
              <w:rPr>
                <w:rFonts w:ascii="Garamond" w:hAnsi="Garamond"/>
                <w:sz w:val="16"/>
                <w:szCs w:val="16"/>
              </w:rPr>
              <w:t>-së</w:t>
            </w:r>
            <w:r w:rsidRPr="004A47DC">
              <w:rPr>
                <w:rFonts w:ascii="Garamond" w:hAnsi="Garamond" w:cs="Arial"/>
                <w:color w:val="000000" w:themeColor="text1"/>
                <w:sz w:val="16"/>
                <w:szCs w:val="16"/>
              </w:rPr>
              <w:t>, SIGMA, SECO</w:t>
            </w:r>
          </w:p>
          <w:p w14:paraId="2B615D78"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4F8A68CC" w14:textId="77777777" w:rsidTr="006D20A2">
        <w:trPr>
          <w:cantSplit/>
          <w:trHeight w:val="20"/>
        </w:trPr>
        <w:tc>
          <w:tcPr>
            <w:tcW w:w="1368" w:type="pct"/>
            <w:vMerge/>
            <w:shd w:val="clear" w:color="auto" w:fill="auto"/>
          </w:tcPr>
          <w:p w14:paraId="5A1E7B9F" w14:textId="77777777" w:rsidR="004719D2" w:rsidRPr="004A47DC" w:rsidRDefault="004719D2" w:rsidP="00CF7CEC">
            <w:pPr>
              <w:rPr>
                <w:rFonts w:ascii="Garamond" w:hAnsi="Garamond"/>
                <w:b/>
                <w:bCs/>
                <w:color w:val="000000" w:themeColor="text1"/>
                <w:sz w:val="16"/>
                <w:szCs w:val="16"/>
              </w:rPr>
            </w:pPr>
          </w:p>
        </w:tc>
        <w:tc>
          <w:tcPr>
            <w:tcW w:w="2092" w:type="pct"/>
          </w:tcPr>
          <w:p w14:paraId="5E795974" w14:textId="75D52110" w:rsidR="004719D2" w:rsidRPr="004A47DC" w:rsidRDefault="00FE42D4" w:rsidP="00FE42D4">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Rritja e ndërgjegjësimit dhe ofrimi i asistencës teknike për menaxhimin e riskut se si të zhvillohen mjetet për menaxhimin (strategjik dhe operacional) të riskut.</w:t>
            </w:r>
          </w:p>
        </w:tc>
        <w:tc>
          <w:tcPr>
            <w:tcW w:w="382" w:type="pct"/>
            <w:shd w:val="clear" w:color="auto" w:fill="FFFFFF" w:themeFill="background1"/>
            <w:vAlign w:val="center"/>
          </w:tcPr>
          <w:p w14:paraId="7069970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shd w:val="clear" w:color="auto" w:fill="FFFFFF" w:themeFill="background1"/>
            <w:vAlign w:val="center"/>
          </w:tcPr>
          <w:p w14:paraId="1DD4946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87" w:type="pct"/>
            <w:vMerge/>
          </w:tcPr>
          <w:p w14:paraId="7F4D322A" w14:textId="77777777" w:rsidR="004719D2" w:rsidRPr="004A47DC" w:rsidRDefault="004719D2" w:rsidP="00CF7CEC">
            <w:pPr>
              <w:rPr>
                <w:rFonts w:ascii="Garamond" w:hAnsi="Garamond"/>
                <w:b/>
                <w:bCs/>
                <w:color w:val="000000" w:themeColor="text1"/>
                <w:sz w:val="16"/>
                <w:szCs w:val="16"/>
              </w:rPr>
            </w:pPr>
          </w:p>
        </w:tc>
      </w:tr>
      <w:tr w:rsidR="004719D2" w:rsidRPr="004A47DC" w14:paraId="68CE5125" w14:textId="77777777" w:rsidTr="006D20A2">
        <w:trPr>
          <w:cantSplit/>
          <w:trHeight w:val="23"/>
        </w:trPr>
        <w:tc>
          <w:tcPr>
            <w:tcW w:w="1368" w:type="pct"/>
            <w:shd w:val="clear" w:color="auto" w:fill="auto"/>
          </w:tcPr>
          <w:p w14:paraId="0BE3378C" w14:textId="77777777" w:rsidR="004719D2" w:rsidRPr="004A47DC" w:rsidRDefault="004719D2" w:rsidP="00CF7CEC">
            <w:pPr>
              <w:rPr>
                <w:rFonts w:ascii="Garamond" w:hAnsi="Garamond"/>
                <w:color w:val="000000" w:themeColor="text1"/>
                <w:sz w:val="16"/>
                <w:szCs w:val="16"/>
              </w:rPr>
            </w:pPr>
            <w:r w:rsidRPr="004A47DC">
              <w:rPr>
                <w:rFonts w:ascii="Garamond" w:hAnsi="Garamond"/>
                <w:b/>
                <w:bCs/>
                <w:color w:val="000000" w:themeColor="text1"/>
                <w:sz w:val="16"/>
                <w:szCs w:val="16"/>
              </w:rPr>
              <w:t>Masa 5.1.4 Përmirësimi i vlerësimit dhe përmirësimit të cilësisë së MFK-së në institucionet publike</w:t>
            </w:r>
          </w:p>
        </w:tc>
        <w:tc>
          <w:tcPr>
            <w:tcW w:w="2092" w:type="pct"/>
            <w:vAlign w:val="center"/>
          </w:tcPr>
          <w:p w14:paraId="26D6BCBE" w14:textId="396728F7" w:rsidR="004719D2" w:rsidRPr="004A47DC" w:rsidRDefault="00FE42D4" w:rsidP="00FE42D4">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Përmirësimi i nivelit të zbatimit të rekomandimeve të MFK-së nga procedura e vlerësimit të cilësisë së KB</w:t>
            </w:r>
            <w:r w:rsidR="002645BF">
              <w:rPr>
                <w:rFonts w:ascii="Garamond" w:hAnsi="Garamond"/>
                <w:sz w:val="16"/>
                <w:szCs w:val="16"/>
              </w:rPr>
              <w:t>-së</w:t>
            </w:r>
            <w:r w:rsidR="004719D2" w:rsidRPr="004A47DC">
              <w:rPr>
                <w:rFonts w:ascii="Garamond" w:hAnsi="Garamond"/>
                <w:sz w:val="16"/>
                <w:szCs w:val="16"/>
              </w:rPr>
              <w:t xml:space="preserve"> përmes planit të zhvillimit të MFK-së.</w:t>
            </w:r>
          </w:p>
        </w:tc>
        <w:tc>
          <w:tcPr>
            <w:tcW w:w="382" w:type="pct"/>
            <w:vAlign w:val="center"/>
          </w:tcPr>
          <w:p w14:paraId="1713986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65CB211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87" w:type="pct"/>
          </w:tcPr>
          <w:p w14:paraId="3CC0DECC"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4E300C7A" w14:textId="5CD06A1A"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DHMFKK</w:t>
            </w:r>
            <w:r w:rsidR="002645BF">
              <w:rPr>
                <w:rFonts w:ascii="Garamond" w:hAnsi="Garamond"/>
                <w:sz w:val="16"/>
                <w:szCs w:val="16"/>
              </w:rPr>
              <w:t>-së</w:t>
            </w:r>
            <w:r w:rsidRPr="004A47DC">
              <w:rPr>
                <w:rFonts w:ascii="Garamond" w:hAnsi="Garamond"/>
                <w:color w:val="000000" w:themeColor="text1"/>
                <w:sz w:val="16"/>
                <w:szCs w:val="16"/>
              </w:rPr>
              <w:t xml:space="preserve"> (lider)</w:t>
            </w:r>
          </w:p>
          <w:p w14:paraId="245B9264"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680BD9A5"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29A98E8C"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SIGMA, SECO.</w:t>
            </w:r>
            <w:r w:rsidRPr="004A47DC">
              <w:rPr>
                <w:rStyle w:val="FootnoteReference"/>
                <w:rFonts w:ascii="Garamond" w:hAnsi="Garamond"/>
                <w:color w:val="000000" w:themeColor="text1"/>
                <w:sz w:val="16"/>
                <w:szCs w:val="16"/>
              </w:rPr>
              <w:footnoteReference w:id="68"/>
            </w:r>
          </w:p>
        </w:tc>
      </w:tr>
      <w:bookmarkEnd w:id="41"/>
    </w:tbl>
    <w:p w14:paraId="4E0BF2CC" w14:textId="77777777" w:rsidR="004719D2" w:rsidRPr="004A47DC" w:rsidRDefault="004719D2" w:rsidP="004719D2">
      <w:pPr>
        <w:rPr>
          <w:rStyle w:val="IntenseReference"/>
          <w:rFonts w:ascii="Garamond" w:eastAsiaTheme="majorEastAsia" w:hAnsi="Garamond" w:cstheme="majorBidi"/>
          <w:i w:val="0"/>
          <w:iCs/>
          <w:color w:val="000000" w:themeColor="text1"/>
          <w:sz w:val="22"/>
          <w:szCs w:val="22"/>
        </w:rPr>
      </w:pPr>
    </w:p>
    <w:p w14:paraId="3B6E6DB4"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3F07EF0E" w14:textId="77777777" w:rsidTr="006D20A2">
        <w:trPr>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7353F5"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688F0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bazë (2022)</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4311A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47644653" w14:textId="77777777" w:rsidTr="006D20A2">
        <w:trPr>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2E6AD451" w14:textId="77777777" w:rsidR="004719D2" w:rsidRPr="004A47DC" w:rsidRDefault="004719D2" w:rsidP="006D20A2">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535FE4F1" w14:textId="77777777" w:rsidR="004719D2" w:rsidRPr="004A47DC" w:rsidRDefault="004719D2" w:rsidP="006D20A2">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DED043"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E86499"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67F548"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39B1BC"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7F8CF598" w14:textId="77777777" w:rsidTr="006D20A2">
        <w:tc>
          <w:tcPr>
            <w:tcW w:w="1727" w:type="pct"/>
            <w:tcBorders>
              <w:top w:val="single" w:sz="4" w:space="0" w:color="auto"/>
              <w:left w:val="single" w:sz="4" w:space="0" w:color="auto"/>
              <w:bottom w:val="single" w:sz="4" w:space="0" w:color="auto"/>
              <w:right w:val="single" w:sz="4" w:space="0" w:color="auto"/>
            </w:tcBorders>
          </w:tcPr>
          <w:p w14:paraId="6CEAAD80" w14:textId="4003F566" w:rsidR="004719D2" w:rsidRPr="004A47DC" w:rsidRDefault="00FE42D4" w:rsidP="00FE42D4">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Përqindja e </w:t>
            </w:r>
            <w:r w:rsidR="002645BF" w:rsidRPr="004A47DC">
              <w:rPr>
                <w:rFonts w:ascii="Garamond" w:hAnsi="Garamond"/>
                <w:sz w:val="16"/>
                <w:szCs w:val="16"/>
              </w:rPr>
              <w:t xml:space="preserve">institucioneve publike </w:t>
            </w:r>
            <w:r w:rsidR="004719D2" w:rsidRPr="004A47DC">
              <w:rPr>
                <w:rFonts w:ascii="Garamond" w:hAnsi="Garamond"/>
                <w:sz w:val="16"/>
                <w:szCs w:val="16"/>
              </w:rPr>
              <w:t xml:space="preserve">që përmbushin kërkesat e MFK-së. </w:t>
            </w:r>
          </w:p>
        </w:tc>
        <w:tc>
          <w:tcPr>
            <w:tcW w:w="654" w:type="pct"/>
            <w:tcBorders>
              <w:top w:val="single" w:sz="4" w:space="0" w:color="auto"/>
              <w:left w:val="single" w:sz="4" w:space="0" w:color="auto"/>
              <w:bottom w:val="single" w:sz="4" w:space="0" w:color="auto"/>
              <w:right w:val="single" w:sz="4" w:space="0" w:color="auto"/>
            </w:tcBorders>
            <w:vAlign w:val="center"/>
          </w:tcPr>
          <w:p w14:paraId="020EEF0E"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69%</w:t>
            </w:r>
          </w:p>
        </w:tc>
        <w:tc>
          <w:tcPr>
            <w:tcW w:w="655" w:type="pct"/>
            <w:tcBorders>
              <w:top w:val="single" w:sz="4" w:space="0" w:color="auto"/>
              <w:left w:val="single" w:sz="4" w:space="0" w:color="auto"/>
              <w:bottom w:val="single" w:sz="4" w:space="0" w:color="auto"/>
              <w:right w:val="single" w:sz="4" w:space="0" w:color="auto"/>
            </w:tcBorders>
            <w:vAlign w:val="center"/>
          </w:tcPr>
          <w:p w14:paraId="11F5A0C3"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70%</w:t>
            </w:r>
          </w:p>
        </w:tc>
        <w:tc>
          <w:tcPr>
            <w:tcW w:w="654" w:type="pct"/>
            <w:tcBorders>
              <w:top w:val="single" w:sz="4" w:space="0" w:color="auto"/>
              <w:left w:val="single" w:sz="4" w:space="0" w:color="auto"/>
              <w:bottom w:val="single" w:sz="4" w:space="0" w:color="auto"/>
              <w:right w:val="single" w:sz="4" w:space="0" w:color="auto"/>
            </w:tcBorders>
            <w:vAlign w:val="center"/>
          </w:tcPr>
          <w:p w14:paraId="172526EC"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72%</w:t>
            </w:r>
          </w:p>
        </w:tc>
        <w:tc>
          <w:tcPr>
            <w:tcW w:w="655" w:type="pct"/>
            <w:tcBorders>
              <w:top w:val="single" w:sz="4" w:space="0" w:color="auto"/>
              <w:left w:val="single" w:sz="4" w:space="0" w:color="auto"/>
              <w:bottom w:val="single" w:sz="4" w:space="0" w:color="auto"/>
              <w:right w:val="single" w:sz="4" w:space="0" w:color="auto"/>
            </w:tcBorders>
            <w:vAlign w:val="center"/>
          </w:tcPr>
          <w:p w14:paraId="0752DA32"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75%</w:t>
            </w:r>
          </w:p>
        </w:tc>
        <w:tc>
          <w:tcPr>
            <w:tcW w:w="655" w:type="pct"/>
            <w:tcBorders>
              <w:top w:val="single" w:sz="4" w:space="0" w:color="auto"/>
              <w:left w:val="single" w:sz="4" w:space="0" w:color="auto"/>
              <w:bottom w:val="single" w:sz="4" w:space="0" w:color="auto"/>
              <w:right w:val="single" w:sz="4" w:space="0" w:color="auto"/>
            </w:tcBorders>
            <w:vAlign w:val="center"/>
          </w:tcPr>
          <w:p w14:paraId="108954F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80%</w:t>
            </w:r>
          </w:p>
        </w:tc>
      </w:tr>
      <w:tr w:rsidR="004719D2" w:rsidRPr="004A47DC" w14:paraId="50186ADC" w14:textId="77777777" w:rsidTr="006D20A2">
        <w:trPr>
          <w:trHeight w:val="21"/>
        </w:trPr>
        <w:tc>
          <w:tcPr>
            <w:tcW w:w="1727" w:type="pct"/>
            <w:tcBorders>
              <w:top w:val="single" w:sz="4" w:space="0" w:color="auto"/>
              <w:left w:val="single" w:sz="4" w:space="0" w:color="auto"/>
              <w:bottom w:val="single" w:sz="4" w:space="0" w:color="auto"/>
              <w:right w:val="single" w:sz="4" w:space="0" w:color="auto"/>
            </w:tcBorders>
          </w:tcPr>
          <w:p w14:paraId="5DB6CA11" w14:textId="5784508D" w:rsidR="004719D2" w:rsidRPr="004A47DC" w:rsidRDefault="00FE42D4" w:rsidP="00FE42D4">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Përqindja e institucioneve publike që kanë të vendosur mekanizma adekuat të llogaridhënies menaxheriale.</w:t>
            </w:r>
          </w:p>
        </w:tc>
        <w:tc>
          <w:tcPr>
            <w:tcW w:w="654" w:type="pct"/>
            <w:tcBorders>
              <w:top w:val="single" w:sz="4" w:space="0" w:color="auto"/>
              <w:left w:val="single" w:sz="4" w:space="0" w:color="auto"/>
              <w:bottom w:val="single" w:sz="4" w:space="0" w:color="auto"/>
              <w:right w:val="single" w:sz="4" w:space="0" w:color="auto"/>
            </w:tcBorders>
            <w:vAlign w:val="center"/>
          </w:tcPr>
          <w:p w14:paraId="4872E623"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68%</w:t>
            </w:r>
          </w:p>
        </w:tc>
        <w:tc>
          <w:tcPr>
            <w:tcW w:w="655" w:type="pct"/>
            <w:tcBorders>
              <w:top w:val="single" w:sz="4" w:space="0" w:color="auto"/>
              <w:left w:val="single" w:sz="4" w:space="0" w:color="auto"/>
              <w:bottom w:val="single" w:sz="4" w:space="0" w:color="auto"/>
              <w:right w:val="single" w:sz="4" w:space="0" w:color="auto"/>
            </w:tcBorders>
            <w:vAlign w:val="center"/>
          </w:tcPr>
          <w:p w14:paraId="7AF39F22"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70%</w:t>
            </w:r>
          </w:p>
        </w:tc>
        <w:tc>
          <w:tcPr>
            <w:tcW w:w="654" w:type="pct"/>
            <w:tcBorders>
              <w:top w:val="single" w:sz="4" w:space="0" w:color="auto"/>
              <w:left w:val="single" w:sz="4" w:space="0" w:color="auto"/>
              <w:bottom w:val="single" w:sz="4" w:space="0" w:color="auto"/>
              <w:right w:val="single" w:sz="4" w:space="0" w:color="auto"/>
            </w:tcBorders>
            <w:vAlign w:val="center"/>
          </w:tcPr>
          <w:p w14:paraId="6F2CD40F"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72%</w:t>
            </w:r>
          </w:p>
        </w:tc>
        <w:tc>
          <w:tcPr>
            <w:tcW w:w="655" w:type="pct"/>
            <w:tcBorders>
              <w:top w:val="single" w:sz="4" w:space="0" w:color="auto"/>
              <w:left w:val="single" w:sz="4" w:space="0" w:color="auto"/>
              <w:bottom w:val="single" w:sz="4" w:space="0" w:color="auto"/>
              <w:right w:val="single" w:sz="4" w:space="0" w:color="auto"/>
            </w:tcBorders>
            <w:vAlign w:val="center"/>
          </w:tcPr>
          <w:p w14:paraId="25D03544"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75%</w:t>
            </w:r>
          </w:p>
        </w:tc>
        <w:tc>
          <w:tcPr>
            <w:tcW w:w="655" w:type="pct"/>
            <w:tcBorders>
              <w:top w:val="single" w:sz="4" w:space="0" w:color="auto"/>
              <w:left w:val="single" w:sz="4" w:space="0" w:color="auto"/>
              <w:bottom w:val="single" w:sz="4" w:space="0" w:color="auto"/>
              <w:right w:val="single" w:sz="4" w:space="0" w:color="auto"/>
            </w:tcBorders>
            <w:vAlign w:val="center"/>
          </w:tcPr>
          <w:p w14:paraId="3F98483F"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80%</w:t>
            </w:r>
          </w:p>
        </w:tc>
      </w:tr>
      <w:tr w:rsidR="004719D2" w:rsidRPr="004A47DC" w14:paraId="3177E3AC" w14:textId="77777777" w:rsidTr="006D20A2">
        <w:tc>
          <w:tcPr>
            <w:tcW w:w="1727" w:type="pct"/>
            <w:tcBorders>
              <w:top w:val="single" w:sz="4" w:space="0" w:color="auto"/>
              <w:left w:val="single" w:sz="4" w:space="0" w:color="auto"/>
              <w:bottom w:val="single" w:sz="4" w:space="0" w:color="auto"/>
              <w:right w:val="single" w:sz="4" w:space="0" w:color="auto"/>
            </w:tcBorders>
            <w:vAlign w:val="center"/>
          </w:tcPr>
          <w:p w14:paraId="53C848D2" w14:textId="39D2541B" w:rsidR="004719D2" w:rsidRPr="004A47DC" w:rsidRDefault="00FE42D4" w:rsidP="00FE42D4">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Ligji dhe aktet nënligjore të MFK-së janë ndryshuar dhe miratuar.</w:t>
            </w:r>
          </w:p>
        </w:tc>
        <w:tc>
          <w:tcPr>
            <w:tcW w:w="654" w:type="pct"/>
            <w:tcBorders>
              <w:top w:val="single" w:sz="4" w:space="0" w:color="auto"/>
              <w:left w:val="single" w:sz="4" w:space="0" w:color="auto"/>
              <w:bottom w:val="single" w:sz="4" w:space="0" w:color="auto"/>
              <w:right w:val="single" w:sz="4" w:space="0" w:color="auto"/>
            </w:tcBorders>
            <w:vAlign w:val="center"/>
          </w:tcPr>
          <w:p w14:paraId="459E846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ND</w:t>
            </w:r>
          </w:p>
        </w:tc>
        <w:tc>
          <w:tcPr>
            <w:tcW w:w="655" w:type="pct"/>
            <w:tcBorders>
              <w:top w:val="single" w:sz="4" w:space="0" w:color="auto"/>
              <w:left w:val="single" w:sz="4" w:space="0" w:color="auto"/>
              <w:bottom w:val="single" w:sz="4" w:space="0" w:color="auto"/>
              <w:right w:val="single" w:sz="4" w:space="0" w:color="auto"/>
            </w:tcBorders>
            <w:vAlign w:val="center"/>
          </w:tcPr>
          <w:p w14:paraId="6D49E3F1"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Ligji i MFK-së, manuali i MFK-së dhe udhëzimi për deklarimin dhe raportimin për cilësinë e sistemit të kontrollit të brendshëm të miratuar</w:t>
            </w:r>
          </w:p>
        </w:tc>
        <w:tc>
          <w:tcPr>
            <w:tcW w:w="654" w:type="pct"/>
            <w:tcBorders>
              <w:top w:val="single" w:sz="4" w:space="0" w:color="auto"/>
              <w:left w:val="single" w:sz="4" w:space="0" w:color="auto"/>
              <w:bottom w:val="single" w:sz="4" w:space="0" w:color="auto"/>
              <w:right w:val="single" w:sz="4" w:space="0" w:color="auto"/>
            </w:tcBorders>
            <w:vAlign w:val="center"/>
          </w:tcPr>
          <w:p w14:paraId="46BA78CE" w14:textId="72EA2FCE"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Metodologjia e vlerësimit të cilësisë së KB</w:t>
            </w:r>
            <w:r w:rsidR="002645BF">
              <w:rPr>
                <w:rFonts w:ascii="Garamond" w:hAnsi="Garamond"/>
                <w:sz w:val="16"/>
                <w:szCs w:val="16"/>
              </w:rPr>
              <w:t>-së</w:t>
            </w:r>
            <w:r w:rsidRPr="004A47DC">
              <w:rPr>
                <w:rFonts w:ascii="Garamond" w:hAnsi="Garamond" w:cs="Arial"/>
                <w:color w:val="000000" w:themeColor="text1"/>
                <w:sz w:val="16"/>
                <w:szCs w:val="16"/>
              </w:rPr>
              <w:t xml:space="preserve"> është miratuar</w:t>
            </w:r>
          </w:p>
        </w:tc>
        <w:tc>
          <w:tcPr>
            <w:tcW w:w="655" w:type="pct"/>
            <w:tcBorders>
              <w:top w:val="single" w:sz="4" w:space="0" w:color="auto"/>
              <w:left w:val="single" w:sz="4" w:space="0" w:color="auto"/>
              <w:bottom w:val="single" w:sz="4" w:space="0" w:color="auto"/>
              <w:right w:val="single" w:sz="4" w:space="0" w:color="auto"/>
            </w:tcBorders>
            <w:vAlign w:val="center"/>
          </w:tcPr>
          <w:p w14:paraId="7AB9522C"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Metodologjia për monitorimin e performancës së njësive të qeverisjes së përgjithshme është miratuar</w:t>
            </w:r>
          </w:p>
        </w:tc>
        <w:tc>
          <w:tcPr>
            <w:tcW w:w="655" w:type="pct"/>
            <w:tcBorders>
              <w:top w:val="single" w:sz="4" w:space="0" w:color="auto"/>
              <w:left w:val="single" w:sz="4" w:space="0" w:color="auto"/>
              <w:bottom w:val="single" w:sz="4" w:space="0" w:color="auto"/>
              <w:right w:val="single" w:sz="4" w:space="0" w:color="auto"/>
            </w:tcBorders>
            <w:vAlign w:val="center"/>
          </w:tcPr>
          <w:p w14:paraId="32924BEF" w14:textId="1D38E54E"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Ligji i MFK-së</w:t>
            </w:r>
            <w:r w:rsidR="002645BF">
              <w:rPr>
                <w:rFonts w:ascii="Garamond" w:hAnsi="Garamond" w:cs="Arial"/>
                <w:color w:val="000000" w:themeColor="text1"/>
                <w:sz w:val="16"/>
                <w:szCs w:val="16"/>
              </w:rPr>
              <w:t>,</w:t>
            </w:r>
            <w:r w:rsidRPr="004A47DC">
              <w:rPr>
                <w:rFonts w:ascii="Garamond" w:hAnsi="Garamond" w:cs="Arial"/>
                <w:color w:val="000000" w:themeColor="text1"/>
                <w:sz w:val="16"/>
                <w:szCs w:val="16"/>
              </w:rPr>
              <w:t xml:space="preserve"> i rishikuar</w:t>
            </w:r>
            <w:r w:rsidRPr="004A47DC">
              <w:rPr>
                <w:rStyle w:val="FootnoteReference"/>
                <w:rFonts w:ascii="Garamond" w:hAnsi="Garamond" w:cs="Arial"/>
                <w:color w:val="000000" w:themeColor="text1"/>
                <w:sz w:val="16"/>
                <w:szCs w:val="16"/>
              </w:rPr>
              <w:t xml:space="preserve"> </w:t>
            </w:r>
            <w:r w:rsidRPr="004A47DC">
              <w:rPr>
                <w:rStyle w:val="FootnoteReference"/>
                <w:rFonts w:ascii="Garamond" w:hAnsi="Garamond" w:cs="Arial"/>
                <w:color w:val="000000" w:themeColor="text1"/>
                <w:sz w:val="16"/>
                <w:szCs w:val="16"/>
              </w:rPr>
              <w:footnoteReference w:id="69"/>
            </w:r>
            <w:r w:rsidRPr="004A47DC">
              <w:rPr>
                <w:rFonts w:ascii="Garamond" w:hAnsi="Garamond" w:cs="Arial"/>
                <w:color w:val="000000" w:themeColor="text1"/>
                <w:sz w:val="16"/>
                <w:szCs w:val="16"/>
              </w:rPr>
              <w:t xml:space="preserve"> </w:t>
            </w:r>
          </w:p>
        </w:tc>
      </w:tr>
      <w:tr w:rsidR="004719D2" w:rsidRPr="004A47DC" w14:paraId="03FBC482" w14:textId="77777777" w:rsidTr="006D20A2">
        <w:tc>
          <w:tcPr>
            <w:tcW w:w="1727" w:type="pct"/>
            <w:tcBorders>
              <w:top w:val="single" w:sz="4" w:space="0" w:color="auto"/>
              <w:left w:val="single" w:sz="4" w:space="0" w:color="auto"/>
              <w:bottom w:val="single" w:sz="4" w:space="0" w:color="auto"/>
              <w:right w:val="single" w:sz="4" w:space="0" w:color="auto"/>
            </w:tcBorders>
          </w:tcPr>
          <w:p w14:paraId="5F65FAC6" w14:textId="50723D29" w:rsidR="004719D2" w:rsidRPr="004A47DC" w:rsidRDefault="00FE42D4" w:rsidP="00FE42D4">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Përqindja e institucioneve publike që kanë adoptuar të gjitha mjetet e menaxhimit të riskut.</w:t>
            </w:r>
          </w:p>
        </w:tc>
        <w:tc>
          <w:tcPr>
            <w:tcW w:w="654" w:type="pct"/>
            <w:tcBorders>
              <w:top w:val="single" w:sz="4" w:space="0" w:color="auto"/>
              <w:left w:val="single" w:sz="4" w:space="0" w:color="auto"/>
              <w:bottom w:val="single" w:sz="4" w:space="0" w:color="auto"/>
              <w:right w:val="single" w:sz="4" w:space="0" w:color="auto"/>
            </w:tcBorders>
            <w:vAlign w:val="center"/>
          </w:tcPr>
          <w:p w14:paraId="66526E18"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68%</w:t>
            </w:r>
          </w:p>
        </w:tc>
        <w:tc>
          <w:tcPr>
            <w:tcW w:w="655" w:type="pct"/>
            <w:tcBorders>
              <w:top w:val="single" w:sz="4" w:space="0" w:color="auto"/>
              <w:left w:val="single" w:sz="4" w:space="0" w:color="auto"/>
              <w:bottom w:val="single" w:sz="4" w:space="0" w:color="auto"/>
              <w:right w:val="single" w:sz="4" w:space="0" w:color="auto"/>
            </w:tcBorders>
            <w:vAlign w:val="center"/>
          </w:tcPr>
          <w:p w14:paraId="03568BB4"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70%</w:t>
            </w:r>
          </w:p>
        </w:tc>
        <w:tc>
          <w:tcPr>
            <w:tcW w:w="654" w:type="pct"/>
            <w:tcBorders>
              <w:top w:val="single" w:sz="4" w:space="0" w:color="auto"/>
              <w:left w:val="single" w:sz="4" w:space="0" w:color="auto"/>
              <w:bottom w:val="single" w:sz="4" w:space="0" w:color="auto"/>
              <w:right w:val="single" w:sz="4" w:space="0" w:color="auto"/>
            </w:tcBorders>
            <w:vAlign w:val="center"/>
          </w:tcPr>
          <w:p w14:paraId="2A3A2AF8"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72%</w:t>
            </w:r>
          </w:p>
        </w:tc>
        <w:tc>
          <w:tcPr>
            <w:tcW w:w="655" w:type="pct"/>
            <w:tcBorders>
              <w:top w:val="single" w:sz="4" w:space="0" w:color="auto"/>
              <w:left w:val="single" w:sz="4" w:space="0" w:color="auto"/>
              <w:bottom w:val="single" w:sz="4" w:space="0" w:color="auto"/>
              <w:right w:val="single" w:sz="4" w:space="0" w:color="auto"/>
            </w:tcBorders>
            <w:vAlign w:val="center"/>
          </w:tcPr>
          <w:p w14:paraId="148F36E0"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75%</w:t>
            </w:r>
          </w:p>
        </w:tc>
        <w:tc>
          <w:tcPr>
            <w:tcW w:w="655" w:type="pct"/>
            <w:tcBorders>
              <w:top w:val="single" w:sz="4" w:space="0" w:color="auto"/>
              <w:left w:val="single" w:sz="4" w:space="0" w:color="auto"/>
              <w:bottom w:val="single" w:sz="4" w:space="0" w:color="auto"/>
              <w:right w:val="single" w:sz="4" w:space="0" w:color="auto"/>
            </w:tcBorders>
            <w:vAlign w:val="center"/>
          </w:tcPr>
          <w:p w14:paraId="5538ED7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80%</w:t>
            </w:r>
          </w:p>
        </w:tc>
      </w:tr>
    </w:tbl>
    <w:p w14:paraId="6CAE5882" w14:textId="77777777" w:rsidR="004719D2" w:rsidRPr="004A47DC" w:rsidRDefault="004719D2" w:rsidP="004719D2">
      <w:pPr>
        <w:rPr>
          <w:rFonts w:ascii="Garamond" w:hAnsi="Garamond"/>
          <w:color w:val="000000" w:themeColor="text1"/>
        </w:rPr>
      </w:pPr>
    </w:p>
    <w:p w14:paraId="7C82AF38" w14:textId="5EF2872F" w:rsidR="004719D2" w:rsidRPr="004A47DC" w:rsidRDefault="00FE42D4" w:rsidP="00FE42D4">
      <w:pPr>
        <w:pStyle w:val="TEKSTIII"/>
        <w:rPr>
          <w:b/>
        </w:rPr>
      </w:pPr>
      <w:bookmarkStart w:id="42" w:name="_Toc150931563"/>
      <w:bookmarkStart w:id="43" w:name="_Toc168918699"/>
      <w:r w:rsidRPr="004A47DC">
        <w:rPr>
          <w:b/>
        </w:rPr>
        <w:t>6.3</w:t>
      </w:r>
      <w:r w:rsidR="002645BF">
        <w:rPr>
          <w:b/>
        </w:rPr>
        <w:t xml:space="preserve"> </w:t>
      </w:r>
      <w:r w:rsidR="004719D2" w:rsidRPr="004A47DC">
        <w:rPr>
          <w:b/>
        </w:rPr>
        <w:t>Komponenti 5.2</w:t>
      </w:r>
      <w:r w:rsidR="002645BF">
        <w:rPr>
          <w:b/>
        </w:rPr>
        <w:t>:</w:t>
      </w:r>
      <w:r w:rsidR="004719D2" w:rsidRPr="004A47DC">
        <w:rPr>
          <w:b/>
        </w:rPr>
        <w:t xml:space="preserve"> </w:t>
      </w:r>
      <w:bookmarkEnd w:id="42"/>
      <w:r w:rsidR="004719D2" w:rsidRPr="004A47DC">
        <w:rPr>
          <w:b/>
        </w:rPr>
        <w:t xml:space="preserve">Auditimi i </w:t>
      </w:r>
      <w:r w:rsidR="006D20A2" w:rsidRPr="004A47DC">
        <w:rPr>
          <w:b/>
        </w:rPr>
        <w:t>b</w:t>
      </w:r>
      <w:r w:rsidR="004719D2" w:rsidRPr="004A47DC">
        <w:rPr>
          <w:b/>
        </w:rPr>
        <w:t>rendshëm</w:t>
      </w:r>
      <w:bookmarkEnd w:id="43"/>
    </w:p>
    <w:p w14:paraId="6C069931" w14:textId="77777777" w:rsidR="004719D2" w:rsidRPr="004A47DC" w:rsidRDefault="004719D2" w:rsidP="00FE42D4">
      <w:pPr>
        <w:pStyle w:val="TEKSTIII"/>
        <w:rPr>
          <w:rStyle w:val="Strong"/>
          <w:rFonts w:ascii="Garamond" w:hAnsi="Garamond"/>
          <w:color w:val="auto"/>
          <w:sz w:val="24"/>
        </w:rPr>
      </w:pPr>
      <w:r w:rsidRPr="004A47DC">
        <w:rPr>
          <w:rStyle w:val="Strong"/>
          <w:rFonts w:ascii="Garamond" w:hAnsi="Garamond"/>
          <w:color w:val="auto"/>
          <w:sz w:val="24"/>
        </w:rPr>
        <w:t>Objektivi</w:t>
      </w:r>
    </w:p>
    <w:p w14:paraId="542FE489" w14:textId="2690C5DE" w:rsidR="004719D2" w:rsidRPr="004A47DC" w:rsidRDefault="004719D2" w:rsidP="00FE42D4">
      <w:pPr>
        <w:pStyle w:val="TEKSTIII"/>
      </w:pPr>
      <w:r w:rsidRPr="004A47DC">
        <w:rPr>
          <w:rStyle w:val="rynqvb"/>
          <w:color w:val="000000" w:themeColor="text1"/>
        </w:rPr>
        <w:t>Synimi për vitin 2030 është të sigurohet një auditim i brendshëm me vlerë të shtuar në të gjitha institucionet publike</w:t>
      </w:r>
      <w:r w:rsidR="00F853EB">
        <w:rPr>
          <w:rStyle w:val="rynqvb"/>
          <w:color w:val="000000" w:themeColor="text1"/>
        </w:rPr>
        <w:t>,</w:t>
      </w:r>
      <w:r w:rsidRPr="004A47DC">
        <w:rPr>
          <w:rStyle w:val="rynqvb"/>
          <w:color w:val="000000" w:themeColor="text1"/>
        </w:rPr>
        <w:t xml:space="preserve"> në përputhje me standardet ndërkombëtare. Kjo mund të arrihet nëpërmjet një funksioni të brendshëm të auditimit të brendshëm ose shërbimeve të përbashkëta, duke siguruar respektimin e standardeve të miratuara ndërkombëtarisht për auditimin e brendshëm.</w:t>
      </w:r>
      <w:r w:rsidRPr="004A47DC">
        <w:rPr>
          <w:rStyle w:val="hwtze"/>
          <w:color w:val="000000" w:themeColor="text1"/>
        </w:rPr>
        <w:t xml:space="preserve"> </w:t>
      </w:r>
      <w:r w:rsidRPr="004A47DC">
        <w:rPr>
          <w:rStyle w:val="rynqvb"/>
          <w:color w:val="000000" w:themeColor="text1"/>
        </w:rPr>
        <w:t>Objektivi është që të ofrohen rekomandime kuptimplota si për nivelin ekzekutiv të institucionit buxhetor ashtu edhe për komitetin e auditimit.</w:t>
      </w:r>
      <w:r w:rsidRPr="004A47DC">
        <w:rPr>
          <w:rStyle w:val="hwtze"/>
          <w:color w:val="000000" w:themeColor="text1"/>
        </w:rPr>
        <w:t xml:space="preserve"> </w:t>
      </w:r>
      <w:r w:rsidRPr="004A47DC">
        <w:rPr>
          <w:rStyle w:val="rynqvb"/>
          <w:color w:val="000000" w:themeColor="text1"/>
        </w:rPr>
        <w:t>Profesioni i auditimit do të nxjerrë më tej avantazhe nga integrimi i teknologjive dhe mjeteve di</w:t>
      </w:r>
      <w:r w:rsidR="006D20A2" w:rsidRPr="004A47DC">
        <w:rPr>
          <w:rStyle w:val="rynqvb"/>
          <w:color w:val="000000" w:themeColor="text1"/>
        </w:rPr>
        <w:t>gj</w:t>
      </w:r>
      <w:r w:rsidRPr="004A47DC">
        <w:rPr>
          <w:rStyle w:val="rynqvb"/>
          <w:color w:val="000000" w:themeColor="text1"/>
        </w:rPr>
        <w:t>itale, duke synuar optimizimin dhe përmirësimin e funksioneve të auditimit të brendshëm brenda organizatave qeveritare.</w:t>
      </w:r>
      <w:r w:rsidRPr="004A47DC">
        <w:rPr>
          <w:rStyle w:val="hwtze"/>
          <w:color w:val="000000" w:themeColor="text1"/>
        </w:rPr>
        <w:t xml:space="preserve"> </w:t>
      </w:r>
      <w:r w:rsidRPr="004A47DC">
        <w:rPr>
          <w:rStyle w:val="rynqvb"/>
          <w:color w:val="000000" w:themeColor="text1"/>
        </w:rPr>
        <w:t>Për më tepër, përmirësimi i kuadrit të certifikimit për audituesit e brendshëm dhe ofrimi i mundësive të zhvillimit profesional</w:t>
      </w:r>
      <w:r w:rsidR="00F853EB">
        <w:rPr>
          <w:rStyle w:val="rynqvb"/>
          <w:color w:val="000000" w:themeColor="text1"/>
        </w:rPr>
        <w:t>,</w:t>
      </w:r>
      <w:r w:rsidRPr="004A47DC">
        <w:rPr>
          <w:rStyle w:val="rynqvb"/>
          <w:color w:val="000000" w:themeColor="text1"/>
        </w:rPr>
        <w:t xml:space="preserve"> në nivel kombëtar dhe ndërkombëtar</w:t>
      </w:r>
      <w:r w:rsidR="00F853EB">
        <w:rPr>
          <w:rStyle w:val="rynqvb"/>
          <w:color w:val="000000" w:themeColor="text1"/>
        </w:rPr>
        <w:t>,</w:t>
      </w:r>
      <w:r w:rsidRPr="004A47DC">
        <w:rPr>
          <w:rStyle w:val="rynqvb"/>
          <w:color w:val="000000" w:themeColor="text1"/>
        </w:rPr>
        <w:t xml:space="preserve"> do të kontribuojë në përmirësimin e vazhdueshëm të profesionit.</w:t>
      </w:r>
    </w:p>
    <w:p w14:paraId="7D1F61C1" w14:textId="77777777" w:rsidR="004719D2" w:rsidRPr="004A47DC" w:rsidRDefault="004719D2" w:rsidP="00FE42D4">
      <w:pPr>
        <w:pStyle w:val="TEKSTIII"/>
        <w:rPr>
          <w:b/>
        </w:rPr>
      </w:pPr>
      <w:r w:rsidRPr="004A47DC">
        <w:rPr>
          <w:b/>
        </w:rPr>
        <w:t>Konteksti</w:t>
      </w:r>
    </w:p>
    <w:p w14:paraId="37F6117D" w14:textId="20FE6300" w:rsidR="004719D2" w:rsidRPr="004A47DC" w:rsidRDefault="004719D2" w:rsidP="00FE42D4">
      <w:pPr>
        <w:pStyle w:val="TEKSTIII"/>
      </w:pPr>
      <w:r w:rsidRPr="004A47DC">
        <w:t>Në vijim të analizës së mangësive të ligjit për auditimin e brendshëm kundrejt praktikave të mira ndërkombëtare, janë zhvilluar propozime për ndryshimin e ligjit për auditimin e brendshëm. Ndryshimet e propozuara në ligj përfshijnë: i</w:t>
      </w:r>
      <w:r w:rsidR="006D20A2" w:rsidRPr="004A47DC">
        <w:t>.</w:t>
      </w:r>
      <w:r w:rsidRPr="004A47DC">
        <w:t xml:space="preserve"> futjen e një mekanizmi për kontraktimin e funksionit të auditimit të brendshëm (shërbimi i auditimit) si një alternativë për punësimin e stafit të auditimit në njësinë publike; ii</w:t>
      </w:r>
      <w:r w:rsidR="006D20A2" w:rsidRPr="004A47DC">
        <w:t>.</w:t>
      </w:r>
      <w:r w:rsidRPr="004A47DC">
        <w:t xml:space="preserve"> ndryshimet në kriteret për emërimin e drejtuesit të </w:t>
      </w:r>
      <w:r w:rsidR="00F853EB" w:rsidRPr="004A47DC">
        <w:t xml:space="preserve">njësisë së auditimit </w:t>
      </w:r>
      <w:r w:rsidRPr="004A47DC">
        <w:t xml:space="preserve">të </w:t>
      </w:r>
      <w:r w:rsidR="00F853EB" w:rsidRPr="004A47DC">
        <w:t xml:space="preserve">brendshëm </w:t>
      </w:r>
      <w:r w:rsidRPr="004A47DC">
        <w:t>të një njësie publike (audituesi i lartë) dhe stafit vartës të auditimit (audituesit e rinj); iii</w:t>
      </w:r>
      <w:r w:rsidR="006D20A2" w:rsidRPr="004A47DC">
        <w:t>.</w:t>
      </w:r>
      <w:r w:rsidRPr="004A47DC">
        <w:t xml:space="preserve"> ndryshimet në sistemin e certifikimit: përveç audituesve të brendshëm edhe për specialistë të tjerë në fushën e financës dhe ekonomisë mund të certifikohen pas përfundimit të arsimit të nevojshëm dhe para se të emërohen si </w:t>
      </w:r>
      <w:r w:rsidR="00F853EB" w:rsidRPr="004A47DC">
        <w:t>auditues i brendshëm</w:t>
      </w:r>
      <w:r w:rsidRPr="004A47DC">
        <w:t>; iv</w:t>
      </w:r>
      <w:r w:rsidR="006D20A2" w:rsidRPr="004A47DC">
        <w:t>.</w:t>
      </w:r>
      <w:r w:rsidRPr="004A47DC">
        <w:t xml:space="preserve"> sqarimin e koncepteve për trajtimin e korrupsionit, mashtrimit apo parregullsive të vërejtura dhe rolin e audituesit të brendshëm dhe drejtuesit të njësisë publike</w:t>
      </w:r>
      <w:r w:rsidR="006D20A2" w:rsidRPr="004A47DC">
        <w:t>;</w:t>
      </w:r>
      <w:r w:rsidRPr="004A47DC">
        <w:t xml:space="preserve"> dhe v</w:t>
      </w:r>
      <w:r w:rsidR="006D20A2" w:rsidRPr="004A47DC">
        <w:t>.</w:t>
      </w:r>
      <w:r w:rsidRPr="004A47DC">
        <w:t xml:space="preserve"> specifikimin e mandatit dhe rolit të komiteteve të auditimit në njësitë publike. Institucionet buxhetore vazhdojnë të zhvillojnë dhe zbatojnë </w:t>
      </w:r>
      <w:r w:rsidR="00F853EB" w:rsidRPr="004A47DC">
        <w:t>plane për përmirësimin e sigurimit të cilësis</w:t>
      </w:r>
      <w:r w:rsidRPr="004A47DC">
        <w:t>ë (PPSC) dhe MF</w:t>
      </w:r>
      <w:r w:rsidR="00F853EB">
        <w:t>-ja</w:t>
      </w:r>
      <w:r w:rsidRPr="004A47DC">
        <w:t xml:space="preserve"> vazhdon të ofrojë </w:t>
      </w:r>
      <w:r w:rsidR="00F853EB" w:rsidRPr="004A47DC">
        <w:t>zhvillim të vazhdueshëm profesional</w:t>
      </w:r>
      <w:r w:rsidRPr="004A47DC">
        <w:t xml:space="preserve"> (ZHVP) dhe trajnime të tjera për </w:t>
      </w:r>
      <w:r w:rsidR="00F853EB" w:rsidRPr="004A47DC">
        <w:t xml:space="preserve">audituesit e brendshëm </w:t>
      </w:r>
      <w:r w:rsidRPr="004A47DC">
        <w:t>përmes programeve kombëtare dhe ndërkombëtare të trajnimit (CEF) dhe 90% e audituesve të brendshëm në shërbim aktiv janë të certifikuar.</w:t>
      </w:r>
    </w:p>
    <w:p w14:paraId="6F96211C" w14:textId="64597621" w:rsidR="004719D2" w:rsidRPr="004A47DC" w:rsidRDefault="004719D2" w:rsidP="00FE42D4">
      <w:pPr>
        <w:pStyle w:val="TEKSTIII"/>
      </w:pPr>
      <w:r w:rsidRPr="004A47DC">
        <w:rPr>
          <w:rStyle w:val="rynqvb"/>
          <w:color w:val="000000" w:themeColor="text1"/>
        </w:rPr>
        <w:t>Pavarësisht këtyre arritjeve, mbeten një sërë sfidash.</w:t>
      </w:r>
      <w:r w:rsidRPr="004A47DC">
        <w:rPr>
          <w:rStyle w:val="hwtze"/>
          <w:color w:val="000000" w:themeColor="text1"/>
        </w:rPr>
        <w:t xml:space="preserve"> </w:t>
      </w:r>
      <w:r w:rsidRPr="004A47DC">
        <w:rPr>
          <w:rStyle w:val="rynqvb"/>
          <w:color w:val="000000" w:themeColor="text1"/>
        </w:rPr>
        <w:t>Ende jo të gjitha institucionet publike kanë plotësuar me staf funksionin e auditimit të brendshëm ose nuk kanë kontraktuar funksionin e auditimit.</w:t>
      </w:r>
      <w:r w:rsidRPr="004A47DC">
        <w:rPr>
          <w:rStyle w:val="hwtze"/>
          <w:color w:val="000000" w:themeColor="text1"/>
        </w:rPr>
        <w:t xml:space="preserve"> </w:t>
      </w:r>
      <w:r w:rsidRPr="004A47DC">
        <w:rPr>
          <w:rStyle w:val="rynqvb"/>
          <w:color w:val="000000" w:themeColor="text1"/>
        </w:rPr>
        <w:t>Në disa institucione publike – veçanërisht në disa NJQV dhe institucione të nivelit dytësor të nivelit qendror, kapaciteti i ekipeve të auditimit të brendshëm mbetet i dobët.</w:t>
      </w:r>
      <w:r w:rsidRPr="004A47DC">
        <w:rPr>
          <w:rStyle w:val="hwtze"/>
          <w:color w:val="000000" w:themeColor="text1"/>
        </w:rPr>
        <w:t xml:space="preserve"> </w:t>
      </w:r>
      <w:r w:rsidRPr="004A47DC">
        <w:rPr>
          <w:rStyle w:val="rynqvb"/>
          <w:color w:val="000000" w:themeColor="text1"/>
        </w:rPr>
        <w:t>Gjithashtu, vlera e shtuar e auditimit të brendshëm kërkon përmirësim me auditimet financiare dhe të pajtueshmërisë që kulmojnë me raporte të forta auditimi</w:t>
      </w:r>
      <w:r w:rsidR="00F853EB">
        <w:rPr>
          <w:rStyle w:val="rynqvb"/>
          <w:color w:val="000000" w:themeColor="text1"/>
        </w:rPr>
        <w:t>,</w:t>
      </w:r>
      <w:r w:rsidRPr="004A47DC">
        <w:rPr>
          <w:rStyle w:val="rynqvb"/>
          <w:color w:val="000000" w:themeColor="text1"/>
        </w:rPr>
        <w:t xml:space="preserve"> që paraqesin një opinion të qartë auditimi dhe rekomandime praktike për përmirësimin e proceseve të MFK-së dhe biznesit.</w:t>
      </w:r>
      <w:r w:rsidRPr="004A47DC">
        <w:rPr>
          <w:rStyle w:val="hwtze"/>
          <w:color w:val="000000" w:themeColor="text1"/>
        </w:rPr>
        <w:t xml:space="preserve"> </w:t>
      </w:r>
      <w:r w:rsidRPr="004A47DC">
        <w:rPr>
          <w:rStyle w:val="rynqvb"/>
          <w:color w:val="000000" w:themeColor="text1"/>
        </w:rPr>
        <w:t xml:space="preserve">Më pas do të promovohet ndjekja e përshtatshme e rekomandimeve të auditimit nga niveli ekzekutiv i institucioneve buxhetore dhe </w:t>
      </w:r>
      <w:r w:rsidR="00F853EB" w:rsidRPr="004A47DC">
        <w:rPr>
          <w:rStyle w:val="rynqvb"/>
          <w:color w:val="000000" w:themeColor="text1"/>
        </w:rPr>
        <w:t xml:space="preserve">komitetet e auditimit </w:t>
      </w:r>
      <w:r w:rsidRPr="004A47DC">
        <w:rPr>
          <w:rStyle w:val="rynqvb"/>
          <w:color w:val="000000" w:themeColor="text1"/>
        </w:rPr>
        <w:t>duhet të forcohen për të sjellë një kontribut të frytshëm në përmirësimin e praktikave të menaxhimit financiar.</w:t>
      </w:r>
    </w:p>
    <w:p w14:paraId="0D0C69C4" w14:textId="5715AB7A" w:rsidR="004719D2" w:rsidRPr="004A47DC" w:rsidRDefault="004719D2" w:rsidP="00FE42D4">
      <w:pPr>
        <w:pStyle w:val="TEKSTIII"/>
      </w:pPr>
      <w:r w:rsidRPr="004A47DC">
        <w:t>Llojet më të avancuara të auditimit të brendshëm si auditimi i TI-së, auditimi i performancës, auditimi i të ardhurave dhe auditimi i projektit janë prezantuar pjesërisht. Kuadri i auditimit të bazuar në risk, në kombinim me parimet e parandalimit, zbulimit dhe adresimit të parregullsive të mundshme, mashtrimit dhe korrupsionit duhet të operacionalizohet dhe institucionalizohet më tej për të qenë plotësisht efektiv. Përmirësimi dhe ruajtja e kualifikimeve dhe aftësive profesionale të të gjithë kuadrit të auditimit të brendshëm mbetet sfidë dhe prioritet.</w:t>
      </w:r>
    </w:p>
    <w:p w14:paraId="7A6CBCB4" w14:textId="77777777" w:rsidR="004719D2" w:rsidRPr="004A47DC" w:rsidRDefault="004719D2" w:rsidP="00FE42D4">
      <w:pPr>
        <w:pStyle w:val="TEKSTIII"/>
        <w:rPr>
          <w:b/>
        </w:rPr>
      </w:pPr>
      <w:r w:rsidRPr="004A47DC">
        <w:rPr>
          <w:b/>
        </w:rPr>
        <w:t>Prioritetet</w:t>
      </w:r>
    </w:p>
    <w:p w14:paraId="38903CC1" w14:textId="479FE4A0" w:rsidR="004719D2" w:rsidRPr="004A47DC" w:rsidRDefault="004719D2" w:rsidP="00FE42D4">
      <w:pPr>
        <w:pStyle w:val="TEKSTIII"/>
      </w:pPr>
      <w:r w:rsidRPr="004A47DC">
        <w:t xml:space="preserve">Prioritetet për periudhën </w:t>
      </w:r>
      <w:r w:rsidR="00DB1D7E" w:rsidRPr="004A47DC">
        <w:t>2023–2026</w:t>
      </w:r>
      <w:r w:rsidRPr="004A47DC">
        <w:t xml:space="preserve"> janë:</w:t>
      </w:r>
    </w:p>
    <w:p w14:paraId="1077793B" w14:textId="28921147" w:rsidR="004719D2" w:rsidRPr="004A47DC" w:rsidRDefault="00FE42D4" w:rsidP="00FE42D4">
      <w:pPr>
        <w:pStyle w:val="TEKSTIII"/>
        <w:rPr>
          <w:color w:val="000000" w:themeColor="text1"/>
        </w:rPr>
      </w:pPr>
      <w:r w:rsidRPr="004A47DC">
        <w:rPr>
          <w:color w:val="000000" w:themeColor="text1"/>
        </w:rPr>
        <w:t>-</w:t>
      </w:r>
      <w:r w:rsidR="00F853EB">
        <w:rPr>
          <w:color w:val="000000" w:themeColor="text1"/>
        </w:rPr>
        <w:t xml:space="preserve"> </w:t>
      </w:r>
      <w:r w:rsidR="004719D2" w:rsidRPr="004A47DC">
        <w:rPr>
          <w:color w:val="000000" w:themeColor="text1"/>
        </w:rPr>
        <w:t>Sigurimi që shërbimet e auditimit të brendshëm ofrohen në çdo institucion buxhetor, qoftë përmes një funksioni të auditimit të brendshëm, modalitetit të përbashkët të shërbimeve të auditimit të brendshëm ose marrëveshjeve të tjera</w:t>
      </w:r>
      <w:r w:rsidR="00F853EB">
        <w:rPr>
          <w:color w:val="000000" w:themeColor="text1"/>
        </w:rPr>
        <w:t>;</w:t>
      </w:r>
    </w:p>
    <w:p w14:paraId="527279FD" w14:textId="4E4A081A" w:rsidR="004719D2" w:rsidRPr="004A47DC" w:rsidRDefault="00FE42D4" w:rsidP="00FE42D4">
      <w:pPr>
        <w:pStyle w:val="TEKSTIII"/>
        <w:rPr>
          <w:color w:val="000000" w:themeColor="text1"/>
        </w:rPr>
      </w:pPr>
      <w:r w:rsidRPr="004A47DC">
        <w:rPr>
          <w:color w:val="000000" w:themeColor="text1"/>
        </w:rPr>
        <w:t xml:space="preserve">- </w:t>
      </w:r>
      <w:r w:rsidR="004719D2" w:rsidRPr="004A47DC">
        <w:rPr>
          <w:color w:val="000000" w:themeColor="text1"/>
        </w:rPr>
        <w:t>Forcimi i praktikave të auditimeve financiare, të përputhshmërisë dhe të performancës për të siguruar që auditimi i brendshëm të sigurojë vlerë të shtuar të vërtetë</w:t>
      </w:r>
      <w:r w:rsidR="00F853EB">
        <w:rPr>
          <w:color w:val="000000" w:themeColor="text1"/>
        </w:rPr>
        <w:t>;</w:t>
      </w:r>
    </w:p>
    <w:p w14:paraId="0CBEC989" w14:textId="77693DC4" w:rsidR="004719D2" w:rsidRPr="004A47DC" w:rsidRDefault="00FE42D4" w:rsidP="00FE42D4">
      <w:pPr>
        <w:pStyle w:val="TEKSTIII"/>
        <w:rPr>
          <w:color w:val="000000" w:themeColor="text1"/>
        </w:rPr>
      </w:pPr>
      <w:r w:rsidRPr="004A47DC">
        <w:rPr>
          <w:color w:val="000000" w:themeColor="text1"/>
        </w:rPr>
        <w:t xml:space="preserve">- </w:t>
      </w:r>
      <w:r w:rsidR="004719D2" w:rsidRPr="004A47DC">
        <w:rPr>
          <w:color w:val="000000" w:themeColor="text1"/>
        </w:rPr>
        <w:t xml:space="preserve">Vazhdimi dhe përmirësimi i angazhimit të </w:t>
      </w:r>
      <w:r w:rsidR="00F853EB" w:rsidRPr="004A47DC">
        <w:rPr>
          <w:color w:val="000000" w:themeColor="text1"/>
        </w:rPr>
        <w:t xml:space="preserve">nivelit ekzekutiv </w:t>
      </w:r>
      <w:r w:rsidR="004719D2" w:rsidRPr="004A47DC">
        <w:rPr>
          <w:color w:val="000000" w:themeColor="text1"/>
        </w:rPr>
        <w:t xml:space="preserve">të institucioneve buxhetore për ndjekjen e rekomandimeve të </w:t>
      </w:r>
      <w:r w:rsidR="00F853EB" w:rsidRPr="004A47DC">
        <w:rPr>
          <w:color w:val="000000" w:themeColor="text1"/>
        </w:rPr>
        <w:t>audituesve të brendshëm, audituesve të jashtëm, dhe krijimin e komiteteve efektive të auditimit.</w:t>
      </w:r>
    </w:p>
    <w:p w14:paraId="0E465275" w14:textId="77777777" w:rsidR="004719D2" w:rsidRPr="004A47DC" w:rsidRDefault="004719D2" w:rsidP="004719D2">
      <w:pPr>
        <w:rPr>
          <w:rFonts w:ascii="Garamond" w:hAnsi="Garamond"/>
          <w:color w:val="000000" w:themeColor="text1"/>
        </w:rPr>
      </w:pPr>
    </w:p>
    <w:p w14:paraId="3AD60322" w14:textId="77777777" w:rsidR="004719D2" w:rsidRPr="004A47DC" w:rsidRDefault="004719D2" w:rsidP="004719D2">
      <w:pPr>
        <w:pStyle w:val="H5"/>
        <w:spacing w:after="0" w:line="240" w:lineRule="auto"/>
        <w:rPr>
          <w:rFonts w:ascii="Garamond" w:hAnsi="Garamond"/>
          <w:color w:val="000000" w:themeColor="text1"/>
          <w:sz w:val="24"/>
        </w:rPr>
      </w:pPr>
      <w:r w:rsidRPr="004A47DC">
        <w:rPr>
          <w:rStyle w:val="rynqvb"/>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595"/>
        <w:gridCol w:w="3742"/>
        <w:gridCol w:w="687"/>
        <w:gridCol w:w="854"/>
        <w:gridCol w:w="1183"/>
      </w:tblGrid>
      <w:tr w:rsidR="004719D2" w:rsidRPr="004A47DC" w14:paraId="29E807E4" w14:textId="77777777" w:rsidTr="006D20A2">
        <w:trPr>
          <w:cantSplit/>
          <w:trHeight w:val="20"/>
          <w:tblHeader/>
        </w:trPr>
        <w:tc>
          <w:tcPr>
            <w:tcW w:w="1432" w:type="pct"/>
            <w:shd w:val="clear" w:color="auto" w:fill="D9D9D9" w:themeFill="background1" w:themeFillShade="D9"/>
            <w:vAlign w:val="center"/>
          </w:tcPr>
          <w:p w14:paraId="3F4304C5"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2065" w:type="pct"/>
            <w:shd w:val="clear" w:color="auto" w:fill="D9D9D9" w:themeFill="background1" w:themeFillShade="D9"/>
            <w:vAlign w:val="center"/>
          </w:tcPr>
          <w:p w14:paraId="091AD61B"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79" w:type="pct"/>
            <w:shd w:val="clear" w:color="auto" w:fill="D9D9D9" w:themeFill="background1" w:themeFillShade="D9"/>
            <w:vAlign w:val="center"/>
          </w:tcPr>
          <w:p w14:paraId="659489CC"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0E773599"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653" w:type="pct"/>
            <w:shd w:val="clear" w:color="auto" w:fill="D9D9D9" w:themeFill="background1" w:themeFillShade="D9"/>
            <w:vAlign w:val="center"/>
          </w:tcPr>
          <w:p w14:paraId="0E4FE3EF" w14:textId="77777777" w:rsidR="004719D2" w:rsidRPr="004A47DC" w:rsidRDefault="004719D2" w:rsidP="006D20A2">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5DA41EA3" w14:textId="77777777" w:rsidTr="006D20A2">
        <w:trPr>
          <w:trHeight w:val="20"/>
        </w:trPr>
        <w:tc>
          <w:tcPr>
            <w:tcW w:w="1432" w:type="pct"/>
            <w:vMerge w:val="restart"/>
            <w:shd w:val="clear" w:color="auto" w:fill="auto"/>
          </w:tcPr>
          <w:p w14:paraId="458374EB"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5.2.1 </w:t>
            </w:r>
            <w:r w:rsidRPr="004A47DC">
              <w:rPr>
                <w:rStyle w:val="rynqvb"/>
                <w:rFonts w:ascii="Garamond" w:hAnsi="Garamond"/>
                <w:color w:val="000000" w:themeColor="text1"/>
              </w:rPr>
              <w:t>Vazhdimi i mbikëqyrjes dhe zgjerimi i shërbimeve mbështetëse për institucionet publike dhe ekipet e auditimit të brendshëm</w:t>
            </w:r>
          </w:p>
        </w:tc>
        <w:tc>
          <w:tcPr>
            <w:tcW w:w="2065" w:type="pct"/>
          </w:tcPr>
          <w:p w14:paraId="5F2932F6" w14:textId="5081AC35" w:rsidR="004719D2" w:rsidRPr="004A47DC" w:rsidRDefault="0040094D" w:rsidP="008E471A">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Zhvillimi i mjeteve dhe mekanizmave për kontraktimin e shërbimeve të auditimit të brendshëm ose krijimi i shërbimeve të përbashkëta të auditimit të brendshëm dhe ofrimi i mbështetjes për institucionet publike që nuk kanë një ekip të auditimit të brendshëm për të përdorur këto mekanizma.</w:t>
            </w:r>
          </w:p>
        </w:tc>
        <w:tc>
          <w:tcPr>
            <w:tcW w:w="379" w:type="pct"/>
            <w:vAlign w:val="center"/>
          </w:tcPr>
          <w:p w14:paraId="4A94EE2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p w14:paraId="4E81C98D" w14:textId="77777777" w:rsidR="004719D2" w:rsidRPr="004A47DC" w:rsidRDefault="004719D2" w:rsidP="00CF7CEC">
            <w:pPr>
              <w:jc w:val="center"/>
              <w:rPr>
                <w:rFonts w:ascii="Garamond" w:hAnsi="Garamond"/>
                <w:color w:val="000000" w:themeColor="text1"/>
                <w:sz w:val="16"/>
                <w:szCs w:val="16"/>
              </w:rPr>
            </w:pPr>
          </w:p>
        </w:tc>
        <w:tc>
          <w:tcPr>
            <w:tcW w:w="471" w:type="pct"/>
            <w:vAlign w:val="center"/>
          </w:tcPr>
          <w:p w14:paraId="641E0F9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2023</w:t>
            </w:r>
          </w:p>
          <w:p w14:paraId="70483CB6" w14:textId="77777777" w:rsidR="004719D2" w:rsidRPr="004A47DC" w:rsidRDefault="004719D2" w:rsidP="00CF7CEC">
            <w:pPr>
              <w:jc w:val="center"/>
              <w:rPr>
                <w:rFonts w:ascii="Garamond" w:hAnsi="Garamond"/>
                <w:color w:val="000000" w:themeColor="text1"/>
                <w:sz w:val="16"/>
                <w:szCs w:val="16"/>
              </w:rPr>
            </w:pPr>
          </w:p>
        </w:tc>
        <w:tc>
          <w:tcPr>
            <w:tcW w:w="653" w:type="pct"/>
            <w:vMerge w:val="restart"/>
          </w:tcPr>
          <w:p w14:paraId="1E4E08C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32B495E3" w14:textId="36985C8C"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DHAB</w:t>
            </w:r>
            <w:r w:rsidR="00F853EB">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54E6F124"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ABDDD73"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r w:rsidRPr="004A47DC">
              <w:rPr>
                <w:rStyle w:val="FootnoteReference"/>
                <w:rFonts w:ascii="Garamond" w:hAnsi="Garamond"/>
                <w:color w:val="000000" w:themeColor="text1"/>
                <w:sz w:val="16"/>
                <w:szCs w:val="16"/>
              </w:rPr>
              <w:t xml:space="preserve"> </w:t>
            </w:r>
          </w:p>
          <w:p w14:paraId="20E569C8" w14:textId="2D8343F9"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F853EB">
              <w:rPr>
                <w:rFonts w:ascii="Garamond" w:hAnsi="Garamond" w:cs="Arial"/>
                <w:color w:val="000000" w:themeColor="text1"/>
                <w:sz w:val="16"/>
                <w:szCs w:val="16"/>
              </w:rPr>
              <w:t>-ja</w:t>
            </w:r>
            <w:r w:rsidRPr="004A47DC">
              <w:rPr>
                <w:rFonts w:ascii="Garamond" w:hAnsi="Garamond" w:cs="Arial"/>
                <w:color w:val="000000" w:themeColor="text1"/>
                <w:sz w:val="16"/>
                <w:szCs w:val="16"/>
              </w:rPr>
              <w:t>, SIGMA</w:t>
            </w:r>
            <w:r w:rsidRPr="004A47DC">
              <w:rPr>
                <w:rStyle w:val="FootnoteReference"/>
                <w:rFonts w:ascii="Garamond" w:hAnsi="Garamond"/>
                <w:color w:val="000000" w:themeColor="text1"/>
                <w:sz w:val="16"/>
                <w:szCs w:val="16"/>
              </w:rPr>
              <w:footnoteReference w:id="70"/>
            </w:r>
          </w:p>
          <w:p w14:paraId="1C17F1CE" w14:textId="77777777" w:rsidR="004719D2" w:rsidRPr="004A47DC" w:rsidRDefault="004719D2" w:rsidP="00CF7CEC">
            <w:pPr>
              <w:pStyle w:val="EcorysBody"/>
              <w:spacing w:line="240" w:lineRule="auto"/>
              <w:rPr>
                <w:rFonts w:ascii="Garamond" w:hAnsi="Garamond"/>
                <w:color w:val="000000" w:themeColor="text1"/>
                <w:sz w:val="16"/>
                <w:szCs w:val="16"/>
              </w:rPr>
            </w:pPr>
          </w:p>
        </w:tc>
      </w:tr>
      <w:tr w:rsidR="004719D2" w:rsidRPr="004A47DC" w14:paraId="5B2055BE" w14:textId="77777777" w:rsidTr="006D20A2">
        <w:trPr>
          <w:trHeight w:val="20"/>
        </w:trPr>
        <w:tc>
          <w:tcPr>
            <w:tcW w:w="1432" w:type="pct"/>
            <w:vMerge/>
            <w:shd w:val="clear" w:color="auto" w:fill="auto"/>
          </w:tcPr>
          <w:p w14:paraId="7C3832E5"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130579AC" w14:textId="382B3E65" w:rsidR="004719D2" w:rsidRPr="004A47DC" w:rsidRDefault="0040094D" w:rsidP="008E471A">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Përmirësimi i sistemit të menaxhimit të sigurimit të cilësisë, në mënyrë që të sigurohet monitorim efektiv i punës së auditimit të brendshëm në njësitë e sektorit publik.</w:t>
            </w:r>
          </w:p>
        </w:tc>
        <w:tc>
          <w:tcPr>
            <w:tcW w:w="379" w:type="pct"/>
            <w:vAlign w:val="center"/>
          </w:tcPr>
          <w:p w14:paraId="5419865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471" w:type="pct"/>
            <w:vAlign w:val="center"/>
          </w:tcPr>
          <w:p w14:paraId="72437CB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53" w:type="pct"/>
            <w:vMerge/>
          </w:tcPr>
          <w:p w14:paraId="221357E9" w14:textId="77777777" w:rsidR="004719D2" w:rsidRPr="004A47DC" w:rsidRDefault="004719D2" w:rsidP="00CF7CEC">
            <w:pPr>
              <w:rPr>
                <w:rFonts w:ascii="Garamond" w:hAnsi="Garamond"/>
                <w:color w:val="000000" w:themeColor="text1"/>
                <w:sz w:val="16"/>
                <w:szCs w:val="16"/>
              </w:rPr>
            </w:pPr>
          </w:p>
        </w:tc>
      </w:tr>
      <w:tr w:rsidR="004719D2" w:rsidRPr="004A47DC" w14:paraId="772AED99" w14:textId="77777777" w:rsidTr="006D20A2">
        <w:trPr>
          <w:trHeight w:val="20"/>
        </w:trPr>
        <w:tc>
          <w:tcPr>
            <w:tcW w:w="1432" w:type="pct"/>
            <w:vMerge/>
            <w:shd w:val="clear" w:color="auto" w:fill="auto"/>
          </w:tcPr>
          <w:p w14:paraId="02863A89"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72804B72" w14:textId="7ED02D27" w:rsidR="004719D2" w:rsidRPr="004A47DC" w:rsidRDefault="0040094D" w:rsidP="008E471A">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Përditësimi i ligjit për auditimin e brendshëm për të lehtësuar reformën në fushën e auditimit të brendshëm.</w:t>
            </w:r>
          </w:p>
        </w:tc>
        <w:tc>
          <w:tcPr>
            <w:tcW w:w="379" w:type="pct"/>
            <w:vAlign w:val="center"/>
          </w:tcPr>
          <w:p w14:paraId="3EDB3EA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7BFFE00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653" w:type="pct"/>
            <w:vMerge/>
          </w:tcPr>
          <w:p w14:paraId="2242C922" w14:textId="77777777" w:rsidR="004719D2" w:rsidRPr="004A47DC" w:rsidRDefault="004719D2" w:rsidP="00CF7CEC">
            <w:pPr>
              <w:rPr>
                <w:rFonts w:ascii="Garamond" w:hAnsi="Garamond"/>
                <w:color w:val="000000" w:themeColor="text1"/>
                <w:sz w:val="16"/>
                <w:szCs w:val="16"/>
              </w:rPr>
            </w:pPr>
          </w:p>
        </w:tc>
      </w:tr>
      <w:tr w:rsidR="004719D2" w:rsidRPr="004A47DC" w14:paraId="33339700" w14:textId="77777777" w:rsidTr="006D20A2">
        <w:trPr>
          <w:trHeight w:val="20"/>
        </w:trPr>
        <w:tc>
          <w:tcPr>
            <w:tcW w:w="1432" w:type="pct"/>
            <w:vMerge/>
            <w:shd w:val="clear" w:color="auto" w:fill="auto"/>
          </w:tcPr>
          <w:p w14:paraId="44E9F507"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5E69DD7D" w14:textId="3989F803" w:rsidR="004719D2" w:rsidRPr="004A47DC" w:rsidRDefault="0040094D" w:rsidP="008E471A">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 xml:space="preserve">Ngritja e kapaciteteve të </w:t>
            </w:r>
            <w:r w:rsidR="00F853EB" w:rsidRPr="004A47DC">
              <w:rPr>
                <w:rFonts w:ascii="Garamond" w:hAnsi="Garamond"/>
                <w:sz w:val="16"/>
                <w:szCs w:val="16"/>
              </w:rPr>
              <w:t xml:space="preserve">komiteteve të auditimit </w:t>
            </w:r>
            <w:r w:rsidR="004719D2" w:rsidRPr="004A47DC">
              <w:rPr>
                <w:rFonts w:ascii="Garamond" w:hAnsi="Garamond"/>
                <w:sz w:val="16"/>
                <w:szCs w:val="16"/>
              </w:rPr>
              <w:t>përmes aktiviteteve të personalizuara të trajnimit.</w:t>
            </w:r>
          </w:p>
        </w:tc>
        <w:tc>
          <w:tcPr>
            <w:tcW w:w="379" w:type="pct"/>
            <w:vAlign w:val="center"/>
          </w:tcPr>
          <w:p w14:paraId="1E62FD5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569DF94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53" w:type="pct"/>
            <w:vMerge/>
          </w:tcPr>
          <w:p w14:paraId="056FF5C1" w14:textId="77777777" w:rsidR="004719D2" w:rsidRPr="004A47DC" w:rsidRDefault="004719D2" w:rsidP="00CF7CEC">
            <w:pPr>
              <w:rPr>
                <w:rFonts w:ascii="Garamond" w:hAnsi="Garamond"/>
                <w:color w:val="000000" w:themeColor="text1"/>
                <w:sz w:val="16"/>
                <w:szCs w:val="16"/>
              </w:rPr>
            </w:pPr>
          </w:p>
        </w:tc>
      </w:tr>
      <w:tr w:rsidR="004719D2" w:rsidRPr="004A47DC" w14:paraId="566E3317" w14:textId="77777777" w:rsidTr="006D20A2">
        <w:trPr>
          <w:trHeight w:val="20"/>
        </w:trPr>
        <w:tc>
          <w:tcPr>
            <w:tcW w:w="1432" w:type="pct"/>
            <w:vMerge/>
            <w:shd w:val="clear" w:color="auto" w:fill="auto"/>
          </w:tcPr>
          <w:p w14:paraId="5D34A314"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47612C6D" w14:textId="7CFC4B60" w:rsidR="004719D2" w:rsidRPr="004A47DC" w:rsidRDefault="0040094D" w:rsidP="008E471A">
            <w:pPr>
              <w:rPr>
                <w:rFonts w:ascii="Garamond" w:hAnsi="Garamond"/>
                <w:sz w:val="16"/>
                <w:szCs w:val="16"/>
              </w:rPr>
            </w:pPr>
            <w:r w:rsidRPr="004A47DC">
              <w:rPr>
                <w:rFonts w:ascii="Garamond" w:hAnsi="Garamond"/>
                <w:sz w:val="16"/>
                <w:szCs w:val="16"/>
              </w:rPr>
              <w:t xml:space="preserve">5. </w:t>
            </w:r>
            <w:r w:rsidR="004719D2" w:rsidRPr="004A47DC">
              <w:rPr>
                <w:rFonts w:ascii="Garamond" w:hAnsi="Garamond"/>
                <w:sz w:val="16"/>
                <w:szCs w:val="16"/>
              </w:rPr>
              <w:t>Rishikimi i opsioneve për futjen e softuerit të auditimit të brendshëm</w:t>
            </w:r>
            <w:r w:rsidR="00F853EB">
              <w:rPr>
                <w:rFonts w:ascii="Garamond" w:hAnsi="Garamond"/>
                <w:sz w:val="16"/>
                <w:szCs w:val="16"/>
              </w:rPr>
              <w:t>,</w:t>
            </w:r>
            <w:r w:rsidR="004719D2" w:rsidRPr="004A47DC">
              <w:rPr>
                <w:rFonts w:ascii="Garamond" w:hAnsi="Garamond"/>
                <w:sz w:val="16"/>
                <w:szCs w:val="16"/>
              </w:rPr>
              <w:t xml:space="preserve"> për të lehtësuar punën e ekipeve të auditimit të brendshëm. </w:t>
            </w:r>
          </w:p>
        </w:tc>
        <w:tc>
          <w:tcPr>
            <w:tcW w:w="379" w:type="pct"/>
            <w:vAlign w:val="center"/>
          </w:tcPr>
          <w:p w14:paraId="75F23C98"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2026</w:t>
            </w:r>
          </w:p>
        </w:tc>
        <w:tc>
          <w:tcPr>
            <w:tcW w:w="471" w:type="pct"/>
            <w:vAlign w:val="center"/>
          </w:tcPr>
          <w:p w14:paraId="690B7BB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53" w:type="pct"/>
            <w:vMerge/>
          </w:tcPr>
          <w:p w14:paraId="789710D8" w14:textId="77777777" w:rsidR="004719D2" w:rsidRPr="004A47DC" w:rsidRDefault="004719D2" w:rsidP="00CF7CEC">
            <w:pPr>
              <w:rPr>
                <w:rFonts w:ascii="Garamond" w:hAnsi="Garamond"/>
                <w:color w:val="000000" w:themeColor="text1"/>
                <w:sz w:val="16"/>
                <w:szCs w:val="16"/>
              </w:rPr>
            </w:pPr>
          </w:p>
        </w:tc>
      </w:tr>
      <w:tr w:rsidR="004719D2" w:rsidRPr="004A47DC" w14:paraId="06448BC3" w14:textId="77777777" w:rsidTr="006D20A2">
        <w:trPr>
          <w:trHeight w:val="20"/>
        </w:trPr>
        <w:tc>
          <w:tcPr>
            <w:tcW w:w="1432" w:type="pct"/>
            <w:vMerge w:val="restart"/>
            <w:shd w:val="clear" w:color="auto" w:fill="auto"/>
          </w:tcPr>
          <w:p w14:paraId="5CAAE6AD"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5.2.2 Profesionalizimi i praktikave thelbësore të auditimit të brendshëm përmes zhvillimit të udhëzimeve dhe ofrimit të aktiviteteve për ngritjen e kapaciteteve</w:t>
            </w:r>
          </w:p>
        </w:tc>
        <w:tc>
          <w:tcPr>
            <w:tcW w:w="2065" w:type="pct"/>
          </w:tcPr>
          <w:p w14:paraId="23605537" w14:textId="366FB7D9" w:rsidR="004719D2" w:rsidRPr="004A47DC" w:rsidRDefault="0040094D" w:rsidP="008E471A">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Zhvillimi i </w:t>
            </w:r>
            <w:r w:rsidR="00F853EB" w:rsidRPr="004A47DC">
              <w:rPr>
                <w:rFonts w:ascii="Garamond" w:hAnsi="Garamond"/>
                <w:sz w:val="16"/>
                <w:szCs w:val="16"/>
              </w:rPr>
              <w:t xml:space="preserve">manualit </w:t>
            </w:r>
            <w:r w:rsidR="004719D2" w:rsidRPr="004A47DC">
              <w:rPr>
                <w:rFonts w:ascii="Garamond" w:hAnsi="Garamond"/>
                <w:sz w:val="16"/>
                <w:szCs w:val="16"/>
              </w:rPr>
              <w:t>të ri të AB</w:t>
            </w:r>
            <w:r w:rsidR="00F853EB">
              <w:rPr>
                <w:rFonts w:ascii="Garamond" w:hAnsi="Garamond"/>
                <w:sz w:val="16"/>
                <w:szCs w:val="16"/>
              </w:rPr>
              <w:t>-së,</w:t>
            </w:r>
            <w:r w:rsidR="004719D2" w:rsidRPr="004A47DC">
              <w:rPr>
                <w:rFonts w:ascii="Garamond" w:hAnsi="Garamond"/>
                <w:sz w:val="16"/>
                <w:szCs w:val="16"/>
              </w:rPr>
              <w:t xml:space="preserve"> në kuadër të </w:t>
            </w:r>
            <w:r w:rsidR="00F853EB" w:rsidRPr="004A47DC">
              <w:rPr>
                <w:rFonts w:ascii="Garamond" w:hAnsi="Garamond"/>
                <w:sz w:val="16"/>
                <w:szCs w:val="16"/>
              </w:rPr>
              <w:t>standardeve globale të auditimit të brendshëm së fund</w:t>
            </w:r>
            <w:r w:rsidR="004719D2" w:rsidRPr="004A47DC">
              <w:rPr>
                <w:rFonts w:ascii="Garamond" w:hAnsi="Garamond"/>
                <w:sz w:val="16"/>
                <w:szCs w:val="16"/>
              </w:rPr>
              <w:t>mi, të nxjerra nga SNAB</w:t>
            </w:r>
            <w:r w:rsidR="004719D2" w:rsidRPr="004A47DC">
              <w:rPr>
                <w:rFonts w:ascii="Garamond" w:hAnsi="Garamond"/>
                <w:sz w:val="16"/>
                <w:szCs w:val="16"/>
              </w:rPr>
              <w:footnoteReference w:id="71"/>
            </w:r>
            <w:r w:rsidR="004719D2" w:rsidRPr="004A47DC">
              <w:rPr>
                <w:rFonts w:ascii="Garamond" w:hAnsi="Garamond"/>
                <w:sz w:val="16"/>
                <w:szCs w:val="16"/>
              </w:rPr>
              <w:t>.</w:t>
            </w:r>
          </w:p>
        </w:tc>
        <w:tc>
          <w:tcPr>
            <w:tcW w:w="379" w:type="pct"/>
            <w:vAlign w:val="center"/>
          </w:tcPr>
          <w:p w14:paraId="41B1D4B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471" w:type="pct"/>
            <w:vAlign w:val="center"/>
          </w:tcPr>
          <w:p w14:paraId="5E39E04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53" w:type="pct"/>
            <w:vMerge w:val="restart"/>
          </w:tcPr>
          <w:p w14:paraId="6D5E947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607225F7" w14:textId="1FD36414"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DHAB</w:t>
            </w:r>
            <w:r w:rsidR="00F853EB">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16277071"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02114E42"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6CF3FE15" w14:textId="6DC8DC2F" w:rsidR="004719D2" w:rsidRPr="004A47DC" w:rsidRDefault="00F853EB" w:rsidP="00CF7CEC">
            <w:pPr>
              <w:pStyle w:val="EcorysBody"/>
              <w:spacing w:line="240" w:lineRule="auto"/>
              <w:rPr>
                <w:rFonts w:ascii="Garamond" w:hAnsi="Garamond" w:cs="Arial"/>
                <w:color w:val="000000" w:themeColor="text1"/>
                <w:sz w:val="16"/>
                <w:szCs w:val="16"/>
              </w:rPr>
            </w:pPr>
            <w:r>
              <w:rPr>
                <w:rFonts w:ascii="Garamond" w:hAnsi="Garamond" w:cs="Arial"/>
                <w:color w:val="000000" w:themeColor="text1"/>
                <w:sz w:val="16"/>
                <w:szCs w:val="16"/>
              </w:rPr>
              <w:t>-ja</w:t>
            </w:r>
          </w:p>
          <w:p w14:paraId="6767701A" w14:textId="77777777" w:rsidR="004719D2" w:rsidRPr="004A47DC" w:rsidRDefault="004719D2" w:rsidP="00CF7CEC">
            <w:pPr>
              <w:rPr>
                <w:rFonts w:ascii="Garamond" w:hAnsi="Garamond"/>
                <w:color w:val="000000" w:themeColor="text1"/>
                <w:sz w:val="16"/>
                <w:szCs w:val="16"/>
              </w:rPr>
            </w:pPr>
          </w:p>
        </w:tc>
      </w:tr>
      <w:tr w:rsidR="004719D2" w:rsidRPr="004A47DC" w14:paraId="2AEFEE11" w14:textId="77777777" w:rsidTr="006D20A2">
        <w:trPr>
          <w:trHeight w:val="20"/>
        </w:trPr>
        <w:tc>
          <w:tcPr>
            <w:tcW w:w="1432" w:type="pct"/>
            <w:vMerge/>
            <w:shd w:val="clear" w:color="auto" w:fill="auto"/>
          </w:tcPr>
          <w:p w14:paraId="0EB2640D"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6CB500A4" w14:textId="75E63E7C" w:rsidR="004719D2" w:rsidRPr="004A47DC" w:rsidRDefault="0040094D" w:rsidP="008E471A">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 xml:space="preserve">Zhvillimi/përditësimi i </w:t>
            </w:r>
            <w:r w:rsidR="00F853EB" w:rsidRPr="004A47DC">
              <w:rPr>
                <w:rFonts w:ascii="Garamond" w:hAnsi="Garamond"/>
                <w:sz w:val="16"/>
                <w:szCs w:val="16"/>
              </w:rPr>
              <w:t xml:space="preserve">programit të trajnimit të trajnerëve mbi manualin e ri të auditimit të brendshëm </w:t>
            </w:r>
            <w:r w:rsidR="004719D2" w:rsidRPr="004A47DC">
              <w:rPr>
                <w:rFonts w:ascii="Garamond" w:hAnsi="Garamond"/>
                <w:sz w:val="16"/>
                <w:szCs w:val="16"/>
              </w:rPr>
              <w:t>dhe SGAB</w:t>
            </w:r>
            <w:r w:rsidR="004719D2" w:rsidRPr="004A47DC">
              <w:rPr>
                <w:rFonts w:ascii="Garamond" w:hAnsi="Garamond"/>
                <w:sz w:val="16"/>
                <w:szCs w:val="16"/>
              </w:rPr>
              <w:footnoteReference w:id="72"/>
            </w:r>
            <w:r w:rsidR="004719D2" w:rsidRPr="004A47DC">
              <w:rPr>
                <w:rFonts w:ascii="Garamond" w:hAnsi="Garamond"/>
                <w:sz w:val="16"/>
                <w:szCs w:val="16"/>
              </w:rPr>
              <w:t xml:space="preserve">. </w:t>
            </w:r>
          </w:p>
          <w:p w14:paraId="76E67D13" w14:textId="77777777" w:rsidR="004719D2" w:rsidRPr="004A47DC" w:rsidRDefault="004719D2" w:rsidP="008E471A">
            <w:pPr>
              <w:rPr>
                <w:rFonts w:ascii="Garamond" w:hAnsi="Garamond"/>
                <w:sz w:val="16"/>
                <w:szCs w:val="16"/>
              </w:rPr>
            </w:pPr>
          </w:p>
        </w:tc>
        <w:tc>
          <w:tcPr>
            <w:tcW w:w="379" w:type="pct"/>
            <w:shd w:val="clear" w:color="auto" w:fill="auto"/>
            <w:vAlign w:val="center"/>
          </w:tcPr>
          <w:p w14:paraId="0359388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shd w:val="clear" w:color="auto" w:fill="auto"/>
            <w:vAlign w:val="center"/>
          </w:tcPr>
          <w:p w14:paraId="10D9E81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53" w:type="pct"/>
            <w:vMerge/>
          </w:tcPr>
          <w:p w14:paraId="12AA50F1" w14:textId="77777777" w:rsidR="004719D2" w:rsidRPr="004A47DC" w:rsidRDefault="004719D2" w:rsidP="00CF7CEC">
            <w:pPr>
              <w:rPr>
                <w:rFonts w:ascii="Garamond" w:hAnsi="Garamond"/>
                <w:b/>
                <w:bCs/>
                <w:color w:val="000000" w:themeColor="text1"/>
                <w:sz w:val="16"/>
                <w:szCs w:val="16"/>
              </w:rPr>
            </w:pPr>
          </w:p>
        </w:tc>
      </w:tr>
      <w:tr w:rsidR="004719D2" w:rsidRPr="004A47DC" w14:paraId="68D34CCD" w14:textId="77777777" w:rsidTr="006D20A2">
        <w:trPr>
          <w:trHeight w:val="20"/>
        </w:trPr>
        <w:tc>
          <w:tcPr>
            <w:tcW w:w="1432" w:type="pct"/>
            <w:vMerge/>
            <w:shd w:val="clear" w:color="auto" w:fill="auto"/>
          </w:tcPr>
          <w:p w14:paraId="518CC4B6"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20635F59" w14:textId="37F48036" w:rsidR="004719D2" w:rsidRPr="004A47DC" w:rsidRDefault="0040094D" w:rsidP="008E471A">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 xml:space="preserve">Forcimi i praktikave të auditimit të përputhshmërisë: zhvillimi/përditësimi i udhëzimeve dhe ofrimi i trajnimeve për </w:t>
            </w:r>
            <w:r w:rsidR="00F853EB" w:rsidRPr="004A47DC">
              <w:rPr>
                <w:rFonts w:ascii="Garamond" w:hAnsi="Garamond"/>
                <w:sz w:val="16"/>
                <w:szCs w:val="16"/>
              </w:rPr>
              <w:t xml:space="preserve">audituesit e brendshëm </w:t>
            </w:r>
            <w:r w:rsidR="004719D2" w:rsidRPr="004A47DC">
              <w:rPr>
                <w:rFonts w:ascii="Garamond" w:hAnsi="Garamond"/>
                <w:sz w:val="16"/>
                <w:szCs w:val="16"/>
              </w:rPr>
              <w:t>mbi raportimin e auditimit, formulimi i opinionit të auditimit për sistemet e kontrollit të brendshëm dhe prezantimi i rekomandimeve në shkresën për nivelin drejtues.</w:t>
            </w:r>
          </w:p>
        </w:tc>
        <w:tc>
          <w:tcPr>
            <w:tcW w:w="379" w:type="pct"/>
            <w:shd w:val="clear" w:color="auto" w:fill="auto"/>
            <w:vAlign w:val="center"/>
          </w:tcPr>
          <w:p w14:paraId="1F4D9C0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shd w:val="clear" w:color="auto" w:fill="auto"/>
            <w:vAlign w:val="center"/>
          </w:tcPr>
          <w:p w14:paraId="7F67389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653" w:type="pct"/>
            <w:vMerge/>
          </w:tcPr>
          <w:p w14:paraId="35F3E635" w14:textId="77777777" w:rsidR="004719D2" w:rsidRPr="004A47DC" w:rsidRDefault="004719D2" w:rsidP="00CF7CEC">
            <w:pPr>
              <w:rPr>
                <w:rFonts w:ascii="Garamond" w:hAnsi="Garamond"/>
                <w:color w:val="000000" w:themeColor="text1"/>
                <w:sz w:val="16"/>
                <w:szCs w:val="16"/>
              </w:rPr>
            </w:pPr>
          </w:p>
        </w:tc>
      </w:tr>
      <w:tr w:rsidR="004719D2" w:rsidRPr="004A47DC" w14:paraId="310A0235" w14:textId="77777777" w:rsidTr="006D20A2">
        <w:trPr>
          <w:trHeight w:val="20"/>
        </w:trPr>
        <w:tc>
          <w:tcPr>
            <w:tcW w:w="1432" w:type="pct"/>
            <w:vMerge/>
            <w:shd w:val="clear" w:color="auto" w:fill="auto"/>
          </w:tcPr>
          <w:p w14:paraId="0D36549A" w14:textId="77777777" w:rsidR="004719D2" w:rsidRPr="004A47DC" w:rsidRDefault="004719D2" w:rsidP="00CF7CEC">
            <w:pPr>
              <w:pStyle w:val="T-bold"/>
              <w:spacing w:line="240" w:lineRule="auto"/>
              <w:rPr>
                <w:rFonts w:ascii="Garamond" w:hAnsi="Garamond"/>
                <w:color w:val="000000" w:themeColor="text1"/>
              </w:rPr>
            </w:pPr>
          </w:p>
        </w:tc>
        <w:tc>
          <w:tcPr>
            <w:tcW w:w="2065" w:type="pct"/>
          </w:tcPr>
          <w:p w14:paraId="785862A5" w14:textId="10D5BCF1" w:rsidR="004719D2" w:rsidRPr="004A47DC" w:rsidRDefault="00F5767B" w:rsidP="008E471A">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Zhvillimi i udhëzimeve dhe ofrimi i trajnimeve për audituesit e brendshëm mbi qasjet e auditimit të bazuara në risk</w:t>
            </w:r>
            <w:r w:rsidR="00FE188D">
              <w:rPr>
                <w:rFonts w:ascii="Garamond" w:hAnsi="Garamond"/>
                <w:sz w:val="16"/>
                <w:szCs w:val="16"/>
              </w:rPr>
              <w:t>,</w:t>
            </w:r>
            <w:r w:rsidR="004719D2" w:rsidRPr="004A47DC">
              <w:rPr>
                <w:rFonts w:ascii="Garamond" w:hAnsi="Garamond"/>
                <w:sz w:val="16"/>
                <w:szCs w:val="16"/>
              </w:rPr>
              <w:t xml:space="preserve"> në lidhje me parandalimin, zbulimin ose adresimin e parregullsive, mashtrimit dhe korrupsionit.</w:t>
            </w:r>
          </w:p>
        </w:tc>
        <w:tc>
          <w:tcPr>
            <w:tcW w:w="379" w:type="pct"/>
            <w:shd w:val="clear" w:color="auto" w:fill="auto"/>
            <w:vAlign w:val="center"/>
          </w:tcPr>
          <w:p w14:paraId="71CD57D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shd w:val="clear" w:color="auto" w:fill="auto"/>
            <w:vAlign w:val="center"/>
          </w:tcPr>
          <w:p w14:paraId="6DAEBAC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53" w:type="pct"/>
            <w:vMerge/>
          </w:tcPr>
          <w:p w14:paraId="634033A4" w14:textId="77777777" w:rsidR="004719D2" w:rsidRPr="004A47DC" w:rsidRDefault="004719D2" w:rsidP="00CF7CEC">
            <w:pPr>
              <w:rPr>
                <w:rFonts w:ascii="Garamond" w:hAnsi="Garamond"/>
                <w:color w:val="000000" w:themeColor="text1"/>
                <w:sz w:val="16"/>
                <w:szCs w:val="16"/>
              </w:rPr>
            </w:pPr>
          </w:p>
        </w:tc>
      </w:tr>
    </w:tbl>
    <w:p w14:paraId="680366BF" w14:textId="77777777" w:rsidR="004719D2" w:rsidRPr="004A47DC" w:rsidRDefault="004719D2" w:rsidP="004719D2">
      <w:pPr>
        <w:pStyle w:val="H5"/>
        <w:spacing w:after="0" w:line="240" w:lineRule="auto"/>
        <w:rPr>
          <w:rFonts w:ascii="Garamond" w:hAnsi="Garamond"/>
          <w:color w:val="000000" w:themeColor="text1"/>
        </w:rPr>
      </w:pPr>
    </w:p>
    <w:p w14:paraId="65898FC4"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42E3F31D" w14:textId="77777777" w:rsidTr="006D20A2">
        <w:trPr>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5D3EFF"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46B2F3"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4BE6D9"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34362CCB" w14:textId="77777777" w:rsidTr="006D20A2">
        <w:trPr>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3DF28909" w14:textId="77777777" w:rsidR="004719D2" w:rsidRPr="004A47DC" w:rsidRDefault="004719D2" w:rsidP="006D20A2">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1C7FEE85" w14:textId="77777777" w:rsidR="004719D2" w:rsidRPr="004A47DC" w:rsidRDefault="004719D2" w:rsidP="006D20A2">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EE2C65"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A14DB"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6EDA46"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85232"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39308B6A" w14:textId="77777777" w:rsidTr="006D20A2">
        <w:tc>
          <w:tcPr>
            <w:tcW w:w="1727" w:type="pct"/>
            <w:tcBorders>
              <w:top w:val="single" w:sz="4" w:space="0" w:color="auto"/>
              <w:left w:val="single" w:sz="4" w:space="0" w:color="auto"/>
              <w:bottom w:val="single" w:sz="4" w:space="0" w:color="auto"/>
              <w:right w:val="single" w:sz="4" w:space="0" w:color="auto"/>
            </w:tcBorders>
          </w:tcPr>
          <w:p w14:paraId="1D613F6A" w14:textId="016C92BB" w:rsidR="004719D2" w:rsidRPr="004A47DC" w:rsidRDefault="00F5767B" w:rsidP="00F5767B">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Përqindja e institucioneve publike që mbulohen nga auditimet e brendshme vjetore</w:t>
            </w:r>
          </w:p>
        </w:tc>
        <w:tc>
          <w:tcPr>
            <w:tcW w:w="654" w:type="pct"/>
            <w:tcBorders>
              <w:top w:val="single" w:sz="4" w:space="0" w:color="auto"/>
              <w:left w:val="single" w:sz="4" w:space="0" w:color="auto"/>
              <w:bottom w:val="single" w:sz="4" w:space="0" w:color="auto"/>
              <w:right w:val="single" w:sz="4" w:space="0" w:color="auto"/>
            </w:tcBorders>
            <w:vAlign w:val="center"/>
          </w:tcPr>
          <w:p w14:paraId="36CA8CE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136</w:t>
            </w:r>
          </w:p>
        </w:tc>
        <w:tc>
          <w:tcPr>
            <w:tcW w:w="655" w:type="pct"/>
            <w:tcBorders>
              <w:top w:val="single" w:sz="4" w:space="0" w:color="auto"/>
              <w:left w:val="single" w:sz="4" w:space="0" w:color="auto"/>
              <w:bottom w:val="single" w:sz="4" w:space="0" w:color="auto"/>
              <w:right w:val="single" w:sz="4" w:space="0" w:color="auto"/>
            </w:tcBorders>
            <w:vAlign w:val="center"/>
          </w:tcPr>
          <w:p w14:paraId="138CCAD2"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138</w:t>
            </w:r>
          </w:p>
        </w:tc>
        <w:tc>
          <w:tcPr>
            <w:tcW w:w="654" w:type="pct"/>
            <w:tcBorders>
              <w:top w:val="single" w:sz="4" w:space="0" w:color="auto"/>
              <w:left w:val="single" w:sz="4" w:space="0" w:color="auto"/>
              <w:bottom w:val="single" w:sz="4" w:space="0" w:color="auto"/>
              <w:right w:val="single" w:sz="4" w:space="0" w:color="auto"/>
            </w:tcBorders>
            <w:vAlign w:val="center"/>
          </w:tcPr>
          <w:p w14:paraId="1B4D9DA7"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 xml:space="preserve">Trend rritës </w:t>
            </w:r>
          </w:p>
        </w:tc>
        <w:tc>
          <w:tcPr>
            <w:tcW w:w="655" w:type="pct"/>
            <w:tcBorders>
              <w:top w:val="single" w:sz="4" w:space="0" w:color="auto"/>
              <w:left w:val="single" w:sz="4" w:space="0" w:color="auto"/>
              <w:bottom w:val="single" w:sz="4" w:space="0" w:color="auto"/>
              <w:right w:val="single" w:sz="4" w:space="0" w:color="auto"/>
            </w:tcBorders>
            <w:vAlign w:val="center"/>
          </w:tcPr>
          <w:p w14:paraId="0BA5CE76"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72EE409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r>
      <w:tr w:rsidR="004719D2" w:rsidRPr="004A47DC" w14:paraId="6BEC1166" w14:textId="77777777" w:rsidTr="006D20A2">
        <w:trPr>
          <w:trHeight w:val="21"/>
        </w:trPr>
        <w:tc>
          <w:tcPr>
            <w:tcW w:w="1727" w:type="pct"/>
            <w:tcBorders>
              <w:top w:val="single" w:sz="4" w:space="0" w:color="auto"/>
              <w:left w:val="single" w:sz="4" w:space="0" w:color="auto"/>
              <w:bottom w:val="single" w:sz="4" w:space="0" w:color="auto"/>
              <w:right w:val="single" w:sz="4" w:space="0" w:color="auto"/>
            </w:tcBorders>
          </w:tcPr>
          <w:p w14:paraId="166141F2" w14:textId="72BE165B" w:rsidR="004719D2" w:rsidRPr="004A47DC" w:rsidRDefault="00F5767B" w:rsidP="00F5767B">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Numri i institucioneve publike që kanë një komitet funksional auditimi</w:t>
            </w:r>
          </w:p>
        </w:tc>
        <w:tc>
          <w:tcPr>
            <w:tcW w:w="654" w:type="pct"/>
            <w:tcBorders>
              <w:top w:val="single" w:sz="4" w:space="0" w:color="auto"/>
              <w:left w:val="single" w:sz="4" w:space="0" w:color="auto"/>
              <w:bottom w:val="single" w:sz="4" w:space="0" w:color="auto"/>
              <w:right w:val="single" w:sz="4" w:space="0" w:color="auto"/>
            </w:tcBorders>
            <w:vAlign w:val="center"/>
          </w:tcPr>
          <w:p w14:paraId="2C2B8BA0"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6</w:t>
            </w:r>
          </w:p>
        </w:tc>
        <w:tc>
          <w:tcPr>
            <w:tcW w:w="655" w:type="pct"/>
            <w:tcBorders>
              <w:top w:val="single" w:sz="4" w:space="0" w:color="auto"/>
              <w:left w:val="single" w:sz="4" w:space="0" w:color="auto"/>
              <w:bottom w:val="single" w:sz="4" w:space="0" w:color="auto"/>
              <w:right w:val="single" w:sz="4" w:space="0" w:color="auto"/>
            </w:tcBorders>
            <w:vAlign w:val="center"/>
          </w:tcPr>
          <w:p w14:paraId="1D984122"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w:t>
            </w:r>
          </w:p>
        </w:tc>
        <w:tc>
          <w:tcPr>
            <w:tcW w:w="654" w:type="pct"/>
            <w:tcBorders>
              <w:top w:val="single" w:sz="4" w:space="0" w:color="auto"/>
              <w:left w:val="single" w:sz="4" w:space="0" w:color="auto"/>
              <w:bottom w:val="single" w:sz="4" w:space="0" w:color="auto"/>
              <w:right w:val="single" w:sz="4" w:space="0" w:color="auto"/>
            </w:tcBorders>
            <w:vAlign w:val="center"/>
          </w:tcPr>
          <w:p w14:paraId="75077E2E"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3B8099D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4F9A423E"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r>
      <w:tr w:rsidR="004719D2" w:rsidRPr="004A47DC" w14:paraId="33FBC53F" w14:textId="77777777" w:rsidTr="006D20A2">
        <w:tc>
          <w:tcPr>
            <w:tcW w:w="1727" w:type="pct"/>
            <w:tcBorders>
              <w:top w:val="single" w:sz="4" w:space="0" w:color="auto"/>
              <w:left w:val="single" w:sz="4" w:space="0" w:color="auto"/>
              <w:bottom w:val="single" w:sz="4" w:space="0" w:color="auto"/>
              <w:right w:val="single" w:sz="4" w:space="0" w:color="auto"/>
            </w:tcBorders>
          </w:tcPr>
          <w:p w14:paraId="5A645DD4" w14:textId="3D45B22D" w:rsidR="004719D2" w:rsidRPr="004A47DC" w:rsidRDefault="00F5767B" w:rsidP="00F5767B">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Përqindja e audituesve të brendshëm aktivë që janë plotësisht të certifikuar</w:t>
            </w:r>
          </w:p>
        </w:tc>
        <w:tc>
          <w:tcPr>
            <w:tcW w:w="654" w:type="pct"/>
            <w:tcBorders>
              <w:top w:val="single" w:sz="4" w:space="0" w:color="auto"/>
              <w:left w:val="single" w:sz="4" w:space="0" w:color="auto"/>
              <w:bottom w:val="single" w:sz="4" w:space="0" w:color="auto"/>
              <w:right w:val="single" w:sz="4" w:space="0" w:color="auto"/>
            </w:tcBorders>
            <w:vAlign w:val="center"/>
          </w:tcPr>
          <w:p w14:paraId="57707DE2"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80%</w:t>
            </w:r>
          </w:p>
        </w:tc>
        <w:tc>
          <w:tcPr>
            <w:tcW w:w="655" w:type="pct"/>
            <w:tcBorders>
              <w:top w:val="single" w:sz="4" w:space="0" w:color="auto"/>
              <w:left w:val="single" w:sz="4" w:space="0" w:color="auto"/>
              <w:bottom w:val="single" w:sz="4" w:space="0" w:color="auto"/>
              <w:right w:val="single" w:sz="4" w:space="0" w:color="auto"/>
            </w:tcBorders>
            <w:vAlign w:val="center"/>
          </w:tcPr>
          <w:p w14:paraId="119A2836"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88%</w:t>
            </w:r>
          </w:p>
        </w:tc>
        <w:tc>
          <w:tcPr>
            <w:tcW w:w="654" w:type="pct"/>
            <w:tcBorders>
              <w:top w:val="single" w:sz="4" w:space="0" w:color="auto"/>
              <w:left w:val="single" w:sz="4" w:space="0" w:color="auto"/>
              <w:bottom w:val="single" w:sz="4" w:space="0" w:color="auto"/>
              <w:right w:val="single" w:sz="4" w:space="0" w:color="auto"/>
            </w:tcBorders>
            <w:vAlign w:val="center"/>
          </w:tcPr>
          <w:p w14:paraId="620562A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03A7767F"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4A798BFA"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r>
      <w:tr w:rsidR="004719D2" w:rsidRPr="004A47DC" w14:paraId="76AA78F4" w14:textId="77777777" w:rsidTr="006D20A2">
        <w:tc>
          <w:tcPr>
            <w:tcW w:w="1727" w:type="pct"/>
            <w:tcBorders>
              <w:top w:val="single" w:sz="4" w:space="0" w:color="auto"/>
              <w:left w:val="single" w:sz="4" w:space="0" w:color="auto"/>
              <w:bottom w:val="single" w:sz="4" w:space="0" w:color="auto"/>
              <w:right w:val="single" w:sz="4" w:space="0" w:color="auto"/>
            </w:tcBorders>
          </w:tcPr>
          <w:p w14:paraId="5CCACA0B" w14:textId="427F3C64" w:rsidR="004719D2" w:rsidRPr="004A47DC" w:rsidRDefault="00F5767B" w:rsidP="00F5767B">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Përqindja e njësive të auditimit të brendshëm që kanë krijuar dhe zbatuar PPSC</w:t>
            </w:r>
            <w:r w:rsidR="00FE188D">
              <w:rPr>
                <w:rFonts w:ascii="Garamond" w:hAnsi="Garamond" w:cs="Arial"/>
                <w:color w:val="000000" w:themeColor="text1"/>
                <w:sz w:val="16"/>
                <w:szCs w:val="16"/>
              </w:rPr>
              <w:t>-në,</w:t>
            </w:r>
            <w:r w:rsidR="004719D2" w:rsidRPr="004A47DC">
              <w:rPr>
                <w:rFonts w:ascii="Garamond" w:hAnsi="Garamond"/>
                <w:sz w:val="16"/>
                <w:szCs w:val="16"/>
              </w:rPr>
              <w:t xml:space="preserve"> në përputhje me standardet në fuqi</w:t>
            </w:r>
          </w:p>
        </w:tc>
        <w:tc>
          <w:tcPr>
            <w:tcW w:w="654" w:type="pct"/>
            <w:tcBorders>
              <w:top w:val="single" w:sz="4" w:space="0" w:color="auto"/>
              <w:left w:val="single" w:sz="4" w:space="0" w:color="auto"/>
              <w:bottom w:val="single" w:sz="4" w:space="0" w:color="auto"/>
              <w:right w:val="single" w:sz="4" w:space="0" w:color="auto"/>
            </w:tcBorders>
            <w:vAlign w:val="center"/>
          </w:tcPr>
          <w:p w14:paraId="6AB5DEC3"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52%</w:t>
            </w:r>
          </w:p>
        </w:tc>
        <w:tc>
          <w:tcPr>
            <w:tcW w:w="655" w:type="pct"/>
            <w:tcBorders>
              <w:top w:val="single" w:sz="4" w:space="0" w:color="auto"/>
              <w:left w:val="single" w:sz="4" w:space="0" w:color="auto"/>
              <w:bottom w:val="single" w:sz="4" w:space="0" w:color="auto"/>
              <w:right w:val="single" w:sz="4" w:space="0" w:color="auto"/>
            </w:tcBorders>
            <w:vAlign w:val="center"/>
          </w:tcPr>
          <w:p w14:paraId="5E2FC5B7"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71%</w:t>
            </w:r>
          </w:p>
        </w:tc>
        <w:tc>
          <w:tcPr>
            <w:tcW w:w="654" w:type="pct"/>
            <w:tcBorders>
              <w:top w:val="single" w:sz="4" w:space="0" w:color="auto"/>
              <w:left w:val="single" w:sz="4" w:space="0" w:color="auto"/>
              <w:bottom w:val="single" w:sz="4" w:space="0" w:color="auto"/>
              <w:right w:val="single" w:sz="4" w:space="0" w:color="auto"/>
            </w:tcBorders>
            <w:vAlign w:val="center"/>
          </w:tcPr>
          <w:p w14:paraId="69C0E661"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2852FC78"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c>
          <w:tcPr>
            <w:tcW w:w="655" w:type="pct"/>
            <w:tcBorders>
              <w:top w:val="single" w:sz="4" w:space="0" w:color="auto"/>
              <w:left w:val="single" w:sz="4" w:space="0" w:color="auto"/>
              <w:bottom w:val="single" w:sz="4" w:space="0" w:color="auto"/>
              <w:right w:val="single" w:sz="4" w:space="0" w:color="auto"/>
            </w:tcBorders>
            <w:vAlign w:val="center"/>
          </w:tcPr>
          <w:p w14:paraId="12AC4A48"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Trend rritës</w:t>
            </w:r>
          </w:p>
        </w:tc>
      </w:tr>
      <w:tr w:rsidR="004719D2" w:rsidRPr="004A47DC" w14:paraId="071F53B5" w14:textId="77777777" w:rsidTr="006D20A2">
        <w:tc>
          <w:tcPr>
            <w:tcW w:w="1727" w:type="pct"/>
            <w:tcBorders>
              <w:top w:val="single" w:sz="4" w:space="0" w:color="auto"/>
              <w:left w:val="single" w:sz="4" w:space="0" w:color="auto"/>
              <w:bottom w:val="single" w:sz="4" w:space="0" w:color="auto"/>
              <w:right w:val="single" w:sz="4" w:space="0" w:color="auto"/>
            </w:tcBorders>
          </w:tcPr>
          <w:p w14:paraId="04EF2FD1" w14:textId="1DE3FCD1" w:rsidR="004719D2" w:rsidRPr="004A47DC" w:rsidRDefault="00F5767B" w:rsidP="00F5767B">
            <w:pPr>
              <w:rPr>
                <w:rFonts w:ascii="Garamond" w:hAnsi="Garamond"/>
                <w:sz w:val="16"/>
                <w:szCs w:val="16"/>
              </w:rPr>
            </w:pPr>
            <w:r w:rsidRPr="004A47DC">
              <w:rPr>
                <w:rFonts w:ascii="Garamond" w:hAnsi="Garamond"/>
                <w:sz w:val="16"/>
                <w:szCs w:val="16"/>
              </w:rPr>
              <w:t xml:space="preserve">5. </w:t>
            </w:r>
            <w:r w:rsidR="004719D2" w:rsidRPr="004A47DC">
              <w:rPr>
                <w:rFonts w:ascii="Garamond" w:hAnsi="Garamond"/>
                <w:sz w:val="16"/>
                <w:szCs w:val="16"/>
              </w:rPr>
              <w:t>Përqindja e audituesve të brendshëm që përputhen me kërkesat e ZHVP</w:t>
            </w:r>
            <w:r w:rsidR="00FE188D">
              <w:rPr>
                <w:rFonts w:ascii="Garamond" w:hAnsi="Garamond" w:cs="Arial"/>
                <w:color w:val="000000" w:themeColor="text1"/>
                <w:sz w:val="16"/>
                <w:szCs w:val="16"/>
              </w:rPr>
              <w:t>-së</w:t>
            </w:r>
          </w:p>
        </w:tc>
        <w:tc>
          <w:tcPr>
            <w:tcW w:w="654" w:type="pct"/>
            <w:tcBorders>
              <w:top w:val="single" w:sz="4" w:space="0" w:color="auto"/>
              <w:left w:val="single" w:sz="4" w:space="0" w:color="auto"/>
              <w:bottom w:val="single" w:sz="4" w:space="0" w:color="auto"/>
              <w:right w:val="single" w:sz="4" w:space="0" w:color="auto"/>
            </w:tcBorders>
            <w:vAlign w:val="center"/>
          </w:tcPr>
          <w:p w14:paraId="670A0C1C"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100%</w:t>
            </w:r>
          </w:p>
        </w:tc>
        <w:tc>
          <w:tcPr>
            <w:tcW w:w="655" w:type="pct"/>
            <w:tcBorders>
              <w:top w:val="single" w:sz="4" w:space="0" w:color="auto"/>
              <w:left w:val="single" w:sz="4" w:space="0" w:color="auto"/>
              <w:bottom w:val="single" w:sz="4" w:space="0" w:color="auto"/>
              <w:right w:val="single" w:sz="4" w:space="0" w:color="auto"/>
            </w:tcBorders>
            <w:vAlign w:val="center"/>
          </w:tcPr>
          <w:p w14:paraId="077F8E4E"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100%</w:t>
            </w:r>
          </w:p>
        </w:tc>
        <w:tc>
          <w:tcPr>
            <w:tcW w:w="654" w:type="pct"/>
            <w:tcBorders>
              <w:top w:val="single" w:sz="4" w:space="0" w:color="auto"/>
              <w:left w:val="single" w:sz="4" w:space="0" w:color="auto"/>
              <w:bottom w:val="single" w:sz="4" w:space="0" w:color="auto"/>
              <w:right w:val="single" w:sz="4" w:space="0" w:color="auto"/>
            </w:tcBorders>
            <w:vAlign w:val="center"/>
          </w:tcPr>
          <w:p w14:paraId="4382EAA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100%</w:t>
            </w:r>
          </w:p>
        </w:tc>
        <w:tc>
          <w:tcPr>
            <w:tcW w:w="655" w:type="pct"/>
            <w:tcBorders>
              <w:top w:val="single" w:sz="4" w:space="0" w:color="auto"/>
              <w:left w:val="single" w:sz="4" w:space="0" w:color="auto"/>
              <w:bottom w:val="single" w:sz="4" w:space="0" w:color="auto"/>
              <w:right w:val="single" w:sz="4" w:space="0" w:color="auto"/>
            </w:tcBorders>
            <w:vAlign w:val="center"/>
          </w:tcPr>
          <w:p w14:paraId="1071CC5D"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100%</w:t>
            </w:r>
          </w:p>
        </w:tc>
        <w:tc>
          <w:tcPr>
            <w:tcW w:w="655" w:type="pct"/>
            <w:tcBorders>
              <w:top w:val="single" w:sz="4" w:space="0" w:color="auto"/>
              <w:left w:val="single" w:sz="4" w:space="0" w:color="auto"/>
              <w:bottom w:val="single" w:sz="4" w:space="0" w:color="auto"/>
              <w:right w:val="single" w:sz="4" w:space="0" w:color="auto"/>
            </w:tcBorders>
            <w:vAlign w:val="center"/>
          </w:tcPr>
          <w:p w14:paraId="78B9B345" w14:textId="77777777" w:rsidR="004719D2" w:rsidRPr="004A47DC" w:rsidRDefault="004719D2" w:rsidP="00CF7CEC">
            <w:pPr>
              <w:pStyle w:val="EcorysBody"/>
              <w:spacing w:line="240" w:lineRule="auto"/>
              <w:jc w:val="center"/>
              <w:rPr>
                <w:rFonts w:ascii="Garamond" w:hAnsi="Garamond" w:cs="Arial"/>
                <w:color w:val="000000" w:themeColor="text1"/>
                <w:sz w:val="16"/>
                <w:szCs w:val="16"/>
              </w:rPr>
            </w:pPr>
            <w:r w:rsidRPr="004A47DC">
              <w:rPr>
                <w:rFonts w:ascii="Garamond" w:hAnsi="Garamond" w:cs="Arial"/>
                <w:color w:val="000000" w:themeColor="text1"/>
                <w:sz w:val="16"/>
                <w:szCs w:val="16"/>
              </w:rPr>
              <w:t>100%</w:t>
            </w:r>
          </w:p>
        </w:tc>
      </w:tr>
    </w:tbl>
    <w:p w14:paraId="57DB011F" w14:textId="77777777" w:rsidR="004719D2" w:rsidRPr="004A47DC" w:rsidRDefault="004719D2" w:rsidP="004719D2">
      <w:pPr>
        <w:ind w:left="360" w:hanging="360"/>
        <w:rPr>
          <w:rFonts w:ascii="Garamond" w:hAnsi="Garamond"/>
          <w:color w:val="000000" w:themeColor="text1"/>
        </w:rPr>
      </w:pPr>
    </w:p>
    <w:p w14:paraId="75D3A223" w14:textId="4E66A209" w:rsidR="004719D2" w:rsidRPr="004A47DC" w:rsidRDefault="008438A2" w:rsidP="00F5767B">
      <w:pPr>
        <w:pStyle w:val="TEKSTIII"/>
        <w:rPr>
          <w:b/>
        </w:rPr>
      </w:pPr>
      <w:bookmarkStart w:id="44" w:name="_Toc150931564"/>
      <w:bookmarkStart w:id="45" w:name="_Toc168918700"/>
      <w:bookmarkStart w:id="46" w:name="_Toc150931565"/>
      <w:r w:rsidRPr="004A47DC">
        <w:rPr>
          <w:b/>
        </w:rPr>
        <w:t xml:space="preserve">6.4 </w:t>
      </w:r>
      <w:r w:rsidR="004719D2" w:rsidRPr="004A47DC">
        <w:rPr>
          <w:b/>
        </w:rPr>
        <w:t>Komponenti 5.3</w:t>
      </w:r>
      <w:r w:rsidR="00FE188D">
        <w:rPr>
          <w:b/>
        </w:rPr>
        <w:t>:</w:t>
      </w:r>
      <w:r w:rsidR="004719D2" w:rsidRPr="004A47DC">
        <w:rPr>
          <w:b/>
        </w:rPr>
        <w:t xml:space="preserve"> </w:t>
      </w:r>
      <w:bookmarkEnd w:id="44"/>
      <w:r w:rsidR="004719D2" w:rsidRPr="004A47DC">
        <w:rPr>
          <w:b/>
        </w:rPr>
        <w:t xml:space="preserve">Inspektimi </w:t>
      </w:r>
      <w:r w:rsidR="006D20A2" w:rsidRPr="004A47DC">
        <w:rPr>
          <w:b/>
        </w:rPr>
        <w:t>financiar publik dhe shërbimet e koordinimit kundër mashtrimit</w:t>
      </w:r>
      <w:bookmarkEnd w:id="45"/>
      <w:r w:rsidR="00B2411C" w:rsidRPr="004A47DC">
        <w:rPr>
          <w:b/>
        </w:rPr>
        <w:t xml:space="preserve"> </w:t>
      </w:r>
    </w:p>
    <w:p w14:paraId="4375BBD0" w14:textId="77777777" w:rsidR="004719D2" w:rsidRPr="004A47DC" w:rsidRDefault="004719D2" w:rsidP="00F5767B">
      <w:pPr>
        <w:pStyle w:val="TEKSTIII"/>
        <w:rPr>
          <w:b/>
          <w:sz w:val="21"/>
          <w:szCs w:val="21"/>
        </w:rPr>
      </w:pPr>
      <w:r w:rsidRPr="004A47DC">
        <w:rPr>
          <w:b/>
        </w:rPr>
        <w:t>Objektivi</w:t>
      </w:r>
    </w:p>
    <w:p w14:paraId="16B2FD05" w14:textId="5568E272" w:rsidR="004719D2" w:rsidRPr="004A47DC" w:rsidRDefault="004719D2" w:rsidP="00F5767B">
      <w:pPr>
        <w:pStyle w:val="TEKSTIII"/>
        <w:rPr>
          <w:rStyle w:val="rynqvb"/>
          <w:color w:val="000000" w:themeColor="text1"/>
        </w:rPr>
      </w:pPr>
      <w:r w:rsidRPr="004A47DC">
        <w:rPr>
          <w:rStyle w:val="rynqvb"/>
          <w:color w:val="000000" w:themeColor="text1"/>
        </w:rPr>
        <w:t xml:space="preserve">Synimi për vitin 2030 është që të ketë një </w:t>
      </w:r>
      <w:r w:rsidR="00FE188D" w:rsidRPr="004A47DC">
        <w:rPr>
          <w:rStyle w:val="rynqvb"/>
          <w:color w:val="000000" w:themeColor="text1"/>
        </w:rPr>
        <w:t xml:space="preserve">inspektim financiar publik </w:t>
      </w:r>
      <w:r w:rsidRPr="004A47DC">
        <w:rPr>
          <w:rStyle w:val="rynqvb"/>
          <w:color w:val="000000" w:themeColor="text1"/>
        </w:rPr>
        <w:t>efektiv në mënyrë që</w:t>
      </w:r>
      <w:r w:rsidR="006D20A2" w:rsidRPr="004A47DC">
        <w:rPr>
          <w:rStyle w:val="rynqvb"/>
          <w:color w:val="000000" w:themeColor="text1"/>
        </w:rPr>
        <w:t>:</w:t>
      </w:r>
      <w:r w:rsidRPr="004A47DC">
        <w:rPr>
          <w:rStyle w:val="rynqvb"/>
          <w:color w:val="000000" w:themeColor="text1"/>
        </w:rPr>
        <w:t xml:space="preserve"> i</w:t>
      </w:r>
      <w:r w:rsidR="006D20A2" w:rsidRPr="004A47DC">
        <w:rPr>
          <w:rStyle w:val="rynqvb"/>
          <w:color w:val="000000" w:themeColor="text1"/>
        </w:rPr>
        <w:t>.</w:t>
      </w:r>
      <w:r w:rsidRPr="004A47DC">
        <w:rPr>
          <w:rStyle w:val="rynqvb"/>
          <w:color w:val="000000" w:themeColor="text1"/>
        </w:rPr>
        <w:t xml:space="preserve"> të garantojë respektimin e ligjit në përdorimin e fondeve publike dhe të ofrojë ndihmë në përmirësimin e menaxhimit të financave publike</w:t>
      </w:r>
      <w:r w:rsidR="00FE188D">
        <w:rPr>
          <w:rStyle w:val="rynqvb"/>
          <w:color w:val="000000" w:themeColor="text1"/>
        </w:rPr>
        <w:t>,</w:t>
      </w:r>
      <w:r w:rsidRPr="004A47DC">
        <w:rPr>
          <w:rStyle w:val="rynqvb"/>
          <w:color w:val="000000" w:themeColor="text1"/>
        </w:rPr>
        <w:t xml:space="preserve"> në përputhje me standardet profesionale</w:t>
      </w:r>
      <w:r w:rsidR="006D20A2" w:rsidRPr="004A47DC">
        <w:rPr>
          <w:rStyle w:val="rynqvb"/>
          <w:color w:val="000000" w:themeColor="text1"/>
        </w:rPr>
        <w:t>;</w:t>
      </w:r>
      <w:r w:rsidRPr="004A47DC">
        <w:rPr>
          <w:rStyle w:val="rynqvb"/>
          <w:color w:val="000000" w:themeColor="text1"/>
        </w:rPr>
        <w:t xml:space="preserve"> dhe ii</w:t>
      </w:r>
      <w:r w:rsidR="006D20A2" w:rsidRPr="004A47DC">
        <w:rPr>
          <w:rStyle w:val="rynqvb"/>
          <w:color w:val="000000" w:themeColor="text1"/>
        </w:rPr>
        <w:t>.</w:t>
      </w:r>
      <w:r w:rsidRPr="004A47DC">
        <w:rPr>
          <w:rStyle w:val="rynqvb"/>
          <w:color w:val="000000" w:themeColor="text1"/>
        </w:rPr>
        <w:t xml:space="preserve"> të koordinojë</w:t>
      </w:r>
      <w:r w:rsidRPr="004A47DC">
        <w:rPr>
          <w:rStyle w:val="hwtze"/>
          <w:color w:val="000000" w:themeColor="text1"/>
        </w:rPr>
        <w:t xml:space="preserve"> </w:t>
      </w:r>
      <w:r w:rsidRPr="004A47DC">
        <w:rPr>
          <w:rStyle w:val="rynqvb"/>
          <w:color w:val="000000" w:themeColor="text1"/>
        </w:rPr>
        <w:t>hartimin, miratimin dhe zbatimin e Strategjisë Kombëtare Kundër Mashtrimit për të mbrojtur më mirë interesat financiare të BE-së dhe për të monitoruar dhe forcuar më tej rolin koordinues të ShKKM</w:t>
      </w:r>
      <w:r w:rsidR="00FE188D" w:rsidRPr="00FE188D">
        <w:rPr>
          <w:rFonts w:cs="Arial"/>
          <w:color w:val="000000" w:themeColor="text1"/>
        </w:rPr>
        <w:t>-</w:t>
      </w:r>
      <w:r w:rsidR="00FE188D">
        <w:rPr>
          <w:rFonts w:cs="Arial"/>
          <w:color w:val="000000" w:themeColor="text1"/>
        </w:rPr>
        <w:t>s</w:t>
      </w:r>
      <w:r w:rsidR="00FE188D" w:rsidRPr="00FE188D">
        <w:rPr>
          <w:rFonts w:cs="Arial"/>
          <w:color w:val="000000" w:themeColor="text1"/>
        </w:rPr>
        <w:t>ë</w:t>
      </w:r>
      <w:r w:rsidRPr="004A47DC">
        <w:rPr>
          <w:rStyle w:val="rynqvb"/>
          <w:color w:val="000000" w:themeColor="text1"/>
        </w:rPr>
        <w:t>.</w:t>
      </w:r>
    </w:p>
    <w:p w14:paraId="2C410E2C" w14:textId="77777777" w:rsidR="004719D2" w:rsidRPr="004A47DC" w:rsidRDefault="004719D2" w:rsidP="00F5767B">
      <w:pPr>
        <w:pStyle w:val="TEKSTIII"/>
        <w:rPr>
          <w:b/>
        </w:rPr>
      </w:pPr>
      <w:r w:rsidRPr="004A47DC">
        <w:rPr>
          <w:b/>
        </w:rPr>
        <w:t xml:space="preserve">Konteksti </w:t>
      </w:r>
    </w:p>
    <w:p w14:paraId="56C980EE" w14:textId="5C13BAFE" w:rsidR="004719D2" w:rsidRPr="004A47DC" w:rsidRDefault="004719D2" w:rsidP="00F5767B">
      <w:pPr>
        <w:pStyle w:val="TEKSTIII"/>
        <w:rPr>
          <w:rStyle w:val="rynqvb"/>
          <w:color w:val="000000" w:themeColor="text1"/>
        </w:rPr>
      </w:pPr>
      <w:r w:rsidRPr="004A47DC">
        <w:rPr>
          <w:rStyle w:val="rynqvb"/>
          <w:color w:val="000000" w:themeColor="text1"/>
        </w:rPr>
        <w:t>Qeveria është e vendosur të sigurojë një sistem kontrolli që do të parandalojë mashtrimet, parregullsitë dhe llojet e tjera të keqmenaxhimit financiar të fondeve publike në njësitë e sektorit publik.</w:t>
      </w:r>
      <w:r w:rsidRPr="004A47DC">
        <w:rPr>
          <w:rStyle w:val="hwtze"/>
          <w:color w:val="000000" w:themeColor="text1"/>
        </w:rPr>
        <w:t xml:space="preserve"> </w:t>
      </w:r>
      <w:r w:rsidRPr="004A47DC">
        <w:rPr>
          <w:rStyle w:val="rynqvb"/>
          <w:color w:val="000000" w:themeColor="text1"/>
        </w:rPr>
        <w:t xml:space="preserve">Që nga viti 2015, u prezantua </w:t>
      </w:r>
      <w:r w:rsidR="004E7351" w:rsidRPr="004A47DC">
        <w:rPr>
          <w:rStyle w:val="rynqvb"/>
          <w:color w:val="000000" w:themeColor="text1"/>
        </w:rPr>
        <w:t>ligji i ri për inspektimin financiar publik</w:t>
      </w:r>
      <w:r w:rsidRPr="004E7351">
        <w:rPr>
          <w:rStyle w:val="FootnoteReference"/>
          <w:rFonts w:ascii="Garamond" w:hAnsi="Garamond"/>
          <w:color w:val="000000" w:themeColor="text1"/>
          <w:sz w:val="24"/>
          <w:szCs w:val="24"/>
        </w:rPr>
        <w:footnoteReference w:id="73"/>
      </w:r>
      <w:r w:rsidRPr="004E7351">
        <w:rPr>
          <w:rStyle w:val="rynqvb"/>
          <w:color w:val="000000" w:themeColor="text1"/>
        </w:rPr>
        <w:t xml:space="preserve"> </w:t>
      </w:r>
      <w:r w:rsidRPr="004A47DC">
        <w:rPr>
          <w:rStyle w:val="rynqvb"/>
          <w:color w:val="000000" w:themeColor="text1"/>
        </w:rPr>
        <w:t>dhe disa akte nënligjore, rregullore, udhëzime dhe manuale.</w:t>
      </w:r>
      <w:r w:rsidRPr="004A47DC">
        <w:rPr>
          <w:rStyle w:val="hwtze"/>
          <w:color w:val="000000" w:themeColor="text1"/>
        </w:rPr>
        <w:t xml:space="preserve"> </w:t>
      </w:r>
      <w:r w:rsidRPr="004A47DC">
        <w:rPr>
          <w:rStyle w:val="rynqvb"/>
          <w:color w:val="000000" w:themeColor="text1"/>
        </w:rPr>
        <w:t>Këto ndryshime legjislative u shoqëruan me ndryshime organizative si krijimi i Drejtorisë së Inspektimit Financiar Publik (DIFP) si funksion i pavarur brenda MF-së.</w:t>
      </w:r>
      <w:r w:rsidRPr="004A47DC">
        <w:t xml:space="preserve"> IFP</w:t>
      </w:r>
      <w:r w:rsidR="004E7351">
        <w:t>-ja</w:t>
      </w:r>
      <w:r w:rsidRPr="004A47DC">
        <w:rPr>
          <w:rStyle w:val="rynqvb"/>
          <w:color w:val="000000" w:themeColor="text1"/>
        </w:rPr>
        <w:t xml:space="preserve"> është një aktivitet </w:t>
      </w:r>
      <w:r w:rsidRPr="004E7351">
        <w:rPr>
          <w:rStyle w:val="rynqvb"/>
          <w:i/>
          <w:color w:val="000000" w:themeColor="text1"/>
        </w:rPr>
        <w:t>ex-post</w:t>
      </w:r>
      <w:r w:rsidRPr="004A47DC">
        <w:rPr>
          <w:rStyle w:val="rynqvb"/>
          <w:color w:val="000000" w:themeColor="text1"/>
        </w:rPr>
        <w:t xml:space="preserve"> mbi rregullsinë e transaksioneve dhe veprimtarive të tjera të menaxhimit të financave publike, i kryer nën përgjegjësinë e njësive publike dhe individëve, me qëllim</w:t>
      </w:r>
      <w:r w:rsidR="006D20A2" w:rsidRPr="004A47DC">
        <w:rPr>
          <w:rStyle w:val="rynqvb"/>
          <w:color w:val="000000" w:themeColor="text1"/>
        </w:rPr>
        <w:t>:</w:t>
      </w:r>
      <w:r w:rsidRPr="004A47DC">
        <w:rPr>
          <w:rStyle w:val="rynqvb"/>
          <w:color w:val="000000" w:themeColor="text1"/>
        </w:rPr>
        <w:t xml:space="preserve"> i</w:t>
      </w:r>
      <w:r w:rsidR="006D20A2" w:rsidRPr="004A47DC">
        <w:rPr>
          <w:rStyle w:val="rynqvb"/>
          <w:color w:val="000000" w:themeColor="text1"/>
        </w:rPr>
        <w:t>.</w:t>
      </w:r>
      <w:r w:rsidRPr="004A47DC">
        <w:rPr>
          <w:rStyle w:val="rynqvb"/>
          <w:color w:val="000000" w:themeColor="text1"/>
        </w:rPr>
        <w:t xml:space="preserve"> përcaktimin e shkeljeve të akteve normative dhe verifikimin e dyshimeve për ndonjë mashtrim të kryer;</w:t>
      </w:r>
      <w:r w:rsidRPr="004A47DC">
        <w:rPr>
          <w:rStyle w:val="hwtze"/>
          <w:color w:val="000000" w:themeColor="text1"/>
        </w:rPr>
        <w:t xml:space="preserve"> </w:t>
      </w:r>
      <w:r w:rsidRPr="004A47DC">
        <w:rPr>
          <w:rStyle w:val="rynqvb"/>
          <w:color w:val="000000" w:themeColor="text1"/>
        </w:rPr>
        <w:t>ii</w:t>
      </w:r>
      <w:r w:rsidR="006D20A2" w:rsidRPr="004A47DC">
        <w:rPr>
          <w:rStyle w:val="rynqvb"/>
          <w:color w:val="000000" w:themeColor="text1"/>
        </w:rPr>
        <w:t>.</w:t>
      </w:r>
      <w:r w:rsidRPr="004A47DC">
        <w:rPr>
          <w:rStyle w:val="rynqvb"/>
          <w:color w:val="000000" w:themeColor="text1"/>
        </w:rPr>
        <w:t xml:space="preserve"> zbulon parregullsitë dhe dëmet e shkaktuara në pronën e njësive publike;</w:t>
      </w:r>
      <w:r w:rsidRPr="004A47DC">
        <w:rPr>
          <w:rStyle w:val="hwtze"/>
          <w:color w:val="000000" w:themeColor="text1"/>
        </w:rPr>
        <w:t xml:space="preserve"> </w:t>
      </w:r>
      <w:r w:rsidRPr="004A47DC">
        <w:rPr>
          <w:rStyle w:val="rynqvb"/>
          <w:color w:val="000000" w:themeColor="text1"/>
        </w:rPr>
        <w:t>dhe iii</w:t>
      </w:r>
      <w:r w:rsidR="006D20A2" w:rsidRPr="004A47DC">
        <w:rPr>
          <w:rStyle w:val="rynqvb"/>
          <w:color w:val="000000" w:themeColor="text1"/>
        </w:rPr>
        <w:t>.</w:t>
      </w:r>
      <w:r w:rsidRPr="004A47DC">
        <w:rPr>
          <w:rStyle w:val="rynqvb"/>
          <w:color w:val="000000" w:themeColor="text1"/>
        </w:rPr>
        <w:t xml:space="preserve"> të identifikojë personat përgjegjës për shkeljet e kryera dhe të kërkojë marrjen e masave zhdëmtuese, disiplinore ose administrative, sipas nivelit ose llojit të përgjegjësisë.</w:t>
      </w:r>
      <w:r w:rsidRPr="004A47DC">
        <w:rPr>
          <w:rStyle w:val="hwtze"/>
          <w:color w:val="000000" w:themeColor="text1"/>
        </w:rPr>
        <w:t xml:space="preserve"> </w:t>
      </w:r>
      <w:r w:rsidRPr="004A47DC">
        <w:rPr>
          <w:rStyle w:val="rynqvb"/>
          <w:color w:val="000000" w:themeColor="text1"/>
        </w:rPr>
        <w:t>Aktivitete të shumta për ngritjen e kapaciteteve, duke përfshirë trajnime, mentorime dhe vizita studimore kanë kontribuar në rritjen e profesionalizmit të stafit të drejtorisë.</w:t>
      </w:r>
      <w:r w:rsidRPr="004A47DC">
        <w:rPr>
          <w:rStyle w:val="hwtze"/>
          <w:color w:val="000000" w:themeColor="text1"/>
        </w:rPr>
        <w:t xml:space="preserve"> </w:t>
      </w:r>
      <w:r w:rsidRPr="004A47DC">
        <w:rPr>
          <w:rStyle w:val="rynqvb"/>
          <w:color w:val="000000" w:themeColor="text1"/>
        </w:rPr>
        <w:t>Pas rekomandimeve dhe kërkesave rregullatore të BE-së, do të zhvillohet, miratohet, zbatohet dhe monitorohet Strategjia Kombëtare Kundër Mashtrimit për mbrojtjen e interesave financiare të BE-së.</w:t>
      </w:r>
    </w:p>
    <w:p w14:paraId="1775EA9B" w14:textId="77777777" w:rsidR="004719D2" w:rsidRPr="004A47DC" w:rsidRDefault="004719D2" w:rsidP="00F5767B">
      <w:pPr>
        <w:pStyle w:val="TEKSTIII"/>
        <w:rPr>
          <w:b/>
        </w:rPr>
      </w:pPr>
      <w:r w:rsidRPr="004A47DC">
        <w:rPr>
          <w:b/>
        </w:rPr>
        <w:t>Prioritetet</w:t>
      </w:r>
    </w:p>
    <w:p w14:paraId="21B5E812" w14:textId="543B0F76" w:rsidR="004719D2" w:rsidRPr="004A47DC" w:rsidRDefault="004719D2" w:rsidP="00F5767B">
      <w:pPr>
        <w:pStyle w:val="TEKSTIII"/>
      </w:pPr>
      <w:r w:rsidRPr="004A47DC">
        <w:t xml:space="preserve">Prioritetet për periudhën </w:t>
      </w:r>
      <w:r w:rsidR="00DB1D7E" w:rsidRPr="004A47DC">
        <w:t>2023–2026</w:t>
      </w:r>
      <w:r w:rsidRPr="004A47DC">
        <w:t xml:space="preserve"> janë:</w:t>
      </w:r>
    </w:p>
    <w:p w14:paraId="5A94B103" w14:textId="0D5CE422" w:rsidR="004719D2" w:rsidRPr="004A47DC" w:rsidRDefault="008438A2" w:rsidP="00F5767B">
      <w:pPr>
        <w:pStyle w:val="TEKSTIII"/>
      </w:pPr>
      <w:r w:rsidRPr="004A47DC">
        <w:t xml:space="preserve"> -</w:t>
      </w:r>
      <w:r w:rsidR="004E7351">
        <w:t xml:space="preserve"> </w:t>
      </w:r>
      <w:r w:rsidR="004719D2" w:rsidRPr="004A47DC">
        <w:t xml:space="preserve">Rritja e bashkëpunimit me </w:t>
      </w:r>
      <w:r w:rsidR="004E7351" w:rsidRPr="004A47DC">
        <w:t xml:space="preserve">auditimin e brendshëm </w:t>
      </w:r>
      <w:r w:rsidR="004719D2" w:rsidRPr="004A47DC">
        <w:t>dhe KLSH</w:t>
      </w:r>
      <w:r w:rsidR="006D20A2" w:rsidRPr="004A47DC">
        <w:t>-në</w:t>
      </w:r>
      <w:r w:rsidR="004E7351">
        <w:t>;</w:t>
      </w:r>
    </w:p>
    <w:p w14:paraId="15579BF4" w14:textId="1A3C9D63" w:rsidR="004719D2" w:rsidRPr="004A47DC" w:rsidRDefault="008438A2" w:rsidP="00F5767B">
      <w:pPr>
        <w:pStyle w:val="TEKSTIII"/>
      </w:pPr>
      <w:r w:rsidRPr="004A47DC">
        <w:t xml:space="preserve">- </w:t>
      </w:r>
      <w:r w:rsidR="004719D2" w:rsidRPr="004A47DC">
        <w:t xml:space="preserve">Forcimi i rolit koordinues në hartimin dhe monitorimin e një </w:t>
      </w:r>
      <w:r w:rsidR="004E7351" w:rsidRPr="004A47DC">
        <w:t>strategjie kombëtare kundër mashtrimit për mbrojtjen e interesave fina</w:t>
      </w:r>
      <w:r w:rsidR="004719D2" w:rsidRPr="004A47DC">
        <w:t>nciare të BE-së.</w:t>
      </w:r>
    </w:p>
    <w:p w14:paraId="5D06ADA4" w14:textId="77777777" w:rsidR="004719D2" w:rsidRPr="005A2A99" w:rsidRDefault="004719D2" w:rsidP="00F5767B">
      <w:pPr>
        <w:pStyle w:val="TEKSTIII"/>
        <w:rPr>
          <w:sz w:val="12"/>
        </w:rPr>
      </w:pPr>
    </w:p>
    <w:p w14:paraId="644049C9" w14:textId="77777777" w:rsidR="004719D2" w:rsidRPr="004A47DC" w:rsidRDefault="004719D2" w:rsidP="004719D2">
      <w:pPr>
        <w:pStyle w:val="H5"/>
        <w:spacing w:after="0" w:line="240" w:lineRule="auto"/>
        <w:rPr>
          <w:rFonts w:ascii="Garamond" w:hAnsi="Garamond"/>
          <w:color w:val="000000" w:themeColor="text1"/>
          <w:sz w:val="24"/>
        </w:rPr>
      </w:pPr>
      <w:r w:rsidRPr="004A47DC">
        <w:rPr>
          <w:rStyle w:val="rynqvb"/>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3568"/>
        <w:gridCol w:w="2684"/>
        <w:gridCol w:w="696"/>
        <w:gridCol w:w="854"/>
        <w:gridCol w:w="1259"/>
      </w:tblGrid>
      <w:tr w:rsidR="004719D2" w:rsidRPr="004A47DC" w14:paraId="2B8D9FA6" w14:textId="77777777" w:rsidTr="006D20A2">
        <w:trPr>
          <w:cantSplit/>
          <w:trHeight w:val="20"/>
          <w:tblHeader/>
        </w:trPr>
        <w:tc>
          <w:tcPr>
            <w:tcW w:w="1969" w:type="pct"/>
            <w:shd w:val="clear" w:color="auto" w:fill="D9D9D9" w:themeFill="background1" w:themeFillShade="D9"/>
            <w:vAlign w:val="center"/>
          </w:tcPr>
          <w:p w14:paraId="115BA2BA"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481" w:type="pct"/>
            <w:shd w:val="clear" w:color="auto" w:fill="D9D9D9" w:themeFill="background1" w:themeFillShade="D9"/>
            <w:vAlign w:val="center"/>
          </w:tcPr>
          <w:p w14:paraId="037E72F8"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4" w:type="pct"/>
            <w:shd w:val="clear" w:color="auto" w:fill="D9D9D9" w:themeFill="background1" w:themeFillShade="D9"/>
            <w:vAlign w:val="center"/>
          </w:tcPr>
          <w:p w14:paraId="250D4CD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0A48B4A9"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695" w:type="pct"/>
            <w:shd w:val="clear" w:color="auto" w:fill="D9D9D9" w:themeFill="background1" w:themeFillShade="D9"/>
            <w:vAlign w:val="center"/>
          </w:tcPr>
          <w:p w14:paraId="22477CDB" w14:textId="77777777" w:rsidR="004719D2" w:rsidRPr="004A47DC" w:rsidRDefault="004719D2" w:rsidP="006D20A2">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1C5181AF" w14:textId="77777777" w:rsidTr="006D20A2">
        <w:trPr>
          <w:trHeight w:val="20"/>
        </w:trPr>
        <w:tc>
          <w:tcPr>
            <w:tcW w:w="1969" w:type="pct"/>
            <w:shd w:val="clear" w:color="auto" w:fill="auto"/>
            <w:vAlign w:val="center"/>
          </w:tcPr>
          <w:p w14:paraId="73325EB8" w14:textId="746BDF08"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5.3.1 </w:t>
            </w:r>
            <w:r w:rsidRPr="004A47DC">
              <w:rPr>
                <w:rStyle w:val="rynqvb"/>
                <w:rFonts w:ascii="Garamond" w:hAnsi="Garamond"/>
                <w:color w:val="000000" w:themeColor="text1"/>
              </w:rPr>
              <w:t xml:space="preserve">Rritja e bashkëpunimit me </w:t>
            </w:r>
            <w:r w:rsidR="004E7351" w:rsidRPr="004A47DC">
              <w:rPr>
                <w:rStyle w:val="rynqvb"/>
                <w:rFonts w:ascii="Garamond" w:hAnsi="Garamond"/>
                <w:color w:val="000000" w:themeColor="text1"/>
              </w:rPr>
              <w:t xml:space="preserve">auditimin e brendshëm </w:t>
            </w:r>
            <w:r w:rsidRPr="004A47DC">
              <w:rPr>
                <w:rStyle w:val="rynqvb"/>
                <w:rFonts w:ascii="Garamond" w:hAnsi="Garamond"/>
                <w:color w:val="000000" w:themeColor="text1"/>
              </w:rPr>
              <w:t>dhe KLSH</w:t>
            </w:r>
            <w:r w:rsidR="004E7351">
              <w:rPr>
                <w:rStyle w:val="rynqvb"/>
                <w:rFonts w:ascii="Garamond" w:hAnsi="Garamond"/>
                <w:color w:val="000000" w:themeColor="text1"/>
              </w:rPr>
              <w:t>-në</w:t>
            </w:r>
          </w:p>
        </w:tc>
        <w:tc>
          <w:tcPr>
            <w:tcW w:w="1481" w:type="pct"/>
            <w:vAlign w:val="center"/>
          </w:tcPr>
          <w:p w14:paraId="6E68BA9E" w14:textId="32C8311D" w:rsidR="004719D2" w:rsidRPr="004A47DC" w:rsidRDefault="008438A2"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Zbatimi i MM</w:t>
            </w:r>
            <w:r w:rsidR="004E7351">
              <w:rPr>
                <w:rFonts w:ascii="Garamond" w:hAnsi="Garamond"/>
                <w:sz w:val="16"/>
                <w:szCs w:val="16"/>
              </w:rPr>
              <w:t>-së</w:t>
            </w:r>
            <w:r w:rsidR="004719D2" w:rsidRPr="004A47DC">
              <w:rPr>
                <w:rFonts w:ascii="Garamond" w:hAnsi="Garamond"/>
                <w:sz w:val="16"/>
                <w:szCs w:val="16"/>
              </w:rPr>
              <w:t xml:space="preserve"> ndërmjet </w:t>
            </w:r>
            <w:r w:rsidR="004E7351">
              <w:rPr>
                <w:rFonts w:ascii="Garamond" w:hAnsi="Garamond"/>
                <w:sz w:val="16"/>
                <w:szCs w:val="16"/>
              </w:rPr>
              <w:t>i</w:t>
            </w:r>
            <w:r w:rsidR="004719D2" w:rsidRPr="004A47DC">
              <w:rPr>
                <w:rFonts w:ascii="Garamond" w:hAnsi="Garamond"/>
                <w:sz w:val="16"/>
                <w:szCs w:val="16"/>
              </w:rPr>
              <w:t xml:space="preserve">nspektimit </w:t>
            </w:r>
            <w:r w:rsidR="004E7351">
              <w:rPr>
                <w:rFonts w:ascii="Garamond" w:hAnsi="Garamond"/>
                <w:sz w:val="16"/>
                <w:szCs w:val="16"/>
              </w:rPr>
              <w:t>f</w:t>
            </w:r>
            <w:r w:rsidR="004719D2" w:rsidRPr="004A47DC">
              <w:rPr>
                <w:rFonts w:ascii="Garamond" w:hAnsi="Garamond"/>
                <w:sz w:val="16"/>
                <w:szCs w:val="16"/>
              </w:rPr>
              <w:t>inanciar, KLSH-së dhe auditimit të brendshëm</w:t>
            </w:r>
            <w:r w:rsidR="004E7351">
              <w:rPr>
                <w:rFonts w:ascii="Garamond" w:hAnsi="Garamond"/>
                <w:sz w:val="16"/>
                <w:szCs w:val="16"/>
              </w:rPr>
              <w:t>.</w:t>
            </w:r>
          </w:p>
        </w:tc>
        <w:tc>
          <w:tcPr>
            <w:tcW w:w="384" w:type="pct"/>
            <w:vAlign w:val="center"/>
          </w:tcPr>
          <w:p w14:paraId="42CC305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2E666313"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95" w:type="pct"/>
          </w:tcPr>
          <w:p w14:paraId="28F3ACF7"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273F4A23" w14:textId="5FB50ED0"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DIFP</w:t>
            </w:r>
            <w:r w:rsidR="004E7351">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420BE25A"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5CF77507" w14:textId="77777777" w:rsidR="004719D2" w:rsidRPr="004A47DC" w:rsidRDefault="004719D2" w:rsidP="00CF7CEC">
            <w:pPr>
              <w:pStyle w:val="EcorysBody"/>
              <w:spacing w:line="240" w:lineRule="auto"/>
              <w:rPr>
                <w:rFonts w:ascii="Garamond" w:hAnsi="Garamond"/>
                <w:color w:val="000000" w:themeColor="text1"/>
                <w:sz w:val="16"/>
                <w:szCs w:val="16"/>
              </w:rPr>
            </w:pPr>
          </w:p>
        </w:tc>
      </w:tr>
      <w:tr w:rsidR="004719D2" w:rsidRPr="004A47DC" w14:paraId="4D6328E0" w14:textId="77777777" w:rsidTr="006D20A2">
        <w:trPr>
          <w:trHeight w:val="20"/>
        </w:trPr>
        <w:tc>
          <w:tcPr>
            <w:tcW w:w="1969" w:type="pct"/>
            <w:vMerge w:val="restart"/>
            <w:shd w:val="clear" w:color="auto" w:fill="auto"/>
          </w:tcPr>
          <w:p w14:paraId="7DE8DEE0" w14:textId="60A3C805"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5.3.2 </w:t>
            </w:r>
            <w:r w:rsidRPr="004A47DC">
              <w:rPr>
                <w:rStyle w:val="rynqvb"/>
                <w:rFonts w:ascii="Garamond" w:hAnsi="Garamond"/>
                <w:color w:val="000000" w:themeColor="text1"/>
              </w:rPr>
              <w:t xml:space="preserve">Koordinimi i hartimit dhe monitorimit të </w:t>
            </w:r>
            <w:r w:rsidR="004E7351" w:rsidRPr="004A47DC">
              <w:rPr>
                <w:rStyle w:val="rynqvb"/>
                <w:rFonts w:ascii="Garamond" w:hAnsi="Garamond"/>
                <w:color w:val="000000" w:themeColor="text1"/>
              </w:rPr>
              <w:t xml:space="preserve">strategjisë kombëtare kundër mashtrimit për mbrojtjen e interesave financiare </w:t>
            </w:r>
            <w:r w:rsidRPr="004A47DC">
              <w:rPr>
                <w:rStyle w:val="rynqvb"/>
                <w:rFonts w:ascii="Garamond" w:hAnsi="Garamond"/>
                <w:color w:val="000000" w:themeColor="text1"/>
              </w:rPr>
              <w:t>të BE-së</w:t>
            </w:r>
          </w:p>
        </w:tc>
        <w:tc>
          <w:tcPr>
            <w:tcW w:w="1481" w:type="pct"/>
          </w:tcPr>
          <w:p w14:paraId="69BB4271" w14:textId="60EB0268" w:rsidR="004719D2" w:rsidRPr="004A47DC" w:rsidRDefault="008438A2"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Koordinimi i hartimit të </w:t>
            </w:r>
            <w:r w:rsidR="004E7351" w:rsidRPr="004A47DC">
              <w:rPr>
                <w:rFonts w:ascii="Garamond" w:hAnsi="Garamond"/>
                <w:sz w:val="16"/>
                <w:szCs w:val="16"/>
              </w:rPr>
              <w:t>strategjisë kombëtare kundër mashtri</w:t>
            </w:r>
            <w:r w:rsidR="004719D2" w:rsidRPr="004A47DC">
              <w:rPr>
                <w:rFonts w:ascii="Garamond" w:hAnsi="Garamond"/>
                <w:sz w:val="16"/>
                <w:szCs w:val="16"/>
              </w:rPr>
              <w:t>mit për mbrojtjen e interesave financiare të BE-së.</w:t>
            </w:r>
          </w:p>
        </w:tc>
        <w:tc>
          <w:tcPr>
            <w:tcW w:w="384" w:type="pct"/>
            <w:vAlign w:val="center"/>
          </w:tcPr>
          <w:p w14:paraId="4FF0C7A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vAlign w:val="center"/>
          </w:tcPr>
          <w:p w14:paraId="63296E3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95" w:type="pct"/>
            <w:vMerge w:val="restart"/>
          </w:tcPr>
          <w:p w14:paraId="47765EE4"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23233708" w14:textId="400637CD"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DIFP</w:t>
            </w:r>
            <w:r w:rsidR="004E7351">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1902FE75"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22E88C19"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4E535A65" w14:textId="49977F13"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BE</w:t>
            </w:r>
            <w:r w:rsidR="004E7351">
              <w:rPr>
                <w:rFonts w:ascii="Garamond" w:hAnsi="Garamond" w:cs="Arial"/>
                <w:color w:val="000000" w:themeColor="text1"/>
                <w:sz w:val="16"/>
                <w:szCs w:val="16"/>
              </w:rPr>
              <w:t>-ja</w:t>
            </w:r>
            <w:r w:rsidRPr="004A47DC">
              <w:rPr>
                <w:rFonts w:ascii="Garamond" w:hAnsi="Garamond" w:cs="Arial"/>
                <w:color w:val="000000" w:themeColor="text1"/>
                <w:sz w:val="16"/>
                <w:szCs w:val="16"/>
              </w:rPr>
              <w:t>, SIGMA</w:t>
            </w:r>
            <w:r w:rsidRPr="004A47DC">
              <w:rPr>
                <w:rStyle w:val="FootnoteReference"/>
                <w:rFonts w:ascii="Garamond" w:hAnsi="Garamond"/>
                <w:color w:val="000000" w:themeColor="text1"/>
                <w:sz w:val="16"/>
                <w:szCs w:val="16"/>
              </w:rPr>
              <w:footnoteReference w:id="74"/>
            </w:r>
          </w:p>
          <w:p w14:paraId="6EBFC12F" w14:textId="77777777" w:rsidR="004719D2" w:rsidRPr="004A47DC" w:rsidRDefault="004719D2" w:rsidP="00CF7CEC">
            <w:pPr>
              <w:rPr>
                <w:rFonts w:ascii="Garamond" w:hAnsi="Garamond"/>
                <w:color w:val="000000" w:themeColor="text1"/>
                <w:sz w:val="16"/>
                <w:szCs w:val="16"/>
              </w:rPr>
            </w:pPr>
          </w:p>
        </w:tc>
      </w:tr>
      <w:tr w:rsidR="004719D2" w:rsidRPr="004A47DC" w14:paraId="73C38BB9" w14:textId="77777777" w:rsidTr="006D20A2">
        <w:trPr>
          <w:trHeight w:val="566"/>
        </w:trPr>
        <w:tc>
          <w:tcPr>
            <w:tcW w:w="1969" w:type="pct"/>
            <w:vMerge/>
            <w:shd w:val="clear" w:color="auto" w:fill="auto"/>
          </w:tcPr>
          <w:p w14:paraId="7023FC81" w14:textId="77777777" w:rsidR="004719D2" w:rsidRPr="004A47DC" w:rsidRDefault="004719D2" w:rsidP="00CF7CEC">
            <w:pPr>
              <w:pStyle w:val="T-bold"/>
              <w:spacing w:line="240" w:lineRule="auto"/>
              <w:rPr>
                <w:rFonts w:ascii="Garamond" w:hAnsi="Garamond"/>
                <w:color w:val="000000" w:themeColor="text1"/>
              </w:rPr>
            </w:pPr>
          </w:p>
        </w:tc>
        <w:tc>
          <w:tcPr>
            <w:tcW w:w="1481" w:type="pct"/>
          </w:tcPr>
          <w:p w14:paraId="2F9AC69E" w14:textId="57B2DCC2" w:rsidR="004719D2" w:rsidRPr="004A47DC" w:rsidRDefault="008438A2" w:rsidP="008438A2">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Monitorimi dhe raportimi i zbatimit të Strategjisë Kombëtare Kundër Mashtrimit.</w:t>
            </w:r>
          </w:p>
        </w:tc>
        <w:tc>
          <w:tcPr>
            <w:tcW w:w="384" w:type="pct"/>
            <w:vAlign w:val="center"/>
          </w:tcPr>
          <w:p w14:paraId="5FC268A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 xml:space="preserve">T1 2025 </w:t>
            </w:r>
          </w:p>
        </w:tc>
        <w:tc>
          <w:tcPr>
            <w:tcW w:w="471" w:type="pct"/>
            <w:vAlign w:val="center"/>
          </w:tcPr>
          <w:p w14:paraId="40358C8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95" w:type="pct"/>
            <w:vMerge/>
          </w:tcPr>
          <w:p w14:paraId="615E2523" w14:textId="77777777" w:rsidR="004719D2" w:rsidRPr="004A47DC" w:rsidRDefault="004719D2" w:rsidP="00CF7CEC">
            <w:pPr>
              <w:rPr>
                <w:rFonts w:ascii="Garamond" w:hAnsi="Garamond"/>
                <w:color w:val="000000" w:themeColor="text1"/>
                <w:sz w:val="16"/>
                <w:szCs w:val="16"/>
              </w:rPr>
            </w:pPr>
          </w:p>
        </w:tc>
      </w:tr>
    </w:tbl>
    <w:p w14:paraId="2FD43A82" w14:textId="77777777" w:rsidR="004719D2" w:rsidRPr="005A2A99" w:rsidRDefault="004719D2" w:rsidP="004719D2">
      <w:pPr>
        <w:pStyle w:val="H5"/>
        <w:spacing w:after="0" w:line="240" w:lineRule="auto"/>
        <w:rPr>
          <w:rFonts w:ascii="Garamond" w:hAnsi="Garamond"/>
          <w:color w:val="000000" w:themeColor="text1"/>
          <w:sz w:val="20"/>
        </w:rPr>
      </w:pPr>
    </w:p>
    <w:p w14:paraId="7BD56244"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9017" w:type="dxa"/>
        <w:tblLayout w:type="fixed"/>
        <w:tblCellMar>
          <w:top w:w="28" w:type="dxa"/>
          <w:left w:w="57" w:type="dxa"/>
          <w:bottom w:w="28" w:type="dxa"/>
          <w:right w:w="57" w:type="dxa"/>
        </w:tblCellMar>
        <w:tblLook w:val="04A0" w:firstRow="1" w:lastRow="0" w:firstColumn="1" w:lastColumn="0" w:noHBand="0" w:noVBand="1"/>
      </w:tblPr>
      <w:tblGrid>
        <w:gridCol w:w="3114"/>
        <w:gridCol w:w="1180"/>
        <w:gridCol w:w="1181"/>
        <w:gridCol w:w="1180"/>
        <w:gridCol w:w="1181"/>
        <w:gridCol w:w="1181"/>
      </w:tblGrid>
      <w:tr w:rsidR="004719D2" w:rsidRPr="004E7351" w14:paraId="4CFC46BE" w14:textId="77777777" w:rsidTr="004E7351">
        <w:trPr>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27D120"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Treguesi</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8E8D5E"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Vlera bazë (viti)</w:t>
            </w:r>
          </w:p>
        </w:tc>
        <w:tc>
          <w:tcPr>
            <w:tcW w:w="47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5D239B2"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Vlerat e synuara</w:t>
            </w:r>
          </w:p>
        </w:tc>
      </w:tr>
      <w:tr w:rsidR="004719D2" w:rsidRPr="004E7351" w14:paraId="53F39A58" w14:textId="77777777" w:rsidTr="004E7351">
        <w:trPr>
          <w:tblHead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532C224" w14:textId="77777777" w:rsidR="004719D2" w:rsidRPr="004E7351" w:rsidRDefault="004719D2" w:rsidP="004E7351">
            <w:pPr>
              <w:pStyle w:val="T-bold"/>
              <w:spacing w:line="240" w:lineRule="auto"/>
              <w:jc w:val="center"/>
              <w:rPr>
                <w:rFonts w:ascii="Garamond" w:hAnsi="Garamond"/>
                <w:color w:val="000000" w:themeColor="text1"/>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74E8DC3" w14:textId="77777777" w:rsidR="004719D2" w:rsidRPr="004E7351" w:rsidRDefault="004719D2" w:rsidP="004E7351">
            <w:pPr>
              <w:pStyle w:val="T-bold"/>
              <w:spacing w:line="240" w:lineRule="auto"/>
              <w:jc w:val="center"/>
              <w:rPr>
                <w:rFonts w:ascii="Garamond" w:hAnsi="Garamond"/>
                <w:color w:val="000000" w:themeColor="text1"/>
              </w:rPr>
            </w:pP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A12B88"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2023</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0FFB5E"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2024</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2AFB78"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2025</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FE1EE1" w14:textId="77777777" w:rsidR="004719D2" w:rsidRPr="004E7351" w:rsidRDefault="004719D2" w:rsidP="004E7351">
            <w:pPr>
              <w:pStyle w:val="T-bold"/>
              <w:spacing w:line="240" w:lineRule="auto"/>
              <w:jc w:val="center"/>
              <w:rPr>
                <w:rFonts w:ascii="Garamond" w:hAnsi="Garamond"/>
                <w:color w:val="000000" w:themeColor="text1"/>
              </w:rPr>
            </w:pPr>
            <w:r w:rsidRPr="004E7351">
              <w:rPr>
                <w:rFonts w:ascii="Garamond" w:hAnsi="Garamond"/>
                <w:color w:val="000000" w:themeColor="text1"/>
              </w:rPr>
              <w:t>2026</w:t>
            </w:r>
          </w:p>
        </w:tc>
      </w:tr>
      <w:tr w:rsidR="004719D2" w:rsidRPr="004E7351" w14:paraId="612F0238" w14:textId="77777777" w:rsidTr="00CF7CEC">
        <w:tc>
          <w:tcPr>
            <w:tcW w:w="3114" w:type="dxa"/>
            <w:tcBorders>
              <w:top w:val="single" w:sz="4" w:space="0" w:color="auto"/>
              <w:left w:val="single" w:sz="4" w:space="0" w:color="auto"/>
              <w:bottom w:val="single" w:sz="4" w:space="0" w:color="auto"/>
              <w:right w:val="single" w:sz="4" w:space="0" w:color="auto"/>
            </w:tcBorders>
          </w:tcPr>
          <w:p w14:paraId="4374FE81" w14:textId="281A5299" w:rsidR="004719D2" w:rsidRPr="004E7351" w:rsidRDefault="008438A2" w:rsidP="008438A2">
            <w:pPr>
              <w:rPr>
                <w:rFonts w:ascii="Garamond" w:hAnsi="Garamond"/>
                <w:sz w:val="16"/>
                <w:szCs w:val="16"/>
              </w:rPr>
            </w:pPr>
            <w:r w:rsidRPr="004E7351">
              <w:rPr>
                <w:rFonts w:ascii="Garamond" w:hAnsi="Garamond"/>
                <w:sz w:val="16"/>
                <w:szCs w:val="16"/>
              </w:rPr>
              <w:t xml:space="preserve">1. </w:t>
            </w:r>
            <w:r w:rsidR="004719D2" w:rsidRPr="004E7351">
              <w:rPr>
                <w:rFonts w:ascii="Garamond" w:hAnsi="Garamond"/>
                <w:sz w:val="16"/>
                <w:szCs w:val="16"/>
              </w:rPr>
              <w:t>Strategjia Kombëtare Kundër Mashtrimit (SKKM) për mbrojtjen e interesave financiare të BE-së është miratuar dhe monitoruar.</w:t>
            </w:r>
          </w:p>
        </w:tc>
        <w:tc>
          <w:tcPr>
            <w:tcW w:w="1180" w:type="dxa"/>
            <w:tcBorders>
              <w:top w:val="single" w:sz="4" w:space="0" w:color="auto"/>
              <w:left w:val="single" w:sz="4" w:space="0" w:color="auto"/>
              <w:bottom w:val="single" w:sz="4" w:space="0" w:color="auto"/>
              <w:right w:val="single" w:sz="4" w:space="0" w:color="auto"/>
            </w:tcBorders>
            <w:vAlign w:val="center"/>
          </w:tcPr>
          <w:p w14:paraId="7A548136"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16EDF978"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tcPr>
          <w:p w14:paraId="42882605"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SKKM</w:t>
            </w:r>
          </w:p>
          <w:p w14:paraId="7C2754D8" w14:textId="158A04E7" w:rsidR="004719D2" w:rsidRPr="004E7351" w:rsidRDefault="004E7351" w:rsidP="00CF7CEC">
            <w:pPr>
              <w:pStyle w:val="T-normal"/>
              <w:spacing w:line="240" w:lineRule="auto"/>
              <w:jc w:val="center"/>
              <w:rPr>
                <w:rFonts w:ascii="Garamond" w:hAnsi="Garamond"/>
                <w:color w:val="000000" w:themeColor="text1"/>
                <w:lang w:val="sq-AL"/>
              </w:rPr>
            </w:pPr>
            <w:r>
              <w:rPr>
                <w:rFonts w:ascii="Garamond" w:hAnsi="Garamond"/>
                <w:color w:val="000000" w:themeColor="text1"/>
                <w:lang w:val="sq-AL"/>
              </w:rPr>
              <w:t>p</w:t>
            </w:r>
            <w:r w:rsidR="004719D2" w:rsidRPr="004E7351">
              <w:rPr>
                <w:rFonts w:ascii="Garamond" w:hAnsi="Garamond"/>
                <w:color w:val="000000" w:themeColor="text1"/>
                <w:lang w:val="sq-AL"/>
              </w:rPr>
              <w:t>ërgatitur/ miratuar</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0BEEEA2B"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SKKM</w:t>
            </w:r>
          </w:p>
          <w:p w14:paraId="679A254C"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raportuar dhe monitoruar</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14:paraId="1F95BEDC"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SKKM</w:t>
            </w:r>
          </w:p>
          <w:p w14:paraId="4EC7C720" w14:textId="77777777" w:rsidR="004719D2" w:rsidRPr="004E7351" w:rsidRDefault="004719D2" w:rsidP="00CF7CEC">
            <w:pPr>
              <w:pStyle w:val="T-normal"/>
              <w:spacing w:line="240" w:lineRule="auto"/>
              <w:jc w:val="center"/>
              <w:rPr>
                <w:rFonts w:ascii="Garamond" w:hAnsi="Garamond"/>
                <w:color w:val="000000" w:themeColor="text1"/>
                <w:lang w:val="sq-AL"/>
              </w:rPr>
            </w:pPr>
            <w:r w:rsidRPr="004E7351">
              <w:rPr>
                <w:rFonts w:ascii="Garamond" w:hAnsi="Garamond"/>
                <w:color w:val="000000" w:themeColor="text1"/>
                <w:lang w:val="sq-AL"/>
              </w:rPr>
              <w:t xml:space="preserve"> raportuar dhe monitoruar</w:t>
            </w:r>
          </w:p>
        </w:tc>
      </w:tr>
    </w:tbl>
    <w:p w14:paraId="63751840" w14:textId="77777777" w:rsidR="004719D2" w:rsidRPr="004A47DC" w:rsidRDefault="004719D2" w:rsidP="004719D2">
      <w:pPr>
        <w:rPr>
          <w:rFonts w:ascii="Garamond" w:hAnsi="Garamond" w:cstheme="majorBidi"/>
          <w:iCs/>
          <w:color w:val="000000" w:themeColor="text1"/>
        </w:rPr>
      </w:pPr>
    </w:p>
    <w:p w14:paraId="3BB025FB" w14:textId="54BFE65A" w:rsidR="004719D2" w:rsidRPr="004A47DC" w:rsidRDefault="008438A2" w:rsidP="008438A2">
      <w:pPr>
        <w:pStyle w:val="TEKSTIII"/>
        <w:rPr>
          <w:b/>
        </w:rPr>
      </w:pPr>
      <w:bookmarkStart w:id="47" w:name="_Toc168918701"/>
      <w:r w:rsidRPr="004A47DC">
        <w:rPr>
          <w:b/>
        </w:rPr>
        <w:t xml:space="preserve">6.5 </w:t>
      </w:r>
      <w:r w:rsidR="004719D2" w:rsidRPr="004A47DC">
        <w:rPr>
          <w:b/>
        </w:rPr>
        <w:t>Komponent 5.4</w:t>
      </w:r>
      <w:r w:rsidR="006D20A2" w:rsidRPr="004A47DC">
        <w:rPr>
          <w:b/>
        </w:rPr>
        <w:t>:</w:t>
      </w:r>
      <w:r w:rsidR="004719D2" w:rsidRPr="004A47DC">
        <w:rPr>
          <w:b/>
        </w:rPr>
        <w:t xml:space="preserve"> </w:t>
      </w:r>
      <w:bookmarkEnd w:id="46"/>
      <w:r w:rsidR="004719D2" w:rsidRPr="004A47DC">
        <w:rPr>
          <w:b/>
        </w:rPr>
        <w:t>Menaxhimi i fondeve të BE</w:t>
      </w:r>
      <w:bookmarkEnd w:id="47"/>
      <w:r w:rsidR="004E7351" w:rsidRPr="004A47DC">
        <w:rPr>
          <w:b/>
        </w:rPr>
        <w:t>-së</w:t>
      </w:r>
    </w:p>
    <w:p w14:paraId="7CF5E7FF" w14:textId="77777777" w:rsidR="004719D2" w:rsidRPr="004A47DC" w:rsidRDefault="004719D2" w:rsidP="008438A2">
      <w:pPr>
        <w:pStyle w:val="TEKSTIII"/>
        <w:rPr>
          <w:b/>
        </w:rPr>
      </w:pPr>
      <w:r w:rsidRPr="004A47DC">
        <w:rPr>
          <w:b/>
        </w:rPr>
        <w:t>Objektivi</w:t>
      </w:r>
    </w:p>
    <w:p w14:paraId="00D2188D" w14:textId="2EB96464" w:rsidR="004719D2" w:rsidRPr="004A47DC" w:rsidRDefault="004719D2" w:rsidP="008438A2">
      <w:pPr>
        <w:pStyle w:val="TEKSTIII"/>
      </w:pPr>
      <w:r w:rsidRPr="004A47DC">
        <w:t>Synimi për vitin 2030 është që të ketë sisteme të përshtatshme të MFP</w:t>
      </w:r>
      <w:r w:rsidR="004E7351" w:rsidRPr="004E7351">
        <w:t>-së</w:t>
      </w:r>
      <w:r w:rsidR="004E7351">
        <w:t>,</w:t>
      </w:r>
      <w:r w:rsidRPr="004A47DC">
        <w:t xml:space="preserve"> në përputhje me kërkesat e BE-së për menaxhim të shëndoshë financiar, në mënyrë që të përthithen në mënyrë efektive fondet e BE-së. </w:t>
      </w:r>
    </w:p>
    <w:p w14:paraId="261D6F1D" w14:textId="77777777" w:rsidR="004719D2" w:rsidRPr="004A47DC" w:rsidRDefault="004719D2" w:rsidP="008438A2">
      <w:pPr>
        <w:pStyle w:val="TEKSTIII"/>
        <w:rPr>
          <w:b/>
        </w:rPr>
      </w:pPr>
      <w:r w:rsidRPr="004A47DC">
        <w:rPr>
          <w:b/>
        </w:rPr>
        <w:t>Konteksti</w:t>
      </w:r>
    </w:p>
    <w:p w14:paraId="74FCAAD1" w14:textId="02F402CE" w:rsidR="004719D2" w:rsidRPr="004E7351" w:rsidRDefault="004719D2" w:rsidP="004E7351">
      <w:pPr>
        <w:pStyle w:val="TEKSTIII"/>
      </w:pPr>
      <w:r w:rsidRPr="004A47DC">
        <w:rPr>
          <w:rStyle w:val="rynqvb"/>
          <w:color w:val="000000" w:themeColor="text1"/>
        </w:rPr>
        <w:t xml:space="preserve">Konferenca e parë </w:t>
      </w:r>
      <w:r w:rsidR="004E7351">
        <w:rPr>
          <w:rStyle w:val="rynqvb"/>
          <w:color w:val="000000" w:themeColor="text1"/>
        </w:rPr>
        <w:t>n</w:t>
      </w:r>
      <w:r w:rsidRPr="004A47DC">
        <w:rPr>
          <w:rStyle w:val="rynqvb"/>
          <w:color w:val="000000" w:themeColor="text1"/>
        </w:rPr>
        <w:t xml:space="preserve">dërqeveritare për negociatat e anëtarësimit me Shqipërinë u zhvillua më 19 korrik 2022 dhe </w:t>
      </w:r>
      <w:r w:rsidR="00CE6AE5" w:rsidRPr="004A47DC">
        <w:rPr>
          <w:rStyle w:val="rynqvb"/>
          <w:color w:val="000000" w:themeColor="text1"/>
        </w:rPr>
        <w:t>‘</w:t>
      </w:r>
      <w:r w:rsidRPr="004A47DC">
        <w:rPr>
          <w:rStyle w:val="rynqvb"/>
          <w:color w:val="000000" w:themeColor="text1"/>
        </w:rPr>
        <w:t>shqyrtimi</w:t>
      </w:r>
      <w:r w:rsidR="00CE6AE5" w:rsidRPr="004A47DC">
        <w:rPr>
          <w:rStyle w:val="rynqvb"/>
          <w:color w:val="000000" w:themeColor="text1"/>
        </w:rPr>
        <w:t>’</w:t>
      </w:r>
      <w:r w:rsidRPr="004A47DC">
        <w:rPr>
          <w:rStyle w:val="rynqvb"/>
          <w:color w:val="000000" w:themeColor="text1"/>
        </w:rPr>
        <w:t xml:space="preserve"> nisi në të njëjtën datë.</w:t>
      </w:r>
      <w:r w:rsidRPr="004A47DC">
        <w:rPr>
          <w:rStyle w:val="hwtze"/>
          <w:color w:val="000000" w:themeColor="text1"/>
        </w:rPr>
        <w:t xml:space="preserve"> </w:t>
      </w:r>
      <w:r w:rsidRPr="004A47DC">
        <w:rPr>
          <w:rStyle w:val="rynqvb"/>
          <w:color w:val="000000" w:themeColor="text1"/>
        </w:rPr>
        <w:t>Shqipëria po merr ndihmë financiare</w:t>
      </w:r>
      <w:r w:rsidR="004E7351">
        <w:rPr>
          <w:rStyle w:val="rynqvb"/>
          <w:color w:val="000000" w:themeColor="text1"/>
        </w:rPr>
        <w:t>,</w:t>
      </w:r>
      <w:r w:rsidRPr="004A47DC">
        <w:rPr>
          <w:rStyle w:val="rynqvb"/>
          <w:color w:val="000000" w:themeColor="text1"/>
        </w:rPr>
        <w:t xml:space="preserve"> në kuadër të IPA III, ku objektivi kryesor është të mbështesë përfituesit në miratimin dhe zbatimin e reformave politike, institucionale, ligjore, administrative, sociale dhe ekonomike që kërkohen për të përmbushur vlerat e </w:t>
      </w:r>
      <w:r w:rsidR="004E7351" w:rsidRPr="004A47DC">
        <w:rPr>
          <w:rStyle w:val="rynqvb"/>
          <w:color w:val="000000" w:themeColor="text1"/>
        </w:rPr>
        <w:t>b</w:t>
      </w:r>
      <w:r w:rsidRPr="004A47DC">
        <w:rPr>
          <w:rStyle w:val="rynqvb"/>
          <w:color w:val="000000" w:themeColor="text1"/>
        </w:rPr>
        <w:t>ashkimit.</w:t>
      </w:r>
      <w:r w:rsidRPr="004A47DC">
        <w:rPr>
          <w:rStyle w:val="hwtze"/>
          <w:color w:val="000000" w:themeColor="text1"/>
        </w:rPr>
        <w:t xml:space="preserve"> </w:t>
      </w:r>
      <w:r w:rsidRPr="004A47DC">
        <w:rPr>
          <w:rStyle w:val="rynqvb"/>
          <w:color w:val="000000" w:themeColor="text1"/>
        </w:rPr>
        <w:t xml:space="preserve">Shumë etapa të rëndësishme janë përfunduar deri më tani, si ratifikimi i </w:t>
      </w:r>
      <w:r w:rsidR="00E33A13" w:rsidRPr="004A47DC">
        <w:rPr>
          <w:rStyle w:val="rynqvb"/>
          <w:color w:val="000000" w:themeColor="text1"/>
        </w:rPr>
        <w:t>“</w:t>
      </w:r>
      <w:r w:rsidRPr="004A47DC">
        <w:rPr>
          <w:rStyle w:val="rynqvb"/>
          <w:color w:val="000000" w:themeColor="text1"/>
        </w:rPr>
        <w:t xml:space="preserve">Marrëveshjes </w:t>
      </w:r>
      <w:r w:rsidR="004E7351" w:rsidRPr="004A47DC">
        <w:rPr>
          <w:rStyle w:val="rynqvb"/>
          <w:color w:val="000000" w:themeColor="text1"/>
        </w:rPr>
        <w:t>kornizë financiare të partneritetit ndërm</w:t>
      </w:r>
      <w:r w:rsidRPr="004A47DC">
        <w:rPr>
          <w:rStyle w:val="rynqvb"/>
          <w:color w:val="000000" w:themeColor="text1"/>
        </w:rPr>
        <w:t xml:space="preserve">jet Komisionit </w:t>
      </w:r>
      <w:r w:rsidR="004E7351" w:rsidRPr="004A47DC">
        <w:rPr>
          <w:rStyle w:val="rynqvb"/>
          <w:color w:val="000000" w:themeColor="text1"/>
        </w:rPr>
        <w:t>Evropian</w:t>
      </w:r>
      <w:r w:rsidRPr="004A47DC">
        <w:rPr>
          <w:rStyle w:val="rynqvb"/>
          <w:color w:val="000000" w:themeColor="text1"/>
        </w:rPr>
        <w:t xml:space="preserve"> dhe Republikës së Shqipërisë, për IPA III</w:t>
      </w:r>
      <w:r w:rsidR="00E33A13" w:rsidRPr="004A47DC">
        <w:rPr>
          <w:rStyle w:val="rynqvb"/>
          <w:color w:val="000000" w:themeColor="text1"/>
        </w:rPr>
        <w:t>”</w:t>
      </w:r>
      <w:r w:rsidRPr="004A47DC">
        <w:rPr>
          <w:rStyle w:val="FootnoteReference"/>
          <w:rFonts w:ascii="Garamond" w:hAnsi="Garamond"/>
          <w:color w:val="000000" w:themeColor="text1"/>
        </w:rPr>
        <w:t xml:space="preserve"> </w:t>
      </w:r>
      <w:r w:rsidRPr="004E7351">
        <w:rPr>
          <w:rStyle w:val="FootnoteReference"/>
          <w:rFonts w:ascii="Garamond" w:hAnsi="Garamond"/>
          <w:color w:val="000000" w:themeColor="text1"/>
          <w:sz w:val="24"/>
          <w:szCs w:val="24"/>
        </w:rPr>
        <w:footnoteReference w:id="75"/>
      </w:r>
      <w:r w:rsidRPr="004A47DC">
        <w:rPr>
          <w:rStyle w:val="rynqvb"/>
          <w:color w:val="000000" w:themeColor="text1"/>
        </w:rPr>
        <w:t xml:space="preserve"> dhe manualet e procedurave që do </w:t>
      </w:r>
      <w:r w:rsidR="001415B2" w:rsidRPr="004A47DC">
        <w:rPr>
          <w:rStyle w:val="rynqvb"/>
          <w:color w:val="000000" w:themeColor="text1"/>
        </w:rPr>
        <w:t>t</w:t>
      </w:r>
      <w:r w:rsidR="00CE6AE5" w:rsidRPr="004A47DC">
        <w:rPr>
          <w:rStyle w:val="rynqvb"/>
          <w:color w:val="000000" w:themeColor="text1"/>
        </w:rPr>
        <w:t>’</w:t>
      </w:r>
      <w:r w:rsidR="001415B2" w:rsidRPr="004A47DC">
        <w:rPr>
          <w:rStyle w:val="rynqvb"/>
          <w:color w:val="000000" w:themeColor="text1"/>
        </w:rPr>
        <w:t xml:space="preserve">i </w:t>
      </w:r>
      <w:r w:rsidRPr="004A47DC">
        <w:rPr>
          <w:rStyle w:val="rynqvb"/>
          <w:color w:val="000000" w:themeColor="text1"/>
        </w:rPr>
        <w:t xml:space="preserve">dorëzohen së shpejti Komisionit </w:t>
      </w:r>
      <w:r w:rsidR="004E7351" w:rsidRPr="004A47DC">
        <w:rPr>
          <w:rStyle w:val="rynqvb"/>
          <w:color w:val="000000" w:themeColor="text1"/>
        </w:rPr>
        <w:t>Evropian</w:t>
      </w:r>
      <w:r w:rsidRPr="004A47DC">
        <w:rPr>
          <w:rStyle w:val="rynqvb"/>
          <w:color w:val="000000" w:themeColor="text1"/>
        </w:rPr>
        <w:t>.</w:t>
      </w:r>
      <w:r w:rsidRPr="004A47DC">
        <w:t xml:space="preserve"> Meqenëse asistenca IPA III zbatohet nëpërmjet metodave të ndryshme</w:t>
      </w:r>
      <w:r w:rsidR="004E7351">
        <w:t>,</w:t>
      </w:r>
      <w:r w:rsidRPr="004A47DC">
        <w:t xml:space="preserve"> si menaxhimi i drejtpërdrejtë, menaxhimi indirekt dhe menaxhimi i përbashkët, Shqipëria do të duhet të përgatitet të përthithë financimin e marrë</w:t>
      </w:r>
      <w:r w:rsidR="004E7351">
        <w:t>,</w:t>
      </w:r>
      <w:r w:rsidRPr="004A47DC">
        <w:t xml:space="preserve"> duke krijuar dhe forcuar kapacitetet administrative dhe institucionale. Rritja e burimeve shtesë</w:t>
      </w:r>
      <w:r w:rsidR="004E7351">
        <w:t>,</w:t>
      </w:r>
      <w:r w:rsidRPr="004A47DC">
        <w:t xml:space="preserve"> aty ku nevojiten</w:t>
      </w:r>
      <w:r w:rsidR="004E7351">
        <w:t xml:space="preserve">, </w:t>
      </w:r>
      <w:r w:rsidRPr="004A47DC">
        <w:t xml:space="preserve">dhe ngritja e kapaciteteve të stafit do të jetë një nga prioritetet e strukturave të përfshira në trajtimin e IPA III. </w:t>
      </w:r>
    </w:p>
    <w:p w14:paraId="1C321A33" w14:textId="77777777" w:rsidR="004719D2" w:rsidRPr="004A47DC" w:rsidRDefault="004719D2" w:rsidP="008438A2">
      <w:pPr>
        <w:pStyle w:val="TEKSTIII"/>
        <w:rPr>
          <w:b/>
        </w:rPr>
      </w:pPr>
      <w:r w:rsidRPr="004A47DC">
        <w:rPr>
          <w:b/>
        </w:rPr>
        <w:t>Prioritetet</w:t>
      </w:r>
    </w:p>
    <w:p w14:paraId="4923DD2F" w14:textId="408F7643" w:rsidR="004719D2" w:rsidRPr="004A47DC" w:rsidRDefault="004719D2" w:rsidP="008438A2">
      <w:pPr>
        <w:pStyle w:val="TEKSTIII"/>
      </w:pPr>
      <w:r w:rsidRPr="004A47DC">
        <w:t xml:space="preserve">Prioritetet për periudhën </w:t>
      </w:r>
      <w:r w:rsidR="00DB1D7E" w:rsidRPr="004A47DC">
        <w:t>2023–2026</w:t>
      </w:r>
      <w:r w:rsidRPr="004A47DC">
        <w:t xml:space="preserve"> janë:</w:t>
      </w:r>
    </w:p>
    <w:p w14:paraId="7FE938ED" w14:textId="38396A49" w:rsidR="004719D2" w:rsidRPr="004A47DC" w:rsidRDefault="008438A2" w:rsidP="008438A2">
      <w:pPr>
        <w:pStyle w:val="TEKSTIII"/>
      </w:pPr>
      <w:r w:rsidRPr="004A47DC">
        <w:t xml:space="preserve">- </w:t>
      </w:r>
      <w:r w:rsidR="004719D2" w:rsidRPr="004A47DC">
        <w:t>Zhvillimi dhe krijimi i kuadrit institucional dhe rregullator IPA III</w:t>
      </w:r>
      <w:r w:rsidR="004E7351">
        <w:t>,</w:t>
      </w:r>
      <w:r w:rsidR="004719D2" w:rsidRPr="004A47DC">
        <w:t xml:space="preserve"> dhe rritja e kapaciteteve të burimeve njerëzore për të zbatuar IPA III</w:t>
      </w:r>
      <w:r w:rsidR="004E7351">
        <w:t>;</w:t>
      </w:r>
    </w:p>
    <w:p w14:paraId="3139C8AC" w14:textId="0DAF44A5" w:rsidR="004719D2" w:rsidRPr="004A47DC" w:rsidRDefault="008438A2" w:rsidP="008438A2">
      <w:pPr>
        <w:pStyle w:val="TEKSTIII"/>
      </w:pPr>
      <w:r w:rsidRPr="004A47DC">
        <w:t xml:space="preserve">- </w:t>
      </w:r>
      <w:r w:rsidR="004719D2" w:rsidRPr="004A47DC">
        <w:t>Përgatitja për përthithjen e fondeve të ardhshme të BE-së</w:t>
      </w:r>
      <w:r w:rsidR="004E7351">
        <w:t>,</w:t>
      </w:r>
      <w:r w:rsidR="004719D2" w:rsidRPr="004A47DC">
        <w:t xml:space="preserve"> duke identifikuar alternativat e menaxhimit dhe duke i bërë sistemet e menaxhimit të fondeve të përshtatshme për qëllimin.</w:t>
      </w:r>
    </w:p>
    <w:p w14:paraId="10D4299B" w14:textId="77777777" w:rsidR="004719D2" w:rsidRPr="004A47DC" w:rsidRDefault="004719D2" w:rsidP="004719D2">
      <w:pPr>
        <w:pStyle w:val="EcorysBody"/>
        <w:spacing w:line="240" w:lineRule="auto"/>
        <w:rPr>
          <w:rFonts w:ascii="Garamond" w:hAnsi="Garamond" w:cs="Arial"/>
          <w:color w:val="000000" w:themeColor="text1"/>
        </w:rPr>
      </w:pPr>
    </w:p>
    <w:p w14:paraId="364CDED9" w14:textId="77777777" w:rsidR="004719D2" w:rsidRPr="004A47DC" w:rsidRDefault="004719D2" w:rsidP="004719D2">
      <w:pPr>
        <w:pStyle w:val="H5"/>
        <w:spacing w:after="0" w:line="240" w:lineRule="auto"/>
        <w:rPr>
          <w:rFonts w:ascii="Garamond" w:hAnsi="Garamond"/>
          <w:color w:val="000000" w:themeColor="text1"/>
          <w:sz w:val="24"/>
        </w:rPr>
      </w:pPr>
      <w:r w:rsidRPr="004A47DC">
        <w:rPr>
          <w:rStyle w:val="rynqvb"/>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808"/>
        <w:gridCol w:w="3273"/>
        <w:gridCol w:w="685"/>
        <w:gridCol w:w="854"/>
        <w:gridCol w:w="1441"/>
      </w:tblGrid>
      <w:tr w:rsidR="004719D2" w:rsidRPr="004A47DC" w14:paraId="7B10C6BD" w14:textId="77777777" w:rsidTr="006D20A2">
        <w:trPr>
          <w:cantSplit/>
          <w:trHeight w:val="20"/>
          <w:tblHeader/>
        </w:trPr>
        <w:tc>
          <w:tcPr>
            <w:tcW w:w="1549" w:type="pct"/>
            <w:shd w:val="clear" w:color="auto" w:fill="D9D9D9" w:themeFill="background1" w:themeFillShade="D9"/>
            <w:vAlign w:val="center"/>
          </w:tcPr>
          <w:p w14:paraId="3E0E05DF"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806" w:type="pct"/>
            <w:shd w:val="clear" w:color="auto" w:fill="D9D9D9" w:themeFill="background1" w:themeFillShade="D9"/>
            <w:vAlign w:val="center"/>
          </w:tcPr>
          <w:p w14:paraId="3B040A16"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78" w:type="pct"/>
            <w:shd w:val="clear" w:color="auto" w:fill="D9D9D9" w:themeFill="background1" w:themeFillShade="D9"/>
            <w:vAlign w:val="center"/>
          </w:tcPr>
          <w:p w14:paraId="2503D22C"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1EA2B635"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795" w:type="pct"/>
            <w:shd w:val="clear" w:color="auto" w:fill="D9D9D9" w:themeFill="background1" w:themeFillShade="D9"/>
            <w:vAlign w:val="center"/>
          </w:tcPr>
          <w:p w14:paraId="6334C906" w14:textId="77777777" w:rsidR="004719D2" w:rsidRPr="004A47DC" w:rsidRDefault="004719D2" w:rsidP="006D20A2">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7187268C" w14:textId="77777777" w:rsidTr="006D20A2">
        <w:trPr>
          <w:trHeight w:val="464"/>
        </w:trPr>
        <w:tc>
          <w:tcPr>
            <w:tcW w:w="1549" w:type="pct"/>
            <w:shd w:val="clear" w:color="auto" w:fill="auto"/>
          </w:tcPr>
          <w:p w14:paraId="4DA53F83"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 xml:space="preserve">Masa 5.4.1 </w:t>
            </w:r>
            <w:r w:rsidRPr="004A47DC">
              <w:rPr>
                <w:rStyle w:val="rynqvb"/>
                <w:rFonts w:ascii="Garamond" w:hAnsi="Garamond"/>
                <w:color w:val="000000" w:themeColor="text1"/>
              </w:rPr>
              <w:t>Krijimi i kuadrit ligjor IPA III</w:t>
            </w:r>
          </w:p>
        </w:tc>
        <w:tc>
          <w:tcPr>
            <w:tcW w:w="1806" w:type="pct"/>
          </w:tcPr>
          <w:p w14:paraId="5782725C" w14:textId="70AABE32" w:rsidR="004719D2" w:rsidRPr="004A47DC" w:rsidRDefault="008438A2"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Përgatitja dhe miratimi i </w:t>
            </w:r>
            <w:r w:rsidR="006D20A2" w:rsidRPr="004A47DC">
              <w:rPr>
                <w:rFonts w:ascii="Garamond" w:hAnsi="Garamond"/>
                <w:sz w:val="16"/>
                <w:szCs w:val="16"/>
              </w:rPr>
              <w:t>v</w:t>
            </w:r>
            <w:r w:rsidR="004719D2" w:rsidRPr="004A47DC">
              <w:rPr>
                <w:rFonts w:ascii="Garamond" w:hAnsi="Garamond"/>
                <w:sz w:val="16"/>
                <w:szCs w:val="16"/>
              </w:rPr>
              <w:t>endimit të Këshillit të Ministrave për përcaktimin e funksioneve, përgjegjësive dhe marrëdhënieve ndërmjet autoriteteve dhe strukturave për menaxhimin indirekt të asistencës financiare të BE-së</w:t>
            </w:r>
            <w:r w:rsidR="004E7351">
              <w:rPr>
                <w:rFonts w:ascii="Garamond" w:hAnsi="Garamond"/>
                <w:sz w:val="16"/>
                <w:szCs w:val="16"/>
              </w:rPr>
              <w:t>,</w:t>
            </w:r>
            <w:r w:rsidR="004719D2" w:rsidRPr="004A47DC">
              <w:rPr>
                <w:rFonts w:ascii="Garamond" w:hAnsi="Garamond"/>
                <w:sz w:val="16"/>
                <w:szCs w:val="16"/>
              </w:rPr>
              <w:t xml:space="preserve"> në kuadër të Instrumentit të Asistencës së Para-Aderimit 2021–2027 (IPA III).</w:t>
            </w:r>
          </w:p>
        </w:tc>
        <w:tc>
          <w:tcPr>
            <w:tcW w:w="378" w:type="pct"/>
            <w:vAlign w:val="center"/>
          </w:tcPr>
          <w:p w14:paraId="426A113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7A23EE2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795" w:type="pct"/>
          </w:tcPr>
          <w:p w14:paraId="4F7459AF"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3DA170CE" w14:textId="41932789"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w:t>
            </w:r>
            <w:r w:rsidR="004E7351">
              <w:rPr>
                <w:rFonts w:ascii="Garamond" w:hAnsi="Garamond" w:cs="Arial"/>
                <w:color w:val="000000" w:themeColor="text1"/>
                <w:sz w:val="16"/>
                <w:szCs w:val="16"/>
              </w:rPr>
              <w:t>-u</w:t>
            </w:r>
            <w:r w:rsidRPr="004A47DC">
              <w:rPr>
                <w:rFonts w:ascii="Garamond" w:hAnsi="Garamond" w:cs="Arial"/>
                <w:color w:val="000000" w:themeColor="text1"/>
                <w:sz w:val="16"/>
                <w:szCs w:val="16"/>
              </w:rPr>
              <w:t xml:space="preserve"> (lider),</w:t>
            </w:r>
          </w:p>
          <w:p w14:paraId="75716DB1" w14:textId="33E10031" w:rsidR="004719D2" w:rsidRPr="004A47DC" w:rsidRDefault="006D20A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zyra mbë</w:t>
            </w:r>
            <w:r w:rsidR="004719D2" w:rsidRPr="004A47DC">
              <w:rPr>
                <w:rFonts w:ascii="Garamond" w:hAnsi="Garamond" w:cs="Arial"/>
                <w:color w:val="000000" w:themeColor="text1"/>
                <w:sz w:val="16"/>
                <w:szCs w:val="16"/>
              </w:rPr>
              <w:t>shtetëse e ZKA</w:t>
            </w:r>
            <w:r w:rsidR="004E7351">
              <w:rPr>
                <w:rFonts w:ascii="Garamond" w:hAnsi="Garamond" w:cs="Arial"/>
                <w:color w:val="000000" w:themeColor="text1"/>
                <w:sz w:val="16"/>
                <w:szCs w:val="16"/>
              </w:rPr>
              <w:t>-ja</w:t>
            </w:r>
            <w:r w:rsidR="004719D2" w:rsidRPr="004A47DC">
              <w:rPr>
                <w:rFonts w:ascii="Garamond" w:hAnsi="Garamond" w:cs="Arial"/>
                <w:color w:val="000000" w:themeColor="text1"/>
                <w:sz w:val="16"/>
                <w:szCs w:val="16"/>
              </w:rPr>
              <w:t>, DPFK</w:t>
            </w:r>
            <w:r w:rsidR="004E7351">
              <w:rPr>
                <w:rFonts w:ascii="Garamond" w:hAnsi="Garamond" w:cs="Arial"/>
                <w:color w:val="000000" w:themeColor="text1"/>
                <w:sz w:val="16"/>
                <w:szCs w:val="16"/>
              </w:rPr>
              <w:t>-ja</w:t>
            </w:r>
            <w:r w:rsidR="004719D2" w:rsidRPr="004A47DC">
              <w:rPr>
                <w:rFonts w:ascii="Garamond" w:hAnsi="Garamond" w:cs="Arial"/>
                <w:color w:val="000000" w:themeColor="text1"/>
                <w:sz w:val="16"/>
                <w:szCs w:val="16"/>
              </w:rPr>
              <w:t xml:space="preserve"> (CFCU).</w:t>
            </w:r>
            <w:r w:rsidR="00B2411C" w:rsidRPr="004A47DC">
              <w:rPr>
                <w:rFonts w:ascii="Garamond" w:hAnsi="Garamond" w:cs="Arial"/>
                <w:color w:val="000000" w:themeColor="text1"/>
                <w:sz w:val="16"/>
                <w:szCs w:val="16"/>
              </w:rPr>
              <w:t xml:space="preserve"> </w:t>
            </w:r>
          </w:p>
          <w:p w14:paraId="1B8A1DDB" w14:textId="77777777" w:rsidR="004719D2" w:rsidRPr="004A47DC" w:rsidRDefault="004719D2" w:rsidP="00CF7CEC">
            <w:pPr>
              <w:pStyle w:val="EcorysBody"/>
              <w:spacing w:line="240" w:lineRule="auto"/>
              <w:rPr>
                <w:rFonts w:ascii="Garamond" w:hAnsi="Garamond" w:cs="Arial"/>
                <w:color w:val="000000" w:themeColor="text1"/>
                <w:sz w:val="16"/>
                <w:szCs w:val="16"/>
              </w:rPr>
            </w:pPr>
          </w:p>
          <w:p w14:paraId="1CA82C75"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7ABE4C6F" w14:textId="59D136BC"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DBE</w:t>
            </w:r>
            <w:r w:rsidR="004E7351">
              <w:rPr>
                <w:rFonts w:ascii="Garamond" w:hAnsi="Garamond" w:cs="Arial"/>
                <w:color w:val="000000" w:themeColor="text1"/>
                <w:sz w:val="16"/>
                <w:szCs w:val="16"/>
              </w:rPr>
              <w:t>-ja</w:t>
            </w:r>
          </w:p>
        </w:tc>
      </w:tr>
      <w:tr w:rsidR="004719D2" w:rsidRPr="004A47DC" w14:paraId="337EC91A" w14:textId="77777777" w:rsidTr="006D20A2">
        <w:trPr>
          <w:trHeight w:val="1037"/>
        </w:trPr>
        <w:tc>
          <w:tcPr>
            <w:tcW w:w="1549" w:type="pct"/>
            <w:vMerge w:val="restart"/>
            <w:shd w:val="clear" w:color="auto" w:fill="auto"/>
          </w:tcPr>
          <w:p w14:paraId="68DEBC2C"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5.4.2 Zhvillimi dhe zbatimi i rregulloreve, procedurave për menaxhimin e IPA III dhe rritja e kapaciteteve të strukturave të IPA III</w:t>
            </w:r>
          </w:p>
        </w:tc>
        <w:tc>
          <w:tcPr>
            <w:tcW w:w="1806" w:type="pct"/>
          </w:tcPr>
          <w:p w14:paraId="43E5D2CE" w14:textId="48199442" w:rsidR="004719D2" w:rsidRPr="004A47DC" w:rsidRDefault="008438A2"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Miratimi dhe krijimi i strukturave menaxheriale përgjegjëse për zbatimin e IPA III dhe përgatitja e manualeve dhe udhëzimeve për të drejtuar zbatimin e IPA III.</w:t>
            </w:r>
            <w:r w:rsidR="004719D2" w:rsidRPr="004A47DC">
              <w:rPr>
                <w:rFonts w:ascii="Garamond" w:hAnsi="Garamond"/>
                <w:sz w:val="16"/>
                <w:szCs w:val="16"/>
                <w:vertAlign w:val="superscript"/>
              </w:rPr>
              <w:footnoteReference w:id="76"/>
            </w:r>
          </w:p>
        </w:tc>
        <w:tc>
          <w:tcPr>
            <w:tcW w:w="378" w:type="pct"/>
            <w:vAlign w:val="center"/>
          </w:tcPr>
          <w:p w14:paraId="62D4F51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1ECC2FE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95" w:type="pct"/>
            <w:vMerge w:val="restart"/>
          </w:tcPr>
          <w:p w14:paraId="1A57818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2A0FBC48" w14:textId="4E4C96D8"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 xml:space="preserve">Zyra </w:t>
            </w:r>
            <w:r w:rsidR="004E7351">
              <w:rPr>
                <w:rFonts w:ascii="Garamond" w:hAnsi="Garamond" w:cs="Arial"/>
                <w:color w:val="000000" w:themeColor="text1"/>
                <w:sz w:val="16"/>
                <w:szCs w:val="16"/>
              </w:rPr>
              <w:t>m</w:t>
            </w:r>
            <w:r w:rsidRPr="004A47DC">
              <w:rPr>
                <w:rFonts w:ascii="Garamond" w:hAnsi="Garamond" w:cs="Arial"/>
                <w:color w:val="000000" w:themeColor="text1"/>
                <w:sz w:val="16"/>
                <w:szCs w:val="16"/>
              </w:rPr>
              <w:t>bështetëse e ZKA</w:t>
            </w:r>
            <w:r w:rsidR="004E7351">
              <w:rPr>
                <w:rFonts w:ascii="Garamond" w:hAnsi="Garamond" w:cs="Arial"/>
                <w:color w:val="000000" w:themeColor="text1"/>
                <w:sz w:val="16"/>
                <w:szCs w:val="16"/>
              </w:rPr>
              <w:t>-së</w:t>
            </w:r>
            <w:r w:rsidRPr="004A47DC">
              <w:rPr>
                <w:rFonts w:ascii="Garamond" w:hAnsi="Garamond" w:cs="Arial"/>
                <w:color w:val="000000" w:themeColor="text1"/>
                <w:sz w:val="16"/>
                <w:szCs w:val="16"/>
              </w:rPr>
              <w:t xml:space="preserve"> (lider), DPFK</w:t>
            </w:r>
            <w:r w:rsidR="004E7351">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(CFCU),</w:t>
            </w:r>
          </w:p>
          <w:p w14:paraId="38B6D326" w14:textId="5AB3AF0D"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w:t>
            </w:r>
            <w:r w:rsidR="004E7351">
              <w:rPr>
                <w:rFonts w:ascii="Garamond" w:hAnsi="Garamond" w:cs="Arial"/>
                <w:color w:val="000000" w:themeColor="text1"/>
                <w:sz w:val="16"/>
                <w:szCs w:val="16"/>
              </w:rPr>
              <w:t>-u</w:t>
            </w:r>
          </w:p>
          <w:p w14:paraId="58CF2D19" w14:textId="77777777" w:rsidR="004719D2" w:rsidRPr="004A47DC" w:rsidRDefault="004719D2" w:rsidP="00CF7CEC">
            <w:pPr>
              <w:pStyle w:val="EcorysBody"/>
              <w:spacing w:line="240" w:lineRule="auto"/>
              <w:rPr>
                <w:rFonts w:ascii="Garamond" w:hAnsi="Garamond" w:cs="Arial"/>
                <w:color w:val="000000" w:themeColor="text1"/>
                <w:sz w:val="16"/>
                <w:szCs w:val="16"/>
              </w:rPr>
            </w:pPr>
          </w:p>
          <w:p w14:paraId="1F01FF30"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2AA78584" w14:textId="6B43B016"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DBE</w:t>
            </w:r>
            <w:r w:rsidR="004E7351">
              <w:rPr>
                <w:rFonts w:ascii="Garamond" w:hAnsi="Garamond" w:cs="Arial"/>
                <w:color w:val="000000" w:themeColor="text1"/>
                <w:sz w:val="16"/>
                <w:szCs w:val="16"/>
              </w:rPr>
              <w:t>-ja</w:t>
            </w:r>
          </w:p>
          <w:p w14:paraId="77B9F1D1"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6F3837F6" w14:textId="77777777" w:rsidTr="006D20A2">
        <w:trPr>
          <w:trHeight w:val="270"/>
        </w:trPr>
        <w:tc>
          <w:tcPr>
            <w:tcW w:w="1549" w:type="pct"/>
            <w:vMerge/>
          </w:tcPr>
          <w:p w14:paraId="21F5ACC2" w14:textId="77777777" w:rsidR="004719D2" w:rsidRPr="004A47DC" w:rsidRDefault="004719D2" w:rsidP="00CF7CEC">
            <w:pPr>
              <w:pStyle w:val="T-bold"/>
              <w:spacing w:line="240" w:lineRule="auto"/>
              <w:rPr>
                <w:rFonts w:ascii="Garamond" w:hAnsi="Garamond"/>
                <w:color w:val="000000" w:themeColor="text1"/>
              </w:rPr>
            </w:pPr>
          </w:p>
        </w:tc>
        <w:tc>
          <w:tcPr>
            <w:tcW w:w="1806" w:type="pct"/>
          </w:tcPr>
          <w:p w14:paraId="68F15ECC" w14:textId="667E9F11" w:rsidR="004719D2" w:rsidRPr="004A47DC" w:rsidRDefault="008438A2" w:rsidP="008438A2">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Vlerësimi i kapaciteteve ekzistuese të burimeve njerëzore dhe boshllëqeve e aftësive, hartimi i një plani për zhvillimin e kapaciteteve të burimeve njerëzore, planifikimi i programeve të trajnimit</w:t>
            </w:r>
            <w:r w:rsidR="004E7351">
              <w:rPr>
                <w:rFonts w:ascii="Garamond" w:hAnsi="Garamond"/>
                <w:sz w:val="16"/>
                <w:szCs w:val="16"/>
              </w:rPr>
              <w:t>,</w:t>
            </w:r>
            <w:r w:rsidR="004719D2" w:rsidRPr="004A47DC">
              <w:rPr>
                <w:rFonts w:ascii="Garamond" w:hAnsi="Garamond"/>
                <w:sz w:val="16"/>
                <w:szCs w:val="16"/>
              </w:rPr>
              <w:t xml:space="preserve"> të synuara në përputhje me qëllimet e IPA III dhe nxitja e të mësuarit nga kolegët ndërkombëtar përmes partneriteteve dhe nismave bashkëpunuese.</w:t>
            </w:r>
          </w:p>
        </w:tc>
        <w:tc>
          <w:tcPr>
            <w:tcW w:w="378" w:type="pct"/>
            <w:vAlign w:val="center"/>
          </w:tcPr>
          <w:p w14:paraId="0ECEAD8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29E3B95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95" w:type="pct"/>
            <w:vMerge/>
          </w:tcPr>
          <w:p w14:paraId="204AC36F" w14:textId="77777777" w:rsidR="004719D2" w:rsidRPr="004A47DC" w:rsidRDefault="004719D2" w:rsidP="00CF7CEC">
            <w:pPr>
              <w:rPr>
                <w:rFonts w:ascii="Garamond" w:hAnsi="Garamond"/>
                <w:color w:val="000000" w:themeColor="text1"/>
                <w:sz w:val="16"/>
                <w:szCs w:val="16"/>
                <w:highlight w:val="yellow"/>
              </w:rPr>
            </w:pPr>
          </w:p>
        </w:tc>
      </w:tr>
      <w:tr w:rsidR="004719D2" w:rsidRPr="004A47DC" w14:paraId="37B8C96A" w14:textId="77777777" w:rsidTr="006D20A2">
        <w:trPr>
          <w:trHeight w:val="270"/>
        </w:trPr>
        <w:tc>
          <w:tcPr>
            <w:tcW w:w="1549" w:type="pct"/>
            <w:vMerge w:val="restart"/>
            <w:shd w:val="clear" w:color="auto" w:fill="auto"/>
          </w:tcPr>
          <w:p w14:paraId="5AC7D2E0" w14:textId="6337D9C8"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5.4.3 Përmirësimi i procedurave të rregullimit financiar dhe/ose rikuperimit për fondet e BE-së</w:t>
            </w:r>
            <w:r w:rsidR="004E7351">
              <w:rPr>
                <w:rFonts w:ascii="Garamond" w:hAnsi="Garamond"/>
                <w:color w:val="000000" w:themeColor="text1"/>
              </w:rPr>
              <w:t>,</w:t>
            </w:r>
            <w:r w:rsidRPr="004A47DC">
              <w:rPr>
                <w:rFonts w:ascii="Garamond" w:hAnsi="Garamond"/>
                <w:color w:val="000000" w:themeColor="text1"/>
              </w:rPr>
              <w:t xml:space="preserve"> në përputhje me kërkesat ligjore kombëtare dhe IPA III</w:t>
            </w:r>
          </w:p>
        </w:tc>
        <w:tc>
          <w:tcPr>
            <w:tcW w:w="1806" w:type="pct"/>
          </w:tcPr>
          <w:p w14:paraId="3EF1B49D" w14:textId="5C3B9457" w:rsidR="004719D2" w:rsidRPr="004A47DC" w:rsidRDefault="008438A2"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Ndërmarrja e një rishikimi gjithëpërfshirës të bazës ligjore kombëtare dhe IPA III, vlerësimi i procedurave ekzistuese të rregullimit financiar dhe rikuperimit dhe identifikimi </w:t>
            </w:r>
            <w:r w:rsidR="004E7351">
              <w:rPr>
                <w:rFonts w:ascii="Garamond" w:hAnsi="Garamond"/>
                <w:sz w:val="16"/>
                <w:szCs w:val="16"/>
              </w:rPr>
              <w:t>i</w:t>
            </w:r>
            <w:r w:rsidR="004719D2" w:rsidRPr="004A47DC">
              <w:rPr>
                <w:rFonts w:ascii="Garamond" w:hAnsi="Garamond"/>
                <w:sz w:val="16"/>
                <w:szCs w:val="16"/>
              </w:rPr>
              <w:t xml:space="preserve"> dobësive dhe fushave për përmirësim</w:t>
            </w:r>
            <w:r w:rsidR="004E7351">
              <w:rPr>
                <w:rFonts w:ascii="Garamond" w:hAnsi="Garamond"/>
                <w:sz w:val="16"/>
                <w:szCs w:val="16"/>
              </w:rPr>
              <w:t>,</w:t>
            </w:r>
            <w:r w:rsidR="004719D2" w:rsidRPr="004A47DC">
              <w:rPr>
                <w:rFonts w:ascii="Garamond" w:hAnsi="Garamond"/>
                <w:sz w:val="16"/>
                <w:szCs w:val="16"/>
              </w:rPr>
              <w:t xml:space="preserve"> në përputhje me dispozitat ligjore IPA III.</w:t>
            </w:r>
          </w:p>
        </w:tc>
        <w:tc>
          <w:tcPr>
            <w:tcW w:w="378" w:type="pct"/>
            <w:vAlign w:val="center"/>
          </w:tcPr>
          <w:p w14:paraId="59AAD1B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093B20F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95" w:type="pct"/>
            <w:vMerge w:val="restart"/>
          </w:tcPr>
          <w:p w14:paraId="3C6B3C0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78EBA6A5" w14:textId="3938DDED"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DPFK</w:t>
            </w:r>
            <w:r w:rsidR="004E7351">
              <w:rPr>
                <w:rFonts w:ascii="Garamond" w:hAnsi="Garamond" w:cs="Arial"/>
                <w:color w:val="000000" w:themeColor="text1"/>
                <w:sz w:val="16"/>
                <w:szCs w:val="16"/>
              </w:rPr>
              <w:t>-ja</w:t>
            </w:r>
            <w:r w:rsidRPr="004A47DC">
              <w:rPr>
                <w:rFonts w:ascii="Garamond" w:hAnsi="Garamond"/>
                <w:color w:val="000000" w:themeColor="text1"/>
                <w:sz w:val="16"/>
                <w:szCs w:val="16"/>
              </w:rPr>
              <w:t xml:space="preserve"> (CFCU) (lider), </w:t>
            </w:r>
            <w:r w:rsidR="004E7351">
              <w:rPr>
                <w:rFonts w:ascii="Garamond" w:hAnsi="Garamond"/>
                <w:color w:val="000000" w:themeColor="text1"/>
                <w:sz w:val="16"/>
                <w:szCs w:val="16"/>
              </w:rPr>
              <w:t>z</w:t>
            </w:r>
            <w:r w:rsidRPr="004A47DC">
              <w:rPr>
                <w:rFonts w:ascii="Garamond" w:hAnsi="Garamond"/>
                <w:color w:val="000000" w:themeColor="text1"/>
                <w:sz w:val="16"/>
                <w:szCs w:val="16"/>
              </w:rPr>
              <w:t xml:space="preserve">yra </w:t>
            </w:r>
            <w:r w:rsidR="004E7351">
              <w:rPr>
                <w:rFonts w:ascii="Garamond" w:hAnsi="Garamond"/>
                <w:color w:val="000000" w:themeColor="text1"/>
                <w:sz w:val="16"/>
                <w:szCs w:val="16"/>
              </w:rPr>
              <w:t>m</w:t>
            </w:r>
            <w:r w:rsidRPr="004A47DC">
              <w:rPr>
                <w:rFonts w:ascii="Garamond" w:hAnsi="Garamond"/>
                <w:color w:val="000000" w:themeColor="text1"/>
                <w:sz w:val="16"/>
                <w:szCs w:val="16"/>
              </w:rPr>
              <w:t>bështetëse e ZKA</w:t>
            </w:r>
            <w:r w:rsidR="004E7351">
              <w:rPr>
                <w:rFonts w:ascii="Garamond" w:hAnsi="Garamond" w:cs="Arial"/>
                <w:color w:val="000000" w:themeColor="text1"/>
                <w:sz w:val="16"/>
                <w:szCs w:val="16"/>
              </w:rPr>
              <w:t>-së</w:t>
            </w:r>
            <w:r w:rsidRPr="004A47DC">
              <w:rPr>
                <w:rFonts w:ascii="Garamond" w:hAnsi="Garamond"/>
                <w:color w:val="000000" w:themeColor="text1"/>
                <w:sz w:val="16"/>
                <w:szCs w:val="16"/>
              </w:rPr>
              <w:t xml:space="preserve"> </w:t>
            </w:r>
          </w:p>
          <w:p w14:paraId="036505AD" w14:textId="77777777" w:rsidR="004719D2" w:rsidRPr="004A47DC" w:rsidRDefault="004719D2" w:rsidP="00CF7CEC">
            <w:pPr>
              <w:rPr>
                <w:rFonts w:ascii="Garamond" w:hAnsi="Garamond"/>
                <w:color w:val="000000" w:themeColor="text1"/>
                <w:sz w:val="16"/>
                <w:szCs w:val="16"/>
              </w:rPr>
            </w:pPr>
          </w:p>
          <w:p w14:paraId="55976988"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Partnerët:</w:t>
            </w:r>
          </w:p>
          <w:p w14:paraId="2CB85C47" w14:textId="12768476" w:rsidR="004719D2" w:rsidRPr="004A47DC" w:rsidRDefault="004719D2" w:rsidP="00CF7CEC">
            <w:pPr>
              <w:rPr>
                <w:rFonts w:ascii="Garamond" w:hAnsi="Garamond"/>
                <w:color w:val="000000" w:themeColor="text1"/>
                <w:sz w:val="16"/>
                <w:szCs w:val="16"/>
                <w:highlight w:val="yellow"/>
              </w:rPr>
            </w:pPr>
            <w:r w:rsidRPr="004A47DC">
              <w:rPr>
                <w:rFonts w:ascii="Garamond" w:hAnsi="Garamond"/>
                <w:color w:val="000000" w:themeColor="text1"/>
                <w:sz w:val="16"/>
                <w:szCs w:val="16"/>
              </w:rPr>
              <w:t>DBE</w:t>
            </w:r>
            <w:r w:rsidR="004E7351">
              <w:rPr>
                <w:rFonts w:ascii="Garamond" w:hAnsi="Garamond" w:cs="Arial"/>
                <w:color w:val="000000" w:themeColor="text1"/>
                <w:sz w:val="16"/>
                <w:szCs w:val="16"/>
              </w:rPr>
              <w:t>-ja</w:t>
            </w:r>
          </w:p>
        </w:tc>
      </w:tr>
      <w:tr w:rsidR="004719D2" w:rsidRPr="004A47DC" w14:paraId="1704C227" w14:textId="77777777" w:rsidTr="006D20A2">
        <w:trPr>
          <w:trHeight w:val="270"/>
        </w:trPr>
        <w:tc>
          <w:tcPr>
            <w:tcW w:w="1549" w:type="pct"/>
            <w:vMerge/>
            <w:shd w:val="clear" w:color="auto" w:fill="auto"/>
          </w:tcPr>
          <w:p w14:paraId="4713B522" w14:textId="77777777" w:rsidR="004719D2" w:rsidRPr="004A47DC" w:rsidRDefault="004719D2" w:rsidP="00CF7CEC">
            <w:pPr>
              <w:pStyle w:val="T-bold"/>
              <w:spacing w:line="240" w:lineRule="auto"/>
              <w:rPr>
                <w:rFonts w:ascii="Garamond" w:hAnsi="Garamond"/>
                <w:color w:val="000000" w:themeColor="text1"/>
              </w:rPr>
            </w:pPr>
          </w:p>
        </w:tc>
        <w:tc>
          <w:tcPr>
            <w:tcW w:w="1806" w:type="pct"/>
          </w:tcPr>
          <w:p w14:paraId="5A18BA15" w14:textId="76877A42" w:rsidR="004719D2" w:rsidRPr="004A47DC" w:rsidRDefault="000C381B" w:rsidP="008438A2">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Zhvillimi dhe miratimi i një udhëzuesi gjithëpërfshirës që përshkruan hapat vijues për rregullimet financiare dhe rimëkëmbjen.</w:t>
            </w:r>
          </w:p>
        </w:tc>
        <w:tc>
          <w:tcPr>
            <w:tcW w:w="378" w:type="pct"/>
            <w:vAlign w:val="center"/>
          </w:tcPr>
          <w:p w14:paraId="01A7A49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1761794A"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795" w:type="pct"/>
            <w:vMerge/>
          </w:tcPr>
          <w:p w14:paraId="1176D637" w14:textId="77777777" w:rsidR="004719D2" w:rsidRPr="004A47DC" w:rsidRDefault="004719D2" w:rsidP="00CF7CEC">
            <w:pPr>
              <w:rPr>
                <w:rFonts w:ascii="Garamond" w:hAnsi="Garamond"/>
                <w:color w:val="000000" w:themeColor="text1"/>
                <w:sz w:val="16"/>
                <w:szCs w:val="16"/>
                <w:highlight w:val="yellow"/>
              </w:rPr>
            </w:pPr>
          </w:p>
        </w:tc>
      </w:tr>
      <w:tr w:rsidR="004719D2" w:rsidRPr="004A47DC" w14:paraId="1259982D" w14:textId="77777777" w:rsidTr="006D20A2">
        <w:trPr>
          <w:trHeight w:val="20"/>
        </w:trPr>
        <w:tc>
          <w:tcPr>
            <w:tcW w:w="1549" w:type="pct"/>
            <w:vMerge/>
            <w:shd w:val="clear" w:color="auto" w:fill="auto"/>
          </w:tcPr>
          <w:p w14:paraId="2C991CE9" w14:textId="77777777" w:rsidR="004719D2" w:rsidRPr="004A47DC" w:rsidRDefault="004719D2" w:rsidP="00CF7CEC">
            <w:pPr>
              <w:pStyle w:val="T-bold"/>
              <w:spacing w:line="240" w:lineRule="auto"/>
              <w:rPr>
                <w:rFonts w:ascii="Garamond" w:hAnsi="Garamond"/>
                <w:color w:val="000000" w:themeColor="text1"/>
              </w:rPr>
            </w:pPr>
          </w:p>
        </w:tc>
        <w:tc>
          <w:tcPr>
            <w:tcW w:w="1806" w:type="pct"/>
          </w:tcPr>
          <w:p w14:paraId="08F6E476" w14:textId="38F94329" w:rsidR="004719D2" w:rsidRPr="004A47DC" w:rsidRDefault="000C381B" w:rsidP="008438A2">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Zhvillimi i moduleve të trajnimit për stafin e përfshirë në ekzekutimin e procedurave.</w:t>
            </w:r>
          </w:p>
        </w:tc>
        <w:tc>
          <w:tcPr>
            <w:tcW w:w="378" w:type="pct"/>
            <w:vAlign w:val="center"/>
          </w:tcPr>
          <w:p w14:paraId="02A73B7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64A186C8" w14:textId="77777777"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795" w:type="pct"/>
            <w:vMerge/>
          </w:tcPr>
          <w:p w14:paraId="23BC857B" w14:textId="77777777" w:rsidR="004719D2" w:rsidRPr="004A47DC" w:rsidRDefault="004719D2" w:rsidP="00CF7CEC">
            <w:pPr>
              <w:rPr>
                <w:rFonts w:ascii="Garamond" w:hAnsi="Garamond"/>
                <w:color w:val="000000" w:themeColor="text1"/>
                <w:sz w:val="16"/>
                <w:szCs w:val="16"/>
                <w:highlight w:val="yellow"/>
              </w:rPr>
            </w:pPr>
          </w:p>
        </w:tc>
      </w:tr>
      <w:tr w:rsidR="004719D2" w:rsidRPr="004A47DC" w14:paraId="236342B5" w14:textId="77777777" w:rsidTr="006D20A2">
        <w:trPr>
          <w:trHeight w:val="270"/>
        </w:trPr>
        <w:tc>
          <w:tcPr>
            <w:tcW w:w="1549" w:type="pct"/>
            <w:vMerge w:val="restart"/>
            <w:shd w:val="clear" w:color="auto" w:fill="auto"/>
          </w:tcPr>
          <w:p w14:paraId="122FBDAF" w14:textId="77777777"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5.4.4 Marrja parasysh e kërkesave të ardhshme për menaxhimin e fondeve të BE-së pas anëtarësimit dhe zhvillimi i një plani veprimi, në kuadër të kapitullit 22, i cili do të përcaktojë nevojat për përmirësimin e kuadrit ligjor të menaxhimit të fondeve</w:t>
            </w:r>
          </w:p>
        </w:tc>
        <w:tc>
          <w:tcPr>
            <w:tcW w:w="1806" w:type="pct"/>
          </w:tcPr>
          <w:p w14:paraId="4C8C930D" w14:textId="7EA3F64A" w:rsidR="004719D2" w:rsidRPr="004A47DC" w:rsidRDefault="000C381B"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Inventarizimi i modaliteteve dhe sistemeve të menaxhimit të fondeve të BE-së bazuar në shembuj nga shtetet e tjera anëtare të BE-së.</w:t>
            </w:r>
          </w:p>
        </w:tc>
        <w:tc>
          <w:tcPr>
            <w:tcW w:w="378" w:type="pct"/>
            <w:vAlign w:val="center"/>
          </w:tcPr>
          <w:p w14:paraId="47F2479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vAlign w:val="center"/>
          </w:tcPr>
          <w:p w14:paraId="34B06A75"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95" w:type="pct"/>
            <w:vMerge w:val="restart"/>
          </w:tcPr>
          <w:p w14:paraId="6EF0C9BE"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2678638E" w14:textId="76F7447E"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w:t>
            </w:r>
            <w:r w:rsidR="004E7351">
              <w:rPr>
                <w:rFonts w:ascii="Garamond" w:hAnsi="Garamond" w:cs="Arial"/>
                <w:color w:val="000000" w:themeColor="text1"/>
                <w:sz w:val="16"/>
                <w:szCs w:val="16"/>
              </w:rPr>
              <w:t>-u</w:t>
            </w:r>
            <w:r w:rsidRPr="004A47DC">
              <w:rPr>
                <w:rFonts w:ascii="Garamond" w:hAnsi="Garamond" w:cs="Arial"/>
                <w:color w:val="000000" w:themeColor="text1"/>
                <w:sz w:val="16"/>
                <w:szCs w:val="16"/>
              </w:rPr>
              <w:t xml:space="preserve"> (lider)</w:t>
            </w:r>
          </w:p>
          <w:p w14:paraId="738FF6DB"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74FE1934"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5319E496" w14:textId="070B8BCA" w:rsidR="004719D2" w:rsidRPr="004A47DC" w:rsidRDefault="004719D2" w:rsidP="00CF7CEC">
            <w:pPr>
              <w:rPr>
                <w:rFonts w:ascii="Garamond" w:hAnsi="Garamond"/>
                <w:color w:val="000000" w:themeColor="text1"/>
                <w:sz w:val="16"/>
                <w:szCs w:val="16"/>
                <w:highlight w:val="yellow"/>
              </w:rPr>
            </w:pPr>
            <w:r w:rsidRPr="004A47DC">
              <w:rPr>
                <w:rFonts w:ascii="Garamond" w:hAnsi="Garamond"/>
                <w:color w:val="000000" w:themeColor="text1"/>
                <w:sz w:val="16"/>
                <w:szCs w:val="16"/>
              </w:rPr>
              <w:t>DBE</w:t>
            </w:r>
            <w:r w:rsidR="004E7351">
              <w:rPr>
                <w:rFonts w:ascii="Garamond" w:hAnsi="Garamond" w:cs="Arial"/>
                <w:color w:val="000000" w:themeColor="text1"/>
                <w:sz w:val="16"/>
                <w:szCs w:val="16"/>
              </w:rPr>
              <w:t>-ja</w:t>
            </w:r>
          </w:p>
        </w:tc>
      </w:tr>
      <w:tr w:rsidR="004719D2" w:rsidRPr="004A47DC" w14:paraId="1DF83EEB" w14:textId="77777777" w:rsidTr="006D20A2">
        <w:trPr>
          <w:trHeight w:val="1012"/>
        </w:trPr>
        <w:tc>
          <w:tcPr>
            <w:tcW w:w="1549" w:type="pct"/>
            <w:vMerge/>
          </w:tcPr>
          <w:p w14:paraId="3202E907" w14:textId="77777777" w:rsidR="004719D2" w:rsidRPr="004A47DC" w:rsidRDefault="004719D2" w:rsidP="00CF7CEC">
            <w:pPr>
              <w:pStyle w:val="T-bold"/>
              <w:spacing w:line="240" w:lineRule="auto"/>
              <w:rPr>
                <w:rFonts w:ascii="Garamond" w:hAnsi="Garamond"/>
                <w:color w:val="000000" w:themeColor="text1"/>
              </w:rPr>
            </w:pPr>
          </w:p>
        </w:tc>
        <w:tc>
          <w:tcPr>
            <w:tcW w:w="1806" w:type="pct"/>
          </w:tcPr>
          <w:p w14:paraId="34B29220" w14:textId="58E962F7" w:rsidR="004719D2" w:rsidRPr="004A47DC" w:rsidRDefault="000C381B" w:rsidP="008438A2">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Zbatimi i një analize të mangësive dhe zhvillimi i një plani veprimi për përgatitjen (të përshpejtuar) dhe zbatimin e modaliteteve të menaxhimit të fondeve dhe përshtatjen e nevojshme të sistemeve MFP</w:t>
            </w:r>
            <w:r w:rsidR="004E7351">
              <w:rPr>
                <w:rFonts w:ascii="Garamond" w:hAnsi="Garamond" w:cs="Arial"/>
                <w:color w:val="000000" w:themeColor="text1"/>
                <w:sz w:val="16"/>
                <w:szCs w:val="16"/>
              </w:rPr>
              <w:t>-së</w:t>
            </w:r>
            <w:r w:rsidR="004719D2" w:rsidRPr="004A47DC">
              <w:rPr>
                <w:rFonts w:ascii="Garamond" w:hAnsi="Garamond"/>
                <w:sz w:val="16"/>
                <w:szCs w:val="16"/>
              </w:rPr>
              <w:t>.</w:t>
            </w:r>
          </w:p>
        </w:tc>
        <w:tc>
          <w:tcPr>
            <w:tcW w:w="378" w:type="pct"/>
            <w:vAlign w:val="center"/>
          </w:tcPr>
          <w:p w14:paraId="419CB4A2"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2025</w:t>
            </w:r>
          </w:p>
        </w:tc>
        <w:tc>
          <w:tcPr>
            <w:tcW w:w="471" w:type="pct"/>
            <w:vAlign w:val="center"/>
          </w:tcPr>
          <w:p w14:paraId="33CA90F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795" w:type="pct"/>
            <w:vMerge/>
          </w:tcPr>
          <w:p w14:paraId="7D28B6C3" w14:textId="77777777" w:rsidR="004719D2" w:rsidRPr="004A47DC" w:rsidRDefault="004719D2" w:rsidP="00CF7CEC">
            <w:pPr>
              <w:rPr>
                <w:rFonts w:ascii="Garamond" w:hAnsi="Garamond"/>
                <w:color w:val="000000" w:themeColor="text1"/>
                <w:sz w:val="16"/>
                <w:szCs w:val="16"/>
                <w:highlight w:val="yellow"/>
              </w:rPr>
            </w:pPr>
          </w:p>
        </w:tc>
      </w:tr>
      <w:tr w:rsidR="004719D2" w:rsidRPr="004A47DC" w14:paraId="154D0CC6" w14:textId="77777777" w:rsidTr="006D20A2">
        <w:trPr>
          <w:trHeight w:val="1012"/>
        </w:trPr>
        <w:tc>
          <w:tcPr>
            <w:tcW w:w="1549" w:type="pct"/>
          </w:tcPr>
          <w:p w14:paraId="57927C62" w14:textId="185ADD90" w:rsidR="004719D2" w:rsidRPr="004A47DC" w:rsidRDefault="004719D2" w:rsidP="00CF7CEC">
            <w:pPr>
              <w:pStyle w:val="T-bold"/>
              <w:spacing w:line="240" w:lineRule="auto"/>
              <w:rPr>
                <w:rFonts w:ascii="Garamond" w:hAnsi="Garamond"/>
                <w:color w:val="000000" w:themeColor="text1"/>
              </w:rPr>
            </w:pPr>
            <w:r w:rsidRPr="004A47DC">
              <w:rPr>
                <w:rFonts w:ascii="Garamond" w:hAnsi="Garamond"/>
                <w:color w:val="000000" w:themeColor="text1"/>
              </w:rPr>
              <w:t>Masa 5.4.5. Zhvillimi i opsioneve të thjeshtuara të kostos (SCO)</w:t>
            </w:r>
            <w:r w:rsidR="00B2411C" w:rsidRPr="004A47DC">
              <w:rPr>
                <w:rFonts w:ascii="Garamond" w:hAnsi="Garamond"/>
                <w:color w:val="000000" w:themeColor="text1"/>
              </w:rPr>
              <w:t xml:space="preserve"> </w:t>
            </w:r>
          </w:p>
        </w:tc>
        <w:tc>
          <w:tcPr>
            <w:tcW w:w="1806" w:type="pct"/>
          </w:tcPr>
          <w:p w14:paraId="29BAB297" w14:textId="0C867806" w:rsidR="004719D2" w:rsidRPr="004A47DC" w:rsidRDefault="000C381B" w:rsidP="008438A2">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Përcaktimi i rregullave për zhvillimin dhe zbatimin e opsioneve të kostos së thjeshtuar, duke përfshirë legjislacionin, SCO-të standarde për sektorë të veçantë, etj.</w:t>
            </w:r>
          </w:p>
        </w:tc>
        <w:tc>
          <w:tcPr>
            <w:tcW w:w="378" w:type="pct"/>
            <w:vAlign w:val="center"/>
          </w:tcPr>
          <w:p w14:paraId="7A620F6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471" w:type="pct"/>
            <w:vAlign w:val="center"/>
          </w:tcPr>
          <w:p w14:paraId="1EF6371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2025</w:t>
            </w:r>
          </w:p>
        </w:tc>
        <w:tc>
          <w:tcPr>
            <w:tcW w:w="795" w:type="pct"/>
          </w:tcPr>
          <w:p w14:paraId="66AB4DD5"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54D5C93B" w14:textId="1DC77EE8"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SASPAC</w:t>
            </w:r>
            <w:r w:rsidR="004E7351">
              <w:rPr>
                <w:rFonts w:ascii="Garamond" w:hAnsi="Garamond" w:cs="Arial"/>
                <w:color w:val="000000" w:themeColor="text1"/>
                <w:sz w:val="16"/>
                <w:szCs w:val="16"/>
              </w:rPr>
              <w:t>-u</w:t>
            </w:r>
            <w:r w:rsidRPr="004A47DC">
              <w:rPr>
                <w:rFonts w:ascii="Garamond" w:hAnsi="Garamond" w:cs="Arial"/>
                <w:color w:val="000000" w:themeColor="text1"/>
                <w:sz w:val="16"/>
                <w:szCs w:val="16"/>
              </w:rPr>
              <w:t xml:space="preserve"> (lider)</w:t>
            </w:r>
          </w:p>
          <w:p w14:paraId="2895C902" w14:textId="22EC8387" w:rsidR="004719D2" w:rsidRPr="004A47DC" w:rsidRDefault="004719D2" w:rsidP="00CF7CEC">
            <w:pPr>
              <w:rPr>
                <w:rFonts w:ascii="Garamond" w:hAnsi="Garamond"/>
                <w:color w:val="000000" w:themeColor="text1"/>
                <w:sz w:val="16"/>
                <w:szCs w:val="16"/>
                <w:highlight w:val="yellow"/>
              </w:rPr>
            </w:pPr>
            <w:r w:rsidRPr="004A47DC">
              <w:rPr>
                <w:rFonts w:ascii="Garamond" w:hAnsi="Garamond"/>
                <w:color w:val="000000" w:themeColor="text1"/>
                <w:sz w:val="16"/>
                <w:szCs w:val="16"/>
              </w:rPr>
              <w:t>CFCU</w:t>
            </w:r>
            <w:r w:rsidR="004E7351">
              <w:rPr>
                <w:rFonts w:ascii="Garamond" w:hAnsi="Garamond" w:cs="Arial"/>
                <w:color w:val="000000" w:themeColor="text1"/>
                <w:sz w:val="16"/>
                <w:szCs w:val="16"/>
              </w:rPr>
              <w:t>-ja</w:t>
            </w:r>
            <w:r w:rsidRPr="004A47DC">
              <w:rPr>
                <w:rFonts w:ascii="Garamond" w:hAnsi="Garamond"/>
                <w:color w:val="000000" w:themeColor="text1"/>
                <w:sz w:val="16"/>
                <w:szCs w:val="16"/>
              </w:rPr>
              <w:t xml:space="preserve">, </w:t>
            </w:r>
            <w:r w:rsidR="004E7351" w:rsidRPr="004A47DC">
              <w:rPr>
                <w:rFonts w:ascii="Garamond" w:hAnsi="Garamond"/>
                <w:color w:val="000000" w:themeColor="text1"/>
                <w:sz w:val="16"/>
                <w:szCs w:val="16"/>
              </w:rPr>
              <w:t>autoritetet mena</w:t>
            </w:r>
            <w:r w:rsidRPr="004A47DC">
              <w:rPr>
                <w:rFonts w:ascii="Garamond" w:hAnsi="Garamond"/>
                <w:color w:val="000000" w:themeColor="text1"/>
                <w:sz w:val="16"/>
                <w:szCs w:val="16"/>
              </w:rPr>
              <w:t>xhuese për Programet Operative IPA III.</w:t>
            </w:r>
          </w:p>
        </w:tc>
      </w:tr>
    </w:tbl>
    <w:p w14:paraId="47EFC080" w14:textId="77777777" w:rsidR="004719D2" w:rsidRPr="004A47DC" w:rsidRDefault="004719D2" w:rsidP="004719D2">
      <w:pPr>
        <w:pStyle w:val="H5"/>
        <w:spacing w:after="0" w:line="240" w:lineRule="auto"/>
        <w:rPr>
          <w:rFonts w:ascii="Garamond" w:hAnsi="Garamond"/>
          <w:color w:val="000000" w:themeColor="text1"/>
          <w:highlight w:val="yellow"/>
        </w:rPr>
      </w:pPr>
    </w:p>
    <w:p w14:paraId="1C539474" w14:textId="77777777" w:rsidR="00FE4372" w:rsidRDefault="00FE4372" w:rsidP="004719D2">
      <w:pPr>
        <w:pStyle w:val="H5"/>
        <w:spacing w:after="0" w:line="240" w:lineRule="auto"/>
        <w:rPr>
          <w:rFonts w:ascii="Garamond" w:hAnsi="Garamond"/>
          <w:color w:val="000000" w:themeColor="text1"/>
          <w:sz w:val="24"/>
          <w:szCs w:val="24"/>
        </w:rPr>
      </w:pPr>
    </w:p>
    <w:p w14:paraId="4D15B169" w14:textId="77777777" w:rsidR="00FE4372" w:rsidRDefault="00FE4372" w:rsidP="004719D2">
      <w:pPr>
        <w:pStyle w:val="H5"/>
        <w:spacing w:after="0" w:line="240" w:lineRule="auto"/>
        <w:rPr>
          <w:rFonts w:ascii="Garamond" w:hAnsi="Garamond"/>
          <w:color w:val="000000" w:themeColor="text1"/>
          <w:sz w:val="24"/>
          <w:szCs w:val="24"/>
        </w:rPr>
      </w:pPr>
    </w:p>
    <w:p w14:paraId="4C8CE207" w14:textId="77777777" w:rsidR="00FE4372" w:rsidRDefault="00FE4372" w:rsidP="004719D2">
      <w:pPr>
        <w:pStyle w:val="H5"/>
        <w:spacing w:after="0" w:line="240" w:lineRule="auto"/>
        <w:rPr>
          <w:rFonts w:ascii="Garamond" w:hAnsi="Garamond"/>
          <w:color w:val="000000" w:themeColor="text1"/>
          <w:sz w:val="24"/>
          <w:szCs w:val="24"/>
        </w:rPr>
      </w:pPr>
    </w:p>
    <w:p w14:paraId="53B8CDA8" w14:textId="5443EAA0" w:rsidR="004719D2" w:rsidRPr="004E7351" w:rsidRDefault="004719D2" w:rsidP="004719D2">
      <w:pPr>
        <w:pStyle w:val="H5"/>
        <w:spacing w:after="0" w:line="240" w:lineRule="auto"/>
        <w:rPr>
          <w:rFonts w:ascii="Garamond" w:hAnsi="Garamond"/>
          <w:color w:val="000000" w:themeColor="text1"/>
          <w:sz w:val="24"/>
          <w:szCs w:val="24"/>
        </w:rPr>
      </w:pPr>
      <w:r w:rsidRPr="004E7351">
        <w:rPr>
          <w:rFonts w:ascii="Garamond" w:hAnsi="Garamond"/>
          <w:color w:val="000000" w:themeColor="text1"/>
          <w:sz w:val="24"/>
          <w:szCs w:val="24"/>
        </w:rPr>
        <w:t>Treguesit e performancës dhe vlerat e synuara</w:t>
      </w:r>
    </w:p>
    <w:tbl>
      <w:tblPr>
        <w:tblStyle w:val="TableGrid"/>
        <w:tblW w:w="9017" w:type="dxa"/>
        <w:tblLayout w:type="fixed"/>
        <w:tblCellMar>
          <w:top w:w="28" w:type="dxa"/>
          <w:left w:w="57" w:type="dxa"/>
          <w:bottom w:w="28" w:type="dxa"/>
          <w:right w:w="57" w:type="dxa"/>
        </w:tblCellMar>
        <w:tblLook w:val="04A0" w:firstRow="1" w:lastRow="0" w:firstColumn="1" w:lastColumn="0" w:noHBand="0" w:noVBand="1"/>
      </w:tblPr>
      <w:tblGrid>
        <w:gridCol w:w="3114"/>
        <w:gridCol w:w="1180"/>
        <w:gridCol w:w="1181"/>
        <w:gridCol w:w="1180"/>
        <w:gridCol w:w="1181"/>
        <w:gridCol w:w="1181"/>
      </w:tblGrid>
      <w:tr w:rsidR="004719D2" w:rsidRPr="004A47DC" w14:paraId="07C699ED" w14:textId="77777777" w:rsidTr="006D20A2">
        <w:trPr>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B69A18"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42726B"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47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2C5BB1"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71A67AA1" w14:textId="77777777" w:rsidTr="006D20A2">
        <w:trPr>
          <w:tblHead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90BE00D" w14:textId="77777777" w:rsidR="004719D2" w:rsidRPr="004A47DC" w:rsidRDefault="004719D2" w:rsidP="006D20A2">
            <w:pPr>
              <w:pStyle w:val="T-bold"/>
              <w:spacing w:line="240" w:lineRule="auto"/>
              <w:jc w:val="center"/>
              <w:rPr>
                <w:rFonts w:ascii="Garamond" w:hAnsi="Garamond"/>
                <w:color w:val="000000" w:themeColor="text1"/>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79F5374" w14:textId="77777777" w:rsidR="004719D2" w:rsidRPr="004A47DC" w:rsidRDefault="004719D2" w:rsidP="006D20A2">
            <w:pPr>
              <w:pStyle w:val="T-bold"/>
              <w:spacing w:line="240" w:lineRule="auto"/>
              <w:jc w:val="center"/>
              <w:rPr>
                <w:rFonts w:ascii="Garamond" w:hAnsi="Garamond"/>
                <w:color w:val="000000" w:themeColor="text1"/>
              </w:rPr>
            </w:pP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513EDE"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E58730"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8033A7"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4A40D8" w14:textId="77777777" w:rsidR="004719D2" w:rsidRPr="004A47DC" w:rsidRDefault="004719D2" w:rsidP="006D20A2">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18EF6377" w14:textId="77777777" w:rsidTr="00CF7CEC">
        <w:trPr>
          <w:trHeight w:val="21"/>
        </w:trPr>
        <w:tc>
          <w:tcPr>
            <w:tcW w:w="3114" w:type="dxa"/>
            <w:tcBorders>
              <w:top w:val="single" w:sz="4" w:space="0" w:color="auto"/>
              <w:left w:val="single" w:sz="4" w:space="0" w:color="auto"/>
              <w:bottom w:val="single" w:sz="4" w:space="0" w:color="auto"/>
              <w:right w:val="single" w:sz="4" w:space="0" w:color="auto"/>
            </w:tcBorders>
          </w:tcPr>
          <w:p w14:paraId="1ABB67DE" w14:textId="25812AB5" w:rsidR="004719D2" w:rsidRPr="004A47DC" w:rsidRDefault="008C51D9" w:rsidP="000C381B">
            <w:pPr>
              <w:rPr>
                <w:rFonts w:ascii="Garamond" w:hAnsi="Garamond"/>
                <w:sz w:val="16"/>
                <w:szCs w:val="16"/>
              </w:rPr>
            </w:pPr>
            <w:r>
              <w:rPr>
                <w:rFonts w:ascii="Garamond" w:hAnsi="Garamond"/>
                <w:sz w:val="16"/>
                <w:szCs w:val="16"/>
              </w:rPr>
              <w:t>2.</w:t>
            </w:r>
            <w:r w:rsidR="000C381B" w:rsidRPr="004A47DC">
              <w:rPr>
                <w:rFonts w:ascii="Garamond" w:hAnsi="Garamond"/>
                <w:sz w:val="16"/>
                <w:szCs w:val="16"/>
              </w:rPr>
              <w:t xml:space="preserve"> </w:t>
            </w:r>
            <w:r w:rsidR="004719D2" w:rsidRPr="004A47DC">
              <w:rPr>
                <w:rFonts w:ascii="Garamond" w:hAnsi="Garamond"/>
                <w:sz w:val="16"/>
                <w:szCs w:val="16"/>
              </w:rPr>
              <w:t>Hartohet dhe miratohet paketa për marrjen e besimit IPA-III.</w:t>
            </w:r>
          </w:p>
        </w:tc>
        <w:tc>
          <w:tcPr>
            <w:tcW w:w="1180" w:type="dxa"/>
            <w:tcBorders>
              <w:top w:val="single" w:sz="4" w:space="0" w:color="auto"/>
              <w:left w:val="single" w:sz="4" w:space="0" w:color="auto"/>
              <w:bottom w:val="single" w:sz="4" w:space="0" w:color="auto"/>
              <w:right w:val="single" w:sz="4" w:space="0" w:color="auto"/>
            </w:tcBorders>
            <w:vAlign w:val="center"/>
          </w:tcPr>
          <w:p w14:paraId="228C64C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7F02D17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Hartohet paketa për marrjen e besimit IPA-III</w:t>
            </w:r>
          </w:p>
        </w:tc>
        <w:tc>
          <w:tcPr>
            <w:tcW w:w="1180" w:type="dxa"/>
            <w:tcBorders>
              <w:top w:val="single" w:sz="4" w:space="0" w:color="auto"/>
              <w:left w:val="single" w:sz="4" w:space="0" w:color="auto"/>
              <w:bottom w:val="single" w:sz="4" w:space="0" w:color="auto"/>
              <w:right w:val="single" w:sz="4" w:space="0" w:color="auto"/>
            </w:tcBorders>
            <w:vAlign w:val="center"/>
          </w:tcPr>
          <w:p w14:paraId="2A2A1A9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Miratohet paketa për marrjen e besimit IPA-III</w:t>
            </w:r>
          </w:p>
        </w:tc>
        <w:tc>
          <w:tcPr>
            <w:tcW w:w="1181" w:type="dxa"/>
            <w:tcBorders>
              <w:top w:val="single" w:sz="4" w:space="0" w:color="auto"/>
              <w:left w:val="single" w:sz="4" w:space="0" w:color="auto"/>
              <w:bottom w:val="single" w:sz="4" w:space="0" w:color="auto"/>
              <w:right w:val="single" w:sz="4" w:space="0" w:color="auto"/>
            </w:tcBorders>
            <w:vAlign w:val="center"/>
          </w:tcPr>
          <w:p w14:paraId="2C4B0FC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Zbatohet paketa për marrjen e besimit IPA-III</w:t>
            </w:r>
          </w:p>
        </w:tc>
        <w:tc>
          <w:tcPr>
            <w:tcW w:w="1181" w:type="dxa"/>
            <w:tcBorders>
              <w:top w:val="single" w:sz="4" w:space="0" w:color="auto"/>
              <w:left w:val="single" w:sz="4" w:space="0" w:color="auto"/>
              <w:bottom w:val="single" w:sz="4" w:space="0" w:color="auto"/>
              <w:right w:val="single" w:sz="4" w:space="0" w:color="auto"/>
            </w:tcBorders>
            <w:vAlign w:val="center"/>
          </w:tcPr>
          <w:p w14:paraId="56A87DC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Zbatohet paketa për marrjen e besimit IPA-III</w:t>
            </w:r>
          </w:p>
        </w:tc>
      </w:tr>
      <w:tr w:rsidR="004719D2" w:rsidRPr="004A47DC" w14:paraId="179A0CB9" w14:textId="77777777" w:rsidTr="00CF7CEC">
        <w:tc>
          <w:tcPr>
            <w:tcW w:w="3114" w:type="dxa"/>
            <w:tcBorders>
              <w:top w:val="single" w:sz="4" w:space="0" w:color="auto"/>
              <w:left w:val="single" w:sz="4" w:space="0" w:color="auto"/>
              <w:bottom w:val="single" w:sz="4" w:space="0" w:color="auto"/>
              <w:right w:val="single" w:sz="4" w:space="0" w:color="auto"/>
            </w:tcBorders>
          </w:tcPr>
          <w:p w14:paraId="32C789F9" w14:textId="0AB2176A" w:rsidR="004719D2" w:rsidRPr="004A47DC" w:rsidRDefault="008C51D9" w:rsidP="000C381B">
            <w:pPr>
              <w:rPr>
                <w:rFonts w:ascii="Garamond" w:hAnsi="Garamond"/>
                <w:sz w:val="16"/>
                <w:szCs w:val="16"/>
              </w:rPr>
            </w:pPr>
            <w:r>
              <w:rPr>
                <w:rFonts w:ascii="Garamond" w:hAnsi="Garamond"/>
                <w:sz w:val="16"/>
                <w:szCs w:val="16"/>
              </w:rPr>
              <w:t>3</w:t>
            </w:r>
            <w:r w:rsidR="000C381B" w:rsidRPr="004A47DC">
              <w:rPr>
                <w:rFonts w:ascii="Garamond" w:hAnsi="Garamond"/>
                <w:sz w:val="16"/>
                <w:szCs w:val="16"/>
              </w:rPr>
              <w:t xml:space="preserve">. </w:t>
            </w:r>
            <w:r w:rsidR="004719D2" w:rsidRPr="004A47DC">
              <w:rPr>
                <w:rFonts w:ascii="Garamond" w:hAnsi="Garamond"/>
                <w:sz w:val="16"/>
                <w:szCs w:val="16"/>
              </w:rPr>
              <w:t xml:space="preserve">Prezantohet </w:t>
            </w:r>
            <w:r w:rsidR="004E7351">
              <w:rPr>
                <w:rFonts w:ascii="Garamond" w:hAnsi="Garamond"/>
                <w:sz w:val="16"/>
                <w:szCs w:val="16"/>
              </w:rPr>
              <w:t>u</w:t>
            </w:r>
            <w:r w:rsidR="004719D2" w:rsidRPr="004A47DC">
              <w:rPr>
                <w:rFonts w:ascii="Garamond" w:hAnsi="Garamond"/>
                <w:sz w:val="16"/>
                <w:szCs w:val="16"/>
              </w:rPr>
              <w:t xml:space="preserve">dhëzuesi për përshtatjen dhe rikuperimin (UPR) </w:t>
            </w:r>
            <w:r w:rsidR="004E7351">
              <w:rPr>
                <w:rFonts w:ascii="Garamond" w:hAnsi="Garamond"/>
                <w:sz w:val="16"/>
                <w:szCs w:val="16"/>
              </w:rPr>
              <w:t>e</w:t>
            </w:r>
            <w:r w:rsidR="004719D2" w:rsidRPr="004A47DC">
              <w:rPr>
                <w:rFonts w:ascii="Garamond" w:hAnsi="Garamond"/>
                <w:sz w:val="16"/>
                <w:szCs w:val="16"/>
              </w:rPr>
              <w:t xml:space="preserve"> fondeve të BE-së</w:t>
            </w:r>
          </w:p>
        </w:tc>
        <w:tc>
          <w:tcPr>
            <w:tcW w:w="1180" w:type="dxa"/>
            <w:tcBorders>
              <w:top w:val="single" w:sz="4" w:space="0" w:color="auto"/>
              <w:left w:val="single" w:sz="4" w:space="0" w:color="auto"/>
              <w:bottom w:val="single" w:sz="4" w:space="0" w:color="auto"/>
              <w:right w:val="single" w:sz="4" w:space="0" w:color="auto"/>
            </w:tcBorders>
            <w:vAlign w:val="center"/>
          </w:tcPr>
          <w:p w14:paraId="2C04E2B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527A1E0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1180" w:type="dxa"/>
            <w:tcBorders>
              <w:top w:val="single" w:sz="4" w:space="0" w:color="auto"/>
              <w:left w:val="single" w:sz="4" w:space="0" w:color="auto"/>
              <w:bottom w:val="single" w:sz="4" w:space="0" w:color="auto"/>
              <w:right w:val="single" w:sz="4" w:space="0" w:color="auto"/>
            </w:tcBorders>
            <w:vAlign w:val="center"/>
          </w:tcPr>
          <w:p w14:paraId="31DE0DE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 xml:space="preserve">UPR </w:t>
            </w:r>
          </w:p>
          <w:p w14:paraId="2EC8A60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miratohet</w:t>
            </w:r>
          </w:p>
        </w:tc>
        <w:tc>
          <w:tcPr>
            <w:tcW w:w="1181" w:type="dxa"/>
            <w:tcBorders>
              <w:top w:val="single" w:sz="4" w:space="0" w:color="auto"/>
              <w:left w:val="single" w:sz="4" w:space="0" w:color="auto"/>
              <w:bottom w:val="single" w:sz="4" w:space="0" w:color="auto"/>
              <w:right w:val="single" w:sz="4" w:space="0" w:color="auto"/>
            </w:tcBorders>
            <w:vAlign w:val="center"/>
          </w:tcPr>
          <w:p w14:paraId="6295E9C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UPR zbatohet</w:t>
            </w:r>
          </w:p>
        </w:tc>
        <w:tc>
          <w:tcPr>
            <w:tcW w:w="1181" w:type="dxa"/>
            <w:tcBorders>
              <w:top w:val="single" w:sz="4" w:space="0" w:color="auto"/>
              <w:left w:val="single" w:sz="4" w:space="0" w:color="auto"/>
              <w:bottom w:val="single" w:sz="4" w:space="0" w:color="auto"/>
              <w:right w:val="single" w:sz="4" w:space="0" w:color="auto"/>
            </w:tcBorders>
            <w:vAlign w:val="center"/>
          </w:tcPr>
          <w:p w14:paraId="2C35661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UPR zbatohet</w:t>
            </w:r>
          </w:p>
        </w:tc>
      </w:tr>
    </w:tbl>
    <w:p w14:paraId="0BE6C790" w14:textId="77777777" w:rsidR="004719D2" w:rsidRPr="004A47DC" w:rsidRDefault="004719D2" w:rsidP="004719D2">
      <w:pPr>
        <w:rPr>
          <w:rFonts w:ascii="Garamond" w:hAnsi="Garamond"/>
          <w:color w:val="000000" w:themeColor="text1"/>
        </w:rPr>
      </w:pPr>
    </w:p>
    <w:p w14:paraId="2F829530" w14:textId="77777777" w:rsidR="004719D2" w:rsidRPr="004A47DC" w:rsidRDefault="004719D2" w:rsidP="007403EB">
      <w:pPr>
        <w:pStyle w:val="TEKSTIII"/>
      </w:pPr>
    </w:p>
    <w:p w14:paraId="493C2BFA" w14:textId="43240457" w:rsidR="004719D2" w:rsidRPr="004A47DC" w:rsidRDefault="00921C57" w:rsidP="007403EB">
      <w:pPr>
        <w:pStyle w:val="TEKSTIII"/>
        <w:rPr>
          <w:b/>
        </w:rPr>
      </w:pPr>
      <w:r w:rsidRPr="004A47DC">
        <w:rPr>
          <w:b/>
        </w:rPr>
        <w:t xml:space="preserve">7. </w:t>
      </w:r>
      <w:bookmarkStart w:id="48" w:name="_Toc168918702"/>
      <w:r w:rsidR="004719D2" w:rsidRPr="004A47DC">
        <w:rPr>
          <w:b/>
        </w:rPr>
        <w:t xml:space="preserve">Shtylla 6: </w:t>
      </w:r>
      <w:r w:rsidR="004719D2" w:rsidRPr="004A47DC">
        <w:rPr>
          <w:rStyle w:val="rynqvb"/>
          <w:b/>
          <w:color w:val="000000" w:themeColor="text1"/>
        </w:rPr>
        <w:t xml:space="preserve">Mbikëqyrja e </w:t>
      </w:r>
      <w:r w:rsidR="00610D03" w:rsidRPr="004A47DC">
        <w:rPr>
          <w:rStyle w:val="rynqvb"/>
          <w:b/>
          <w:color w:val="000000" w:themeColor="text1"/>
        </w:rPr>
        <w:t>Jashtme</w:t>
      </w:r>
      <w:bookmarkEnd w:id="48"/>
    </w:p>
    <w:p w14:paraId="591E8F04" w14:textId="1D074313" w:rsidR="004719D2" w:rsidRPr="004A47DC" w:rsidRDefault="00921C57" w:rsidP="007403EB">
      <w:pPr>
        <w:pStyle w:val="TEKSTIII"/>
        <w:rPr>
          <w:b/>
        </w:rPr>
      </w:pPr>
      <w:bookmarkStart w:id="49" w:name="_Toc168918703"/>
      <w:r w:rsidRPr="004A47DC">
        <w:rPr>
          <w:b/>
        </w:rPr>
        <w:t xml:space="preserve">7.1 </w:t>
      </w:r>
      <w:r w:rsidR="004719D2" w:rsidRPr="004A47DC">
        <w:rPr>
          <w:b/>
        </w:rPr>
        <w:t>Hyrje</w:t>
      </w:r>
      <w:bookmarkEnd w:id="49"/>
    </w:p>
    <w:p w14:paraId="2BEDEB42" w14:textId="4CB7F18F" w:rsidR="004719D2" w:rsidRPr="004A47DC" w:rsidRDefault="004719D2" w:rsidP="007403EB">
      <w:pPr>
        <w:pStyle w:val="TEKSTIII"/>
      </w:pPr>
      <w:r w:rsidRPr="004A47DC">
        <w:rPr>
          <w:rStyle w:val="rynqvb"/>
          <w:color w:val="000000" w:themeColor="text1"/>
        </w:rPr>
        <w:t xml:space="preserve">Objektivi specifik i </w:t>
      </w:r>
      <w:r w:rsidR="004E7351">
        <w:rPr>
          <w:rStyle w:val="rynqvb"/>
          <w:color w:val="000000" w:themeColor="text1"/>
        </w:rPr>
        <w:t>s</w:t>
      </w:r>
      <w:r w:rsidRPr="004A47DC">
        <w:rPr>
          <w:rStyle w:val="rynqvb"/>
          <w:color w:val="000000" w:themeColor="text1"/>
        </w:rPr>
        <w:t xml:space="preserve">htyllës 6 është </w:t>
      </w:r>
      <w:r w:rsidR="00E33A13" w:rsidRPr="004A47DC">
        <w:rPr>
          <w:rStyle w:val="rynqvb"/>
          <w:color w:val="000000" w:themeColor="text1"/>
        </w:rPr>
        <w:t>“</w:t>
      </w:r>
      <w:r w:rsidRPr="004A47DC">
        <w:rPr>
          <w:rStyle w:val="rynqvb"/>
          <w:color w:val="000000" w:themeColor="text1"/>
        </w:rPr>
        <w:t>Forcimi i mekanizmave të mbikëqyrjes së jashtme</w:t>
      </w:r>
      <w:r w:rsidR="00E33A13" w:rsidRPr="004A47DC">
        <w:rPr>
          <w:rStyle w:val="rynqvb"/>
          <w:color w:val="000000" w:themeColor="text1"/>
        </w:rPr>
        <w:t>”</w:t>
      </w:r>
      <w:r w:rsidRPr="004A47DC">
        <w:rPr>
          <w:rStyle w:val="rynqvb"/>
          <w:color w:val="000000" w:themeColor="text1"/>
        </w:rPr>
        <w:t xml:space="preserve"> dhe mbulon auditimin e jashtëm dhe mbikëqyrjen parlamentare.</w:t>
      </w:r>
    </w:p>
    <w:p w14:paraId="5537AAEC" w14:textId="659ED9C2" w:rsidR="00792C89" w:rsidRPr="004A47DC" w:rsidRDefault="00792C89" w:rsidP="00792C89">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Komponenti 6.1 Auditimi i </w:t>
      </w:r>
      <w:r w:rsidR="004E7351">
        <w:rPr>
          <w:rFonts w:ascii="Garamond" w:hAnsi="Garamond" w:cs="Garamond"/>
          <w:b/>
          <w:bCs/>
          <w:lang w:eastAsia="sq-AL"/>
        </w:rPr>
        <w:t>j</w:t>
      </w:r>
      <w:r w:rsidRPr="004A47DC">
        <w:rPr>
          <w:rFonts w:ascii="Garamond" w:hAnsi="Garamond" w:cs="Garamond"/>
          <w:b/>
          <w:bCs/>
          <w:lang w:eastAsia="sq-AL"/>
        </w:rPr>
        <w:t>ashtëm</w:t>
      </w:r>
    </w:p>
    <w:p w14:paraId="7EBEC344" w14:textId="38E1E914" w:rsidR="00792C89" w:rsidRPr="004A47DC" w:rsidRDefault="00792C89" w:rsidP="00792C89">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 xml:space="preserve">Synimi 2030: të sigurohet që funksioni i Kontrollit të Lartë të funksionojë bazuar në parimet e Organizatës Ndërkombëtare të Institucioneve Supreme të Auditimit (ONISA) dhe në përputhje të plotë me Standardet Ndërkombëtare për Institucionet Supreme të Auditimit (SNISA) </w:t>
      </w:r>
      <w:r w:rsidR="004E7351">
        <w:rPr>
          <w:rFonts w:ascii="Garamond" w:hAnsi="Garamond" w:cs="Garamond"/>
          <w:lang w:eastAsia="sq-AL"/>
        </w:rPr>
        <w:t>,</w:t>
      </w:r>
      <w:r w:rsidRPr="004A47DC">
        <w:rPr>
          <w:rFonts w:ascii="Garamond" w:hAnsi="Garamond" w:cs="Garamond"/>
          <w:lang w:eastAsia="sq-AL"/>
        </w:rPr>
        <w:t>nëpërmjet përmirësimit të mëtejshëm të kuadrit ligjor, rregullator dhe metodologjik</w:t>
      </w:r>
      <w:r w:rsidR="004E7351">
        <w:rPr>
          <w:rFonts w:ascii="Garamond" w:hAnsi="Garamond" w:cs="Garamond"/>
          <w:lang w:eastAsia="sq-AL"/>
        </w:rPr>
        <w:t>,</w:t>
      </w:r>
      <w:r w:rsidRPr="004A47DC">
        <w:rPr>
          <w:rFonts w:ascii="Garamond" w:hAnsi="Garamond" w:cs="Garamond"/>
          <w:lang w:eastAsia="sq-AL"/>
        </w:rPr>
        <w:t xml:space="preserve"> dhe vendosjes së mjeteve dhe kapaciteteve të mjaftueshme të audituesve dhe stafit mbështetës.</w:t>
      </w:r>
    </w:p>
    <w:p w14:paraId="11F00172" w14:textId="77777777" w:rsidR="004E7351" w:rsidRDefault="00792C89" w:rsidP="00792C89">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Pr="004A47DC">
        <w:rPr>
          <w:rFonts w:ascii="Garamond" w:hAnsi="Garamond" w:cs="Garamond"/>
          <w:lang w:eastAsia="sq-AL"/>
        </w:rPr>
        <w:t>:</w:t>
      </w:r>
      <w:r w:rsidRPr="004A47DC">
        <w:rPr>
          <w:rFonts w:ascii="Garamond" w:hAnsi="Garamond" w:cs="Symbol"/>
          <w:color w:val="0070C0"/>
          <w:lang w:eastAsia="sq-AL"/>
        </w:rPr>
        <w:t xml:space="preserve"> </w:t>
      </w:r>
    </w:p>
    <w:p w14:paraId="05845800" w14:textId="6631C9BF" w:rsidR="00792C89" w:rsidRPr="004A47DC" w:rsidRDefault="00792C89" w:rsidP="00792C89">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color w:val="000000"/>
          <w:lang w:eastAsia="sq-AL"/>
        </w:rPr>
        <w:t>Masa 6.1.1 Përmirësimi i mëtejshëm i kuadrit metodologjik ligjor, rregullator dhe fleksibël dhe zgjerimi i përdorimit të mjeteve të auditimit;</w:t>
      </w:r>
    </w:p>
    <w:p w14:paraId="048DE938" w14:textId="781E5F89" w:rsidR="00792C89" w:rsidRPr="004A47DC" w:rsidRDefault="00792C89" w:rsidP="00792C89">
      <w:pPr>
        <w:tabs>
          <w:tab w:val="left" w:pos="9071"/>
        </w:tabs>
        <w:autoSpaceDE w:val="0"/>
        <w:autoSpaceDN w:val="0"/>
        <w:adjustRightInd w:val="0"/>
        <w:ind w:firstLine="284"/>
        <w:jc w:val="both"/>
        <w:rPr>
          <w:rFonts w:ascii="Garamond" w:hAnsi="Garamond" w:cs="Garamond"/>
          <w:color w:val="000000"/>
          <w:lang w:eastAsia="sq-AL"/>
        </w:rPr>
      </w:pPr>
      <w:r w:rsidRPr="004A47DC">
        <w:rPr>
          <w:rFonts w:ascii="Garamond" w:hAnsi="Garamond" w:cs="Garamond"/>
          <w:color w:val="000000"/>
          <w:lang w:eastAsia="sq-AL"/>
        </w:rPr>
        <w:t>Masa 6.1.2 Profesionalizimi i raportimit dhe komunikimit</w:t>
      </w:r>
      <w:r w:rsidR="004E7351">
        <w:rPr>
          <w:rFonts w:ascii="Garamond" w:hAnsi="Garamond" w:cs="Garamond"/>
          <w:color w:val="000000"/>
          <w:lang w:eastAsia="sq-AL"/>
        </w:rPr>
        <w:t>,</w:t>
      </w:r>
      <w:r w:rsidRPr="004A47DC">
        <w:rPr>
          <w:rFonts w:ascii="Garamond" w:hAnsi="Garamond" w:cs="Garamond"/>
          <w:color w:val="000000"/>
          <w:lang w:eastAsia="sq-AL"/>
        </w:rPr>
        <w:t xml:space="preserve"> në përputhje me strategjinë e komunikimit dhe parimet</w:t>
      </w:r>
      <w:r w:rsidR="004E7351">
        <w:rPr>
          <w:rFonts w:ascii="Garamond" w:hAnsi="Garamond" w:cs="Garamond"/>
          <w:color w:val="000000"/>
          <w:lang w:eastAsia="sq-AL"/>
        </w:rPr>
        <w:t>,</w:t>
      </w:r>
      <w:r w:rsidRPr="004A47DC">
        <w:rPr>
          <w:rFonts w:ascii="Garamond" w:hAnsi="Garamond" w:cs="Garamond"/>
          <w:color w:val="000000"/>
          <w:lang w:eastAsia="sq-AL"/>
        </w:rPr>
        <w:t xml:space="preserve"> dhe standardet përkatëse.</w:t>
      </w:r>
    </w:p>
    <w:p w14:paraId="42041DB8" w14:textId="2E8A5593" w:rsidR="00792C89" w:rsidRPr="004A47DC" w:rsidRDefault="00792C89" w:rsidP="00792C89">
      <w:pPr>
        <w:tabs>
          <w:tab w:val="left" w:pos="9071"/>
        </w:tabs>
        <w:autoSpaceDE w:val="0"/>
        <w:autoSpaceDN w:val="0"/>
        <w:adjustRightInd w:val="0"/>
        <w:ind w:firstLine="284"/>
        <w:jc w:val="both"/>
        <w:rPr>
          <w:rFonts w:ascii="Garamond" w:hAnsi="Garamond" w:cs="Garamond"/>
          <w:b/>
          <w:bCs/>
          <w:lang w:eastAsia="sq-AL"/>
        </w:rPr>
      </w:pPr>
      <w:r w:rsidRPr="004A47DC">
        <w:rPr>
          <w:rFonts w:ascii="Garamond" w:hAnsi="Garamond" w:cs="Garamond"/>
          <w:b/>
          <w:bCs/>
          <w:lang w:eastAsia="sq-AL"/>
        </w:rPr>
        <w:t xml:space="preserve">Komponenti 6.2 Mbikëqyrja </w:t>
      </w:r>
      <w:r w:rsidR="004E7351">
        <w:rPr>
          <w:rFonts w:ascii="Garamond" w:hAnsi="Garamond" w:cs="Garamond"/>
          <w:b/>
          <w:bCs/>
          <w:lang w:eastAsia="sq-AL"/>
        </w:rPr>
        <w:t>p</w:t>
      </w:r>
      <w:r w:rsidRPr="004A47DC">
        <w:rPr>
          <w:rFonts w:ascii="Garamond" w:hAnsi="Garamond" w:cs="Garamond"/>
          <w:b/>
          <w:bCs/>
          <w:lang w:eastAsia="sq-AL"/>
        </w:rPr>
        <w:t>arlamentare</w:t>
      </w:r>
    </w:p>
    <w:p w14:paraId="7D002F88" w14:textId="77777777" w:rsidR="00792C89" w:rsidRPr="004A47DC" w:rsidRDefault="00792C89" w:rsidP="00792C89">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lang w:eastAsia="sq-AL"/>
        </w:rPr>
        <w:t>Synimi 2030: të sigurohet që mjedisi mundësues dhe struktura mbështetëse për Komisionin për Ekonominë dhe Financat të jetë e profesionalizuar duke ndjekur praktikat e mira të BE/OECD, të cilat i lejojnë parlamentit të zbatojë më mirë mandatin e tij të kontrollit dhe mbikëqyrjes.</w:t>
      </w:r>
    </w:p>
    <w:p w14:paraId="44514D1B" w14:textId="59725F87" w:rsidR="00792C89" w:rsidRPr="004A47DC" w:rsidRDefault="00792C89" w:rsidP="00792C89">
      <w:pPr>
        <w:tabs>
          <w:tab w:val="left" w:pos="9071"/>
        </w:tabs>
        <w:autoSpaceDE w:val="0"/>
        <w:autoSpaceDN w:val="0"/>
        <w:adjustRightInd w:val="0"/>
        <w:ind w:firstLine="284"/>
        <w:jc w:val="both"/>
        <w:rPr>
          <w:rFonts w:ascii="Garamond" w:hAnsi="Garamond" w:cs="Symbol"/>
          <w:color w:val="0070C0"/>
          <w:lang w:eastAsia="sq-AL"/>
        </w:rPr>
      </w:pPr>
      <w:r w:rsidRPr="004A47DC">
        <w:rPr>
          <w:rFonts w:ascii="Garamond" w:hAnsi="Garamond" w:cs="Garamond"/>
          <w:lang w:eastAsia="sq-AL"/>
        </w:rPr>
        <w:t xml:space="preserve">Masat për vitet </w:t>
      </w:r>
      <w:r w:rsidR="00DB1D7E" w:rsidRPr="004A47DC">
        <w:rPr>
          <w:rFonts w:ascii="Garamond" w:hAnsi="Garamond" w:cs="Garamond"/>
          <w:lang w:eastAsia="sq-AL"/>
        </w:rPr>
        <w:t>2023–2026</w:t>
      </w:r>
      <w:r w:rsidR="004E7351">
        <w:rPr>
          <w:rFonts w:ascii="Garamond" w:hAnsi="Garamond" w:cs="Garamond"/>
          <w:lang w:eastAsia="sq-AL"/>
        </w:rPr>
        <w:t>:</w:t>
      </w:r>
    </w:p>
    <w:p w14:paraId="06689E86" w14:textId="437E9CE6" w:rsidR="00792C89" w:rsidRPr="005A2A99" w:rsidRDefault="00792C89" w:rsidP="005A2A99">
      <w:pPr>
        <w:tabs>
          <w:tab w:val="left" w:pos="9071"/>
        </w:tabs>
        <w:autoSpaceDE w:val="0"/>
        <w:autoSpaceDN w:val="0"/>
        <w:adjustRightInd w:val="0"/>
        <w:ind w:firstLine="284"/>
        <w:jc w:val="both"/>
        <w:rPr>
          <w:rFonts w:ascii="Garamond" w:hAnsi="Garamond" w:cs="Garamond"/>
          <w:lang w:eastAsia="sq-AL"/>
        </w:rPr>
      </w:pPr>
      <w:r w:rsidRPr="004A47DC">
        <w:rPr>
          <w:rFonts w:ascii="Garamond" w:hAnsi="Garamond" w:cs="Garamond"/>
          <w:color w:val="000000"/>
          <w:lang w:eastAsia="sq-AL"/>
        </w:rPr>
        <w:t>Masa 6.2.1</w:t>
      </w:r>
      <w:r w:rsidR="006D20A2" w:rsidRPr="004A47DC">
        <w:rPr>
          <w:rFonts w:ascii="Garamond" w:hAnsi="Garamond" w:cs="Garamond"/>
          <w:color w:val="000000"/>
          <w:lang w:eastAsia="sq-AL"/>
        </w:rPr>
        <w:t>:</w:t>
      </w:r>
      <w:r w:rsidRPr="004A47DC">
        <w:rPr>
          <w:rFonts w:ascii="Garamond" w:hAnsi="Garamond" w:cs="Garamond"/>
          <w:color w:val="000000"/>
          <w:lang w:eastAsia="sq-AL"/>
        </w:rPr>
        <w:t xml:space="preserve"> Profesionalizimi i mëtejshëm i strukturave mbështetëse të Komisionit Parlamentar për Ekonominë dhe Financat.</w:t>
      </w:r>
    </w:p>
    <w:p w14:paraId="1EA4DA9E" w14:textId="3186C1B2" w:rsidR="004719D2" w:rsidRPr="004A47DC" w:rsidRDefault="00921C57" w:rsidP="00921C57">
      <w:pPr>
        <w:pStyle w:val="TEKSTIII"/>
        <w:rPr>
          <w:rStyle w:val="IntenseReference"/>
          <w:rFonts w:ascii="Garamond" w:hAnsi="Garamond"/>
          <w:b/>
          <w:i w:val="0"/>
          <w:color w:val="000000" w:themeColor="text1"/>
          <w:sz w:val="24"/>
          <w:szCs w:val="24"/>
        </w:rPr>
      </w:pPr>
      <w:bookmarkStart w:id="50" w:name="_Toc168918704"/>
      <w:r w:rsidRPr="004A47DC">
        <w:rPr>
          <w:rStyle w:val="IntenseReference"/>
          <w:rFonts w:ascii="Garamond" w:hAnsi="Garamond"/>
          <w:b/>
          <w:i w:val="0"/>
          <w:color w:val="000000" w:themeColor="text1"/>
          <w:sz w:val="24"/>
          <w:szCs w:val="24"/>
        </w:rPr>
        <w:t xml:space="preserve">7.2 </w:t>
      </w:r>
      <w:r w:rsidR="004719D2" w:rsidRPr="004A47DC">
        <w:rPr>
          <w:rStyle w:val="IntenseReference"/>
          <w:rFonts w:ascii="Garamond" w:hAnsi="Garamond"/>
          <w:b/>
          <w:i w:val="0"/>
          <w:color w:val="000000" w:themeColor="text1"/>
          <w:sz w:val="24"/>
          <w:szCs w:val="24"/>
        </w:rPr>
        <w:t>Komponenti 6.1</w:t>
      </w:r>
      <w:r w:rsidR="006D20A2" w:rsidRPr="004A47DC">
        <w:rPr>
          <w:rStyle w:val="IntenseReference"/>
          <w:rFonts w:ascii="Garamond" w:hAnsi="Garamond"/>
          <w:b/>
          <w:i w:val="0"/>
          <w:color w:val="000000" w:themeColor="text1"/>
          <w:sz w:val="24"/>
          <w:szCs w:val="24"/>
        </w:rPr>
        <w:t>:</w:t>
      </w:r>
      <w:r w:rsidR="004719D2" w:rsidRPr="004A47DC">
        <w:rPr>
          <w:rStyle w:val="IntenseReference"/>
          <w:rFonts w:ascii="Garamond" w:hAnsi="Garamond"/>
          <w:b/>
          <w:i w:val="0"/>
          <w:color w:val="000000" w:themeColor="text1"/>
          <w:sz w:val="24"/>
          <w:szCs w:val="24"/>
        </w:rPr>
        <w:t xml:space="preserve"> Auditimi i </w:t>
      </w:r>
      <w:r w:rsidR="006D20A2" w:rsidRPr="004A47DC">
        <w:rPr>
          <w:rStyle w:val="IntenseReference"/>
          <w:rFonts w:ascii="Garamond" w:hAnsi="Garamond"/>
          <w:b/>
          <w:i w:val="0"/>
          <w:color w:val="000000" w:themeColor="text1"/>
          <w:sz w:val="24"/>
          <w:szCs w:val="24"/>
        </w:rPr>
        <w:t>j</w:t>
      </w:r>
      <w:r w:rsidR="004719D2" w:rsidRPr="004A47DC">
        <w:rPr>
          <w:rStyle w:val="IntenseReference"/>
          <w:rFonts w:ascii="Garamond" w:hAnsi="Garamond"/>
          <w:b/>
          <w:i w:val="0"/>
          <w:color w:val="000000" w:themeColor="text1"/>
          <w:sz w:val="24"/>
          <w:szCs w:val="24"/>
        </w:rPr>
        <w:t>ashtë</w:t>
      </w:r>
      <w:bookmarkEnd w:id="50"/>
      <w:r w:rsidRPr="004A47DC">
        <w:rPr>
          <w:rStyle w:val="IntenseReference"/>
          <w:rFonts w:ascii="Garamond" w:hAnsi="Garamond"/>
          <w:b/>
          <w:i w:val="0"/>
          <w:color w:val="000000" w:themeColor="text1"/>
          <w:sz w:val="24"/>
          <w:szCs w:val="24"/>
        </w:rPr>
        <w:t>m</w:t>
      </w:r>
    </w:p>
    <w:p w14:paraId="4B64C640" w14:textId="77777777" w:rsidR="004719D2" w:rsidRPr="004A47DC" w:rsidRDefault="004719D2" w:rsidP="00921C57">
      <w:pPr>
        <w:pStyle w:val="TEKSTIII"/>
        <w:rPr>
          <w:rStyle w:val="Strong"/>
          <w:rFonts w:ascii="Garamond" w:hAnsi="Garamond"/>
          <w:b w:val="0"/>
          <w:color w:val="000000" w:themeColor="text1"/>
          <w:sz w:val="24"/>
        </w:rPr>
      </w:pPr>
      <w:r w:rsidRPr="004A47DC">
        <w:rPr>
          <w:rStyle w:val="Strong"/>
          <w:rFonts w:ascii="Garamond" w:hAnsi="Garamond"/>
          <w:color w:val="000000" w:themeColor="text1"/>
          <w:sz w:val="24"/>
        </w:rPr>
        <w:t>Objektivi</w:t>
      </w:r>
    </w:p>
    <w:p w14:paraId="741655F2" w14:textId="13C7A1C7" w:rsidR="004719D2" w:rsidRPr="004A47DC" w:rsidRDefault="004719D2" w:rsidP="00921C57">
      <w:pPr>
        <w:pStyle w:val="TEKSTIII"/>
      </w:pPr>
      <w:r w:rsidRPr="004A47DC">
        <w:t xml:space="preserve">Synimi për vitin 2030 është të sigurohet që funksioni i Kontrollit të Lartë të funksionojë bazuar në parimet e </w:t>
      </w:r>
      <w:r w:rsidRPr="004A47DC">
        <w:rPr>
          <w:rStyle w:val="rynqvb"/>
          <w:color w:val="000000" w:themeColor="text1"/>
        </w:rPr>
        <w:t>Organizatës Ndërkombëtare të Institucioneve Supreme të Auditimit</w:t>
      </w:r>
      <w:r w:rsidRPr="004A47DC">
        <w:t xml:space="preserve"> (ONISA) dhe në përputhje të plotë me Standardet Ndërkombëtare për Institucionet Supreme të Auditimit (SNISA)</w:t>
      </w:r>
      <w:r w:rsidR="004E7351">
        <w:t>,</w:t>
      </w:r>
      <w:r w:rsidRPr="004A47DC">
        <w:t xml:space="preserve"> nëpërmjet përmirësimit të mëtejshëm të kuadrit ligjor, rregullator dhe metodologjik dhe vendosjes së mjeteve dhe kapaciteteve të mjaftueshme të audituesve dhe stafit mbështetës.</w:t>
      </w:r>
    </w:p>
    <w:p w14:paraId="5733BA45" w14:textId="77777777" w:rsidR="004719D2" w:rsidRPr="004A47DC" w:rsidRDefault="004719D2" w:rsidP="00921C57">
      <w:pPr>
        <w:pStyle w:val="TEKSTIII"/>
        <w:rPr>
          <w:b/>
        </w:rPr>
      </w:pPr>
      <w:r w:rsidRPr="004A47DC">
        <w:rPr>
          <w:b/>
        </w:rPr>
        <w:t>Konteksti</w:t>
      </w:r>
    </w:p>
    <w:p w14:paraId="767DD64F" w14:textId="321C4D8D" w:rsidR="004719D2" w:rsidRPr="004A47DC" w:rsidRDefault="004719D2" w:rsidP="00921C57">
      <w:pPr>
        <w:pStyle w:val="TEKSTIII"/>
      </w:pPr>
      <w:r w:rsidRPr="004A47DC">
        <w:rPr>
          <w:rStyle w:val="rynqvb"/>
          <w:color w:val="000000" w:themeColor="text1"/>
        </w:rPr>
        <w:t>Pavarësia dhe mandati i KLSH-së sigurohet me ligj</w:t>
      </w:r>
      <w:r w:rsidRPr="004A47DC">
        <w:rPr>
          <w:rStyle w:val="FootnoteReference"/>
          <w:rFonts w:ascii="Garamond" w:hAnsi="Garamond"/>
          <w:color w:val="000000" w:themeColor="text1"/>
          <w:sz w:val="24"/>
          <w:szCs w:val="24"/>
        </w:rPr>
        <w:footnoteReference w:id="77"/>
      </w:r>
      <w:r w:rsidRPr="004A47DC">
        <w:rPr>
          <w:rStyle w:val="rynqvb"/>
          <w:color w:val="000000" w:themeColor="text1"/>
        </w:rPr>
        <w:t xml:space="preserve"> dhe me kalimin e viteve janë adoptuar Standardet Ndërkombëtare për Institucionet Supreme të Auditimit (ISSAI) dhe kuadri rregullator është përshtatur me këto standarde.</w:t>
      </w:r>
      <w:r w:rsidRPr="004A47DC">
        <w:rPr>
          <w:rStyle w:val="hwtze"/>
          <w:color w:val="000000" w:themeColor="text1"/>
        </w:rPr>
        <w:t xml:space="preserve"> </w:t>
      </w:r>
      <w:r w:rsidRPr="004A47DC">
        <w:rPr>
          <w:rStyle w:val="rynqvb"/>
          <w:color w:val="000000" w:themeColor="text1"/>
        </w:rPr>
        <w:t>KLSH</w:t>
      </w:r>
      <w:r w:rsidR="004E7351">
        <w:rPr>
          <w:rStyle w:val="rynqvb"/>
          <w:color w:val="000000" w:themeColor="text1"/>
        </w:rPr>
        <w:t>-ja</w:t>
      </w:r>
      <w:r w:rsidRPr="004A47DC">
        <w:rPr>
          <w:rStyle w:val="rynqvb"/>
          <w:color w:val="000000" w:themeColor="text1"/>
        </w:rPr>
        <w:t xml:space="preserve"> auditon çdo vit</w:t>
      </w:r>
      <w:r w:rsidR="004E7351">
        <w:rPr>
          <w:rStyle w:val="rynqvb"/>
          <w:color w:val="000000" w:themeColor="text1"/>
        </w:rPr>
        <w:t>,</w:t>
      </w:r>
      <w:r w:rsidRPr="004A47DC">
        <w:rPr>
          <w:rStyle w:val="rynqvb"/>
          <w:color w:val="000000" w:themeColor="text1"/>
        </w:rPr>
        <w:t xml:space="preserve"> në përputhje me planin e saj vjetor të auditimit bazuar në risk, të përzgjedhura nga institucionet e qeverisjes qendrore, Ndërmarrjet Shtetërore, Partneritetet Publike Private dhe që nga viti 2021 të gjitha 61 NJQV-të</w:t>
      </w:r>
      <w:r w:rsidR="00E34A96">
        <w:rPr>
          <w:rStyle w:val="rynqvb"/>
          <w:color w:val="000000" w:themeColor="text1"/>
        </w:rPr>
        <w:t>,</w:t>
      </w:r>
      <w:r w:rsidRPr="004A47DC">
        <w:rPr>
          <w:rStyle w:val="rynqvb"/>
          <w:color w:val="000000" w:themeColor="text1"/>
        </w:rPr>
        <w:t xml:space="preserve"> në përputhje me ligjin për qeverisjen vendore.</w:t>
      </w:r>
      <w:r w:rsidRPr="004A47DC">
        <w:rPr>
          <w:rStyle w:val="hwtze"/>
          <w:color w:val="000000" w:themeColor="text1"/>
        </w:rPr>
        <w:t xml:space="preserve"> Në vitin 2018 është future n</w:t>
      </w:r>
      <w:r w:rsidRPr="004A47DC">
        <w:rPr>
          <w:rStyle w:val="rynqvb"/>
          <w:color w:val="000000" w:themeColor="text1"/>
        </w:rPr>
        <w:t>jë kod i ri etikës. KLSH</w:t>
      </w:r>
      <w:r w:rsidR="00E34A96">
        <w:rPr>
          <w:rStyle w:val="rynqvb"/>
          <w:color w:val="000000" w:themeColor="text1"/>
        </w:rPr>
        <w:t>-ja</w:t>
      </w:r>
      <w:r w:rsidRPr="004A47DC">
        <w:rPr>
          <w:rStyle w:val="rynqvb"/>
          <w:color w:val="000000" w:themeColor="text1"/>
        </w:rPr>
        <w:t xml:space="preserve"> ka krijuar bashkëpunim me Iniciativës Zhvillimore të ONISA</w:t>
      </w:r>
      <w:r w:rsidR="006D3D02">
        <w:rPr>
          <w:rStyle w:val="rynqvb"/>
          <w:color w:val="000000" w:themeColor="text1"/>
        </w:rPr>
        <w:t>-s</w:t>
      </w:r>
      <w:r w:rsidRPr="004A47DC">
        <w:rPr>
          <w:rStyle w:val="rynqvb"/>
          <w:color w:val="000000" w:themeColor="text1"/>
        </w:rPr>
        <w:t>, Organizatën Evropiane të Institucioneve Supreme të Auditimit (OEISA), Gjykatën Evropiane të Auditimit (programet e praktikës), CEF Slloveni (trajnim</w:t>
      </w:r>
      <w:r w:rsidRPr="004A47DC">
        <w:rPr>
          <w:rStyle w:val="hwtze"/>
          <w:color w:val="000000" w:themeColor="text1"/>
        </w:rPr>
        <w:t xml:space="preserve"> </w:t>
      </w:r>
      <w:r w:rsidRPr="004A47DC">
        <w:rPr>
          <w:rStyle w:val="rynqvb"/>
          <w:color w:val="000000" w:themeColor="text1"/>
        </w:rPr>
        <w:t>programet), SIGMA</w:t>
      </w:r>
      <w:r w:rsidR="006D3D02">
        <w:rPr>
          <w:rStyle w:val="rynqvb"/>
          <w:color w:val="000000" w:themeColor="text1"/>
        </w:rPr>
        <w:t>-n</w:t>
      </w:r>
      <w:r w:rsidRPr="004A47DC">
        <w:rPr>
          <w:rStyle w:val="rynqvb"/>
          <w:color w:val="000000" w:themeColor="text1"/>
        </w:rPr>
        <w:t>, trajnime të auditimit të brendshëm dhe angazhime dypalëshe me ISA të tjera, për zhvillimin e kapaciteteve të KLSH</w:t>
      </w:r>
      <w:r w:rsidR="006D3D02">
        <w:rPr>
          <w:rStyle w:val="rynqvb"/>
          <w:color w:val="000000" w:themeColor="text1"/>
        </w:rPr>
        <w:t>-së</w:t>
      </w:r>
      <w:r w:rsidRPr="004A47DC">
        <w:rPr>
          <w:rStyle w:val="rynqvb"/>
          <w:color w:val="000000" w:themeColor="text1"/>
        </w:rPr>
        <w:t xml:space="preserve"> si institucion dhe stafit të tij auditues.</w:t>
      </w:r>
      <w:r w:rsidRPr="004A47DC">
        <w:t xml:space="preserve"> </w:t>
      </w:r>
      <w:r w:rsidRPr="004A47DC">
        <w:rPr>
          <w:rStyle w:val="rynqvb"/>
          <w:color w:val="000000" w:themeColor="text1"/>
        </w:rPr>
        <w:t>KLSH</w:t>
      </w:r>
      <w:r w:rsidR="006D3D02">
        <w:rPr>
          <w:rStyle w:val="rynqvb"/>
          <w:color w:val="000000" w:themeColor="text1"/>
        </w:rPr>
        <w:t>-ja</w:t>
      </w:r>
      <w:r w:rsidRPr="004A47DC">
        <w:rPr>
          <w:rStyle w:val="rynqvb"/>
          <w:color w:val="000000" w:themeColor="text1"/>
        </w:rPr>
        <w:t xml:space="preserve"> ka zgjeruar fushën e përgjegjësisë edhe me auditimin e barazisë gjinore dhe arritjen e OZhQ-ve. KLSH</w:t>
      </w:r>
      <w:r w:rsidR="006D3D02">
        <w:rPr>
          <w:rStyle w:val="rynqvb"/>
          <w:color w:val="000000" w:themeColor="text1"/>
        </w:rPr>
        <w:t>-ja</w:t>
      </w:r>
      <w:r w:rsidRPr="004A47DC">
        <w:rPr>
          <w:rStyle w:val="rynqvb"/>
          <w:color w:val="000000" w:themeColor="text1"/>
        </w:rPr>
        <w:t xml:space="preserve"> vendosi bashkëpunim me partnerët e zhvillimit për pilotimin e auditimit të jashtëm të PPP-ve dhe kontratave koncesionare</w:t>
      </w:r>
      <w:r w:rsidR="006D3D02">
        <w:rPr>
          <w:rStyle w:val="rynqvb"/>
          <w:color w:val="000000" w:themeColor="text1"/>
        </w:rPr>
        <w:t>,</w:t>
      </w:r>
      <w:r w:rsidRPr="004A47DC">
        <w:rPr>
          <w:rStyle w:val="rynqvb"/>
          <w:color w:val="000000" w:themeColor="text1"/>
        </w:rPr>
        <w:t xml:space="preserve"> dhe për futjen e teknikave të auditimit të mbështetur nga TI-</w:t>
      </w:r>
      <w:r w:rsidR="006D3D02">
        <w:rPr>
          <w:rStyle w:val="rynqvb"/>
          <w:color w:val="000000" w:themeColor="text1"/>
        </w:rPr>
        <w:t>ja</w:t>
      </w:r>
      <w:r w:rsidRPr="004A47DC">
        <w:rPr>
          <w:rStyle w:val="rynqvb"/>
          <w:color w:val="000000" w:themeColor="text1"/>
        </w:rPr>
        <w:t>, për përmirësimin e praktikave të auditimit.</w:t>
      </w:r>
      <w:r w:rsidRPr="004A47DC">
        <w:rPr>
          <w:rStyle w:val="hwtze"/>
          <w:color w:val="000000" w:themeColor="text1"/>
        </w:rPr>
        <w:t xml:space="preserve"> </w:t>
      </w:r>
      <w:r w:rsidRPr="004A47DC">
        <w:rPr>
          <w:rStyle w:val="rynqvb"/>
          <w:color w:val="000000" w:themeColor="text1"/>
        </w:rPr>
        <w:t xml:space="preserve">Gjithashtu, komunikimi dhe angazhimi me </w:t>
      </w:r>
      <w:r w:rsidR="006D3D02" w:rsidRPr="004A47DC">
        <w:rPr>
          <w:rStyle w:val="rynqvb"/>
          <w:color w:val="000000" w:themeColor="text1"/>
        </w:rPr>
        <w:t>parlamentin, qeverinë</w:t>
      </w:r>
      <w:r w:rsidRPr="004A47DC">
        <w:rPr>
          <w:rStyle w:val="rynqvb"/>
          <w:color w:val="000000" w:themeColor="text1"/>
        </w:rPr>
        <w:t>, medi</w:t>
      </w:r>
      <w:r w:rsidR="006D3D02">
        <w:rPr>
          <w:rStyle w:val="rynqvb"/>
          <w:color w:val="000000" w:themeColor="text1"/>
        </w:rPr>
        <w:t>e</w:t>
      </w:r>
      <w:r w:rsidRPr="004A47DC">
        <w:rPr>
          <w:rStyle w:val="rynqvb"/>
          <w:color w:val="000000" w:themeColor="text1"/>
        </w:rPr>
        <w:t>n dhe qytetarët është rritur dhe pritet të përmirësohet më tej me zhvillimin e Strategjisë së re të Komunikimit 2022-2025.</w:t>
      </w:r>
      <w:r w:rsidRPr="004A47DC">
        <w:rPr>
          <w:rStyle w:val="hwtze"/>
          <w:color w:val="000000" w:themeColor="text1"/>
        </w:rPr>
        <w:t xml:space="preserve"> </w:t>
      </w:r>
      <w:r w:rsidRPr="004A47DC">
        <w:rPr>
          <w:rStyle w:val="rynqvb"/>
          <w:color w:val="000000" w:themeColor="text1"/>
        </w:rPr>
        <w:t>Hapat për përmirësimin e ndjekjes adekuate të rekomandimeve të auditimit të KLSH-së – që ka qenë një çështje kyçe – janë bërë nëpërmjet një rregulloreje parlamentare që synon të sigurojë një mekanizëm më efektiv për monitorimin e ndjekjes së gjetjeve të auditimit.</w:t>
      </w:r>
      <w:r w:rsidRPr="004A47DC">
        <w:rPr>
          <w:rStyle w:val="hwtze"/>
          <w:color w:val="000000" w:themeColor="text1"/>
        </w:rPr>
        <w:t xml:space="preserve"> </w:t>
      </w:r>
      <w:r w:rsidRPr="004A47DC">
        <w:rPr>
          <w:rStyle w:val="rynqvb"/>
          <w:color w:val="000000" w:themeColor="text1"/>
        </w:rPr>
        <w:t>Parashikohet më shumë punë në këtë fushë.</w:t>
      </w:r>
    </w:p>
    <w:p w14:paraId="54938E75" w14:textId="2370B079" w:rsidR="004719D2" w:rsidRPr="004A47DC" w:rsidRDefault="004719D2" w:rsidP="00921C57">
      <w:pPr>
        <w:pStyle w:val="TEKSTIII"/>
      </w:pPr>
      <w:r w:rsidRPr="004A47DC">
        <w:t>Në vijim të vlerësimit</w:t>
      </w:r>
      <w:r w:rsidRPr="004A47DC">
        <w:rPr>
          <w:rStyle w:val="FootnoteReference"/>
          <w:rFonts w:ascii="Garamond" w:hAnsi="Garamond"/>
          <w:color w:val="000000" w:themeColor="text1"/>
          <w:sz w:val="24"/>
          <w:szCs w:val="24"/>
        </w:rPr>
        <w:footnoteReference w:id="78"/>
      </w:r>
      <w:r w:rsidRPr="004A47DC">
        <w:t xml:space="preserve"> të </w:t>
      </w:r>
      <w:r w:rsidRPr="004A47DC">
        <w:rPr>
          <w:rStyle w:val="rynqvb"/>
          <w:color w:val="000000" w:themeColor="text1"/>
        </w:rPr>
        <w:t>Kuadrit për Matjen e Performancës së Institucioneve Supreme të Auditimit</w:t>
      </w:r>
      <w:r w:rsidRPr="004A47DC">
        <w:t xml:space="preserve"> (KMP-ISA) të zbatuar në vitin 2022, KLSH</w:t>
      </w:r>
      <w:r w:rsidR="006D3D02">
        <w:t>-ja</w:t>
      </w:r>
      <w:r w:rsidRPr="004A47DC">
        <w:t xml:space="preserve"> ka zhvilluar dhe miratuar Strategjinë e saj të Zhvillimit për 2023-2027. Disa pika kryesore të strategjisë përfshijnë futjen e auditimeve të specializuara dhe qasjeve fleksibile të auditimit, përmirësimin e komunikimit të KLSH</w:t>
      </w:r>
      <w:r w:rsidR="006D3D02">
        <w:t>-së</w:t>
      </w:r>
      <w:r w:rsidRPr="004A47DC">
        <w:t xml:space="preserve"> me </w:t>
      </w:r>
      <w:r w:rsidR="006D3D02">
        <w:t>p</w:t>
      </w:r>
      <w:r w:rsidRPr="004A47DC">
        <w:t>arlamentin dhe qytetarët</w:t>
      </w:r>
      <w:r w:rsidR="006D3D02">
        <w:t>,</w:t>
      </w:r>
      <w:r w:rsidRPr="004A47DC">
        <w:t xml:space="preserve"> dhe vazhdimin e zgjerimit dhe trajnimit të kuadrit të auditimit.</w:t>
      </w:r>
    </w:p>
    <w:p w14:paraId="42574E85" w14:textId="77777777" w:rsidR="004719D2" w:rsidRPr="004A47DC" w:rsidRDefault="004719D2" w:rsidP="00921C57">
      <w:pPr>
        <w:pStyle w:val="TEKSTIII"/>
        <w:rPr>
          <w:b/>
        </w:rPr>
      </w:pPr>
      <w:r w:rsidRPr="004A47DC">
        <w:rPr>
          <w:b/>
        </w:rPr>
        <w:t>Prioritetet</w:t>
      </w:r>
    </w:p>
    <w:p w14:paraId="2A6C1491" w14:textId="3F435B44" w:rsidR="004719D2" w:rsidRPr="004A47DC" w:rsidRDefault="004719D2" w:rsidP="00921C57">
      <w:pPr>
        <w:pStyle w:val="TEKSTIII"/>
      </w:pPr>
      <w:r w:rsidRPr="004A47DC">
        <w:t>Në përputhje me Strategjinë e Zhvillimit të KLSH</w:t>
      </w:r>
      <w:r w:rsidR="006D3D02">
        <w:t>-së</w:t>
      </w:r>
      <w:r w:rsidRPr="004A47DC">
        <w:t xml:space="preserve"> për 2023</w:t>
      </w:r>
      <w:r w:rsidR="000A1CFC" w:rsidRPr="004A47DC">
        <w:t>–</w:t>
      </w:r>
      <w:r w:rsidRPr="004A47DC">
        <w:t xml:space="preserve">2027, prioritetet për </w:t>
      </w:r>
      <w:r w:rsidR="00DB1D7E" w:rsidRPr="004A47DC">
        <w:t>2023–2026</w:t>
      </w:r>
      <w:r w:rsidRPr="004A47DC">
        <w:t xml:space="preserve"> janë:</w:t>
      </w:r>
    </w:p>
    <w:p w14:paraId="0F5DC6C3" w14:textId="16111A25" w:rsidR="004719D2" w:rsidRPr="004A47DC" w:rsidRDefault="00921C57" w:rsidP="00921C57">
      <w:pPr>
        <w:pStyle w:val="TEKSTIII"/>
      </w:pPr>
      <w:r w:rsidRPr="004A47DC">
        <w:t xml:space="preserve">- </w:t>
      </w:r>
      <w:r w:rsidR="004719D2" w:rsidRPr="004A47DC">
        <w:t xml:space="preserve">Rritja dhe përmirësimi i rolit të KLSH-së si mbështetëse e Kuvendit </w:t>
      </w:r>
      <w:r w:rsidR="006D3D02">
        <w:t>,</w:t>
      </w:r>
      <w:r w:rsidR="004719D2" w:rsidRPr="004A47DC">
        <w:t>për llogaridhënie efektive dhe ekzaminim të kujdesshëm e të thelluar të njësive që përdorin fondet publike;</w:t>
      </w:r>
    </w:p>
    <w:p w14:paraId="1B9ED047" w14:textId="4DC11D87" w:rsidR="004719D2" w:rsidRPr="004A47DC" w:rsidRDefault="00921C57" w:rsidP="00921C57">
      <w:pPr>
        <w:pStyle w:val="TEKSTIII"/>
      </w:pPr>
      <w:r w:rsidRPr="004A47DC">
        <w:t xml:space="preserve">- </w:t>
      </w:r>
      <w:r w:rsidR="004719D2" w:rsidRPr="004A47DC">
        <w:t>Rritja e ndikimit të punës së auditimit në qeverisjen e mirë, përmes përmirësimit të nivelit të zbatimit të rekomandimeve;</w:t>
      </w:r>
    </w:p>
    <w:p w14:paraId="36A8F86E" w14:textId="380FB5E0" w:rsidR="004719D2" w:rsidRPr="004A47DC" w:rsidRDefault="00921C57" w:rsidP="00921C57">
      <w:pPr>
        <w:pStyle w:val="TEKSTIII"/>
        <w:rPr>
          <w:rFonts w:eastAsia="Times New Roman"/>
        </w:rPr>
      </w:pPr>
      <w:r w:rsidRPr="004A47DC">
        <w:t xml:space="preserve">- </w:t>
      </w:r>
      <w:r w:rsidR="004719D2" w:rsidRPr="004A47DC">
        <w:t>Optimizimi i kapaciteteve profesionale për marrjen e njohurive novatore në punën e auditimit.</w:t>
      </w:r>
      <w:r w:rsidR="004719D2" w:rsidRPr="004A47DC">
        <w:rPr>
          <w:rFonts w:eastAsia="Times New Roman"/>
        </w:rPr>
        <w:t xml:space="preserve"> </w:t>
      </w:r>
    </w:p>
    <w:p w14:paraId="0B4F5620" w14:textId="77777777" w:rsidR="004719D2" w:rsidRPr="004A47DC" w:rsidRDefault="004719D2" w:rsidP="004719D2">
      <w:pPr>
        <w:rPr>
          <w:rFonts w:ascii="Garamond" w:hAnsi="Garamond"/>
          <w:color w:val="000000" w:themeColor="text1"/>
        </w:rPr>
      </w:pPr>
    </w:p>
    <w:p w14:paraId="7DA7CC02" w14:textId="77777777" w:rsidR="004719D2" w:rsidRPr="004A47DC" w:rsidRDefault="004719D2" w:rsidP="004719D2">
      <w:pPr>
        <w:pStyle w:val="H5"/>
        <w:spacing w:after="0" w:line="240" w:lineRule="auto"/>
        <w:rPr>
          <w:rFonts w:ascii="Garamond" w:hAnsi="Garamond"/>
          <w:color w:val="000000" w:themeColor="text1"/>
          <w:sz w:val="24"/>
          <w:szCs w:val="24"/>
        </w:rPr>
      </w:pPr>
      <w:r w:rsidRPr="004A47DC">
        <w:rPr>
          <w:rStyle w:val="rynqvb"/>
          <w:rFonts w:ascii="Garamond" w:hAnsi="Garamond"/>
          <w:color w:val="000000" w:themeColor="text1"/>
          <w:sz w:val="24"/>
          <w:szCs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861"/>
        <w:gridCol w:w="3452"/>
        <w:gridCol w:w="689"/>
        <w:gridCol w:w="854"/>
        <w:gridCol w:w="1205"/>
      </w:tblGrid>
      <w:tr w:rsidR="004719D2" w:rsidRPr="004A47DC" w14:paraId="6520B5C2" w14:textId="77777777" w:rsidTr="000A1CFC">
        <w:trPr>
          <w:trHeight w:val="20"/>
          <w:tblHeader/>
        </w:trPr>
        <w:tc>
          <w:tcPr>
            <w:tcW w:w="1579" w:type="pct"/>
            <w:shd w:val="clear" w:color="auto" w:fill="D9D9D9" w:themeFill="background1" w:themeFillShade="D9"/>
          </w:tcPr>
          <w:p w14:paraId="294A6662"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905" w:type="pct"/>
            <w:shd w:val="clear" w:color="auto" w:fill="D9D9D9" w:themeFill="background1" w:themeFillShade="D9"/>
          </w:tcPr>
          <w:p w14:paraId="2646889B"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0" w:type="pct"/>
            <w:shd w:val="clear" w:color="auto" w:fill="D9D9D9" w:themeFill="background1" w:themeFillShade="D9"/>
          </w:tcPr>
          <w:p w14:paraId="7AF37553"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tcPr>
          <w:p w14:paraId="68E8FB3E"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665" w:type="pct"/>
            <w:shd w:val="clear" w:color="auto" w:fill="D9D9D9" w:themeFill="background1" w:themeFillShade="D9"/>
          </w:tcPr>
          <w:p w14:paraId="4CFB70BC" w14:textId="77777777" w:rsidR="004719D2" w:rsidRPr="004A47DC" w:rsidRDefault="004719D2" w:rsidP="000A1CFC">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49BE3AE7" w14:textId="77777777" w:rsidTr="000A1CFC">
        <w:trPr>
          <w:trHeight w:val="20"/>
        </w:trPr>
        <w:tc>
          <w:tcPr>
            <w:tcW w:w="1579" w:type="pct"/>
            <w:vMerge w:val="restart"/>
            <w:shd w:val="clear" w:color="auto" w:fill="auto"/>
          </w:tcPr>
          <w:p w14:paraId="32E9CF09"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6.1.1 Përmirësimi i mëtejshëm i kuadrit ligjor, rregullator dhe korniza metodologjike dinamike dhe zgjerimi i përdorimit të mjeteve të auditimit</w:t>
            </w:r>
          </w:p>
        </w:tc>
        <w:tc>
          <w:tcPr>
            <w:tcW w:w="1905" w:type="pct"/>
          </w:tcPr>
          <w:p w14:paraId="4EB853E7" w14:textId="70C8ED9E" w:rsidR="004719D2" w:rsidRPr="004A47DC" w:rsidRDefault="002071D3" w:rsidP="002974D6">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 xml:space="preserve">Vazhdimi i rishikimeve të rregullta nga kolegët i funksionimit të KLSH-së dhe mbi bazën e këtij përditësimi dhe zbatimi i planit strategjik të zhvillimit të KLSH-së. </w:t>
            </w:r>
          </w:p>
        </w:tc>
        <w:tc>
          <w:tcPr>
            <w:tcW w:w="380" w:type="pct"/>
            <w:vAlign w:val="center"/>
          </w:tcPr>
          <w:p w14:paraId="1077914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 xml:space="preserve">T1 2024 </w:t>
            </w:r>
          </w:p>
        </w:tc>
        <w:tc>
          <w:tcPr>
            <w:tcW w:w="471" w:type="pct"/>
            <w:vAlign w:val="center"/>
          </w:tcPr>
          <w:p w14:paraId="560CE16D"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65" w:type="pct"/>
            <w:vMerge w:val="restart"/>
          </w:tcPr>
          <w:p w14:paraId="4730F8E0"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3CC880E4" w14:textId="00145194"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KLSH</w:t>
            </w:r>
            <w:r w:rsidR="006D3D02">
              <w:rPr>
                <w:rFonts w:ascii="Garamond" w:hAnsi="Garamond" w:cs="Arial"/>
                <w:color w:val="000000" w:themeColor="text1"/>
                <w:sz w:val="16"/>
                <w:szCs w:val="16"/>
              </w:rPr>
              <w:t>-ja</w:t>
            </w:r>
            <w:r w:rsidRPr="004A47DC">
              <w:rPr>
                <w:rFonts w:ascii="Garamond" w:hAnsi="Garamond" w:cs="Arial"/>
                <w:color w:val="000000" w:themeColor="text1"/>
                <w:sz w:val="16"/>
                <w:szCs w:val="16"/>
              </w:rPr>
              <w:t xml:space="preserve"> (lider)</w:t>
            </w:r>
          </w:p>
          <w:p w14:paraId="73058AA9"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6A55B73"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00B20D8B"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IZh-ONISA</w:t>
            </w:r>
          </w:p>
        </w:tc>
      </w:tr>
      <w:tr w:rsidR="004719D2" w:rsidRPr="004A47DC" w14:paraId="261E9B82" w14:textId="77777777" w:rsidTr="000A1CFC">
        <w:trPr>
          <w:trHeight w:val="607"/>
        </w:trPr>
        <w:tc>
          <w:tcPr>
            <w:tcW w:w="1579" w:type="pct"/>
            <w:vMerge/>
            <w:shd w:val="clear" w:color="auto" w:fill="auto"/>
          </w:tcPr>
          <w:p w14:paraId="21E68C9C" w14:textId="77777777" w:rsidR="004719D2" w:rsidRPr="004A47DC" w:rsidRDefault="004719D2" w:rsidP="00732B6D">
            <w:pPr>
              <w:pStyle w:val="EcorysBody"/>
              <w:numPr>
                <w:ilvl w:val="0"/>
                <w:numId w:val="7"/>
              </w:numPr>
              <w:spacing w:line="240" w:lineRule="auto"/>
              <w:rPr>
                <w:rFonts w:ascii="Garamond" w:hAnsi="Garamond" w:cs="Arial"/>
                <w:color w:val="000000" w:themeColor="text1"/>
                <w:sz w:val="16"/>
                <w:szCs w:val="16"/>
              </w:rPr>
            </w:pPr>
          </w:p>
        </w:tc>
        <w:tc>
          <w:tcPr>
            <w:tcW w:w="1905" w:type="pct"/>
          </w:tcPr>
          <w:p w14:paraId="24ACEFB3" w14:textId="64DA70CE" w:rsidR="004719D2" w:rsidRPr="004A47DC" w:rsidRDefault="002071D3" w:rsidP="002974D6">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 xml:space="preserve">Përcaktimi i ndryshimeve </w:t>
            </w:r>
            <w:r w:rsidR="006D3D02" w:rsidRPr="004A47DC">
              <w:rPr>
                <w:rFonts w:ascii="Garamond" w:hAnsi="Garamond"/>
                <w:sz w:val="16"/>
                <w:szCs w:val="16"/>
              </w:rPr>
              <w:t xml:space="preserve">në ligjin organik </w:t>
            </w:r>
            <w:r w:rsidR="004719D2" w:rsidRPr="004A47DC">
              <w:rPr>
                <w:rFonts w:ascii="Garamond" w:hAnsi="Garamond"/>
                <w:sz w:val="16"/>
                <w:szCs w:val="16"/>
              </w:rPr>
              <w:t>të KLSH-së për të forcuar më tej pavarësinë dhe mandatin kushtetues të KLSH</w:t>
            </w:r>
            <w:r w:rsidR="006D3D02">
              <w:rPr>
                <w:rFonts w:ascii="Garamond" w:hAnsi="Garamond"/>
                <w:sz w:val="16"/>
                <w:szCs w:val="16"/>
              </w:rPr>
              <w:t>-së</w:t>
            </w:r>
            <w:r w:rsidR="004719D2" w:rsidRPr="004A47DC">
              <w:rPr>
                <w:rFonts w:ascii="Garamond" w:hAnsi="Garamond"/>
                <w:sz w:val="16"/>
                <w:szCs w:val="16"/>
              </w:rPr>
              <w:t>.</w:t>
            </w:r>
          </w:p>
        </w:tc>
        <w:tc>
          <w:tcPr>
            <w:tcW w:w="380" w:type="pct"/>
            <w:vAlign w:val="center"/>
          </w:tcPr>
          <w:p w14:paraId="19747441"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vAlign w:val="center"/>
          </w:tcPr>
          <w:p w14:paraId="239CAD5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65" w:type="pct"/>
            <w:vMerge/>
          </w:tcPr>
          <w:p w14:paraId="4CB3BB20" w14:textId="77777777" w:rsidR="004719D2" w:rsidRPr="004A47DC" w:rsidRDefault="004719D2" w:rsidP="00CF7CEC">
            <w:pPr>
              <w:rPr>
                <w:rFonts w:ascii="Garamond" w:hAnsi="Garamond"/>
                <w:color w:val="000000" w:themeColor="text1"/>
                <w:sz w:val="16"/>
                <w:szCs w:val="16"/>
              </w:rPr>
            </w:pPr>
          </w:p>
        </w:tc>
      </w:tr>
      <w:tr w:rsidR="004719D2" w:rsidRPr="004A47DC" w14:paraId="567480A1" w14:textId="77777777" w:rsidTr="000A1CFC">
        <w:trPr>
          <w:trHeight w:val="910"/>
        </w:trPr>
        <w:tc>
          <w:tcPr>
            <w:tcW w:w="1579" w:type="pct"/>
            <w:vMerge/>
            <w:shd w:val="clear" w:color="auto" w:fill="auto"/>
          </w:tcPr>
          <w:p w14:paraId="7F409EBE" w14:textId="77777777" w:rsidR="004719D2" w:rsidRPr="004A47DC" w:rsidRDefault="004719D2" w:rsidP="00732B6D">
            <w:pPr>
              <w:pStyle w:val="EcorysBody"/>
              <w:numPr>
                <w:ilvl w:val="0"/>
                <w:numId w:val="7"/>
              </w:numPr>
              <w:spacing w:line="240" w:lineRule="auto"/>
              <w:rPr>
                <w:rFonts w:ascii="Garamond" w:hAnsi="Garamond" w:cs="Arial"/>
                <w:color w:val="000000" w:themeColor="text1"/>
                <w:sz w:val="16"/>
                <w:szCs w:val="16"/>
              </w:rPr>
            </w:pPr>
          </w:p>
        </w:tc>
        <w:tc>
          <w:tcPr>
            <w:tcW w:w="1905" w:type="pct"/>
          </w:tcPr>
          <w:p w14:paraId="6D16DB07" w14:textId="2BA647FC" w:rsidR="004719D2" w:rsidRPr="004A47DC" w:rsidRDefault="002071D3" w:rsidP="002974D6">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Zhvillimi/prezantimi i aplikacioneve të TI-së për përdorimin e teknikave kompjuterike të auditimit në disa lloje auditimi (përputhshmërie, financiare dhe performance).</w:t>
            </w:r>
          </w:p>
        </w:tc>
        <w:tc>
          <w:tcPr>
            <w:tcW w:w="380" w:type="pct"/>
            <w:vAlign w:val="center"/>
          </w:tcPr>
          <w:p w14:paraId="20DD8D1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6E79597B"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65" w:type="pct"/>
            <w:vMerge/>
          </w:tcPr>
          <w:p w14:paraId="406AA624" w14:textId="77777777" w:rsidR="004719D2" w:rsidRPr="004A47DC" w:rsidRDefault="004719D2" w:rsidP="00CF7CEC">
            <w:pPr>
              <w:rPr>
                <w:rFonts w:ascii="Garamond" w:hAnsi="Garamond"/>
                <w:color w:val="000000" w:themeColor="text1"/>
                <w:sz w:val="16"/>
                <w:szCs w:val="16"/>
              </w:rPr>
            </w:pPr>
          </w:p>
        </w:tc>
      </w:tr>
      <w:tr w:rsidR="004719D2" w:rsidRPr="004A47DC" w14:paraId="37DB0DAD" w14:textId="77777777" w:rsidTr="000A1CFC">
        <w:trPr>
          <w:trHeight w:val="20"/>
        </w:trPr>
        <w:tc>
          <w:tcPr>
            <w:tcW w:w="1579" w:type="pct"/>
            <w:vMerge w:val="restart"/>
            <w:shd w:val="clear" w:color="auto" w:fill="auto"/>
          </w:tcPr>
          <w:p w14:paraId="4E777A40" w14:textId="01058924"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Masa 6.1.2 Profesionalizimi i raportimit dhe komunikimit</w:t>
            </w:r>
            <w:r w:rsidR="006D3D02">
              <w:rPr>
                <w:rFonts w:ascii="Garamond" w:hAnsi="Garamond" w:cs="Arial"/>
                <w:b/>
                <w:bCs/>
                <w:color w:val="000000" w:themeColor="text1"/>
                <w:sz w:val="16"/>
                <w:szCs w:val="16"/>
              </w:rPr>
              <w:t>,</w:t>
            </w:r>
            <w:r w:rsidRPr="004A47DC">
              <w:rPr>
                <w:rFonts w:ascii="Garamond" w:hAnsi="Garamond" w:cs="Arial"/>
                <w:b/>
                <w:bCs/>
                <w:color w:val="000000" w:themeColor="text1"/>
                <w:sz w:val="16"/>
                <w:szCs w:val="16"/>
              </w:rPr>
              <w:t xml:space="preserve"> në përputhje me strategjinë e komunikimit dhe parimet dhe standardet përkatëse</w:t>
            </w:r>
          </w:p>
        </w:tc>
        <w:tc>
          <w:tcPr>
            <w:tcW w:w="1905" w:type="pct"/>
          </w:tcPr>
          <w:p w14:paraId="5899DA51" w14:textId="1092CF5F" w:rsidR="004719D2" w:rsidRPr="004A47DC" w:rsidRDefault="002071D3" w:rsidP="002974D6">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Të përmirësojë cilësinë e raporteve të auditimit të përshtatur me kërkesat e lexuesve të tij dhe të zgjerojë përdorimin e të gjitha mjeteve të komunikimit për të promovuar vazhdimisht rolin e KLSH-së.</w:t>
            </w:r>
          </w:p>
        </w:tc>
        <w:tc>
          <w:tcPr>
            <w:tcW w:w="380" w:type="pct"/>
            <w:vAlign w:val="center"/>
          </w:tcPr>
          <w:p w14:paraId="215932F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7603EF0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665" w:type="pct"/>
            <w:vMerge w:val="restart"/>
          </w:tcPr>
          <w:p w14:paraId="0FF621E9"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 xml:space="preserve">Njësitë përgjegjëse: </w:t>
            </w:r>
          </w:p>
          <w:p w14:paraId="707FA203" w14:textId="2ED86D71" w:rsidR="004719D2" w:rsidRPr="004A47DC" w:rsidRDefault="004719D2" w:rsidP="00CF7CEC">
            <w:pPr>
              <w:rPr>
                <w:rFonts w:ascii="Garamond" w:hAnsi="Garamond"/>
                <w:color w:val="000000" w:themeColor="text1"/>
                <w:sz w:val="16"/>
                <w:szCs w:val="16"/>
              </w:rPr>
            </w:pPr>
            <w:r w:rsidRPr="004A47DC">
              <w:rPr>
                <w:rFonts w:ascii="Garamond" w:hAnsi="Garamond"/>
                <w:color w:val="000000" w:themeColor="text1"/>
                <w:sz w:val="16"/>
                <w:szCs w:val="16"/>
              </w:rPr>
              <w:t>KLSH</w:t>
            </w:r>
            <w:r w:rsidR="006D3D02">
              <w:rPr>
                <w:rFonts w:ascii="Garamond" w:hAnsi="Garamond"/>
                <w:color w:val="000000" w:themeColor="text1"/>
                <w:sz w:val="16"/>
                <w:szCs w:val="16"/>
              </w:rPr>
              <w:t>-ja</w:t>
            </w:r>
            <w:r w:rsidRPr="004A47DC">
              <w:rPr>
                <w:rFonts w:ascii="Garamond" w:hAnsi="Garamond"/>
                <w:color w:val="000000" w:themeColor="text1"/>
                <w:sz w:val="16"/>
                <w:szCs w:val="16"/>
              </w:rPr>
              <w:t xml:space="preserve"> (lider)</w:t>
            </w:r>
          </w:p>
          <w:p w14:paraId="6B773A09"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57FA494E" w14:textId="77777777" w:rsidR="004719D2" w:rsidRPr="004A47DC" w:rsidRDefault="004719D2" w:rsidP="00CF7CEC">
            <w:pPr>
              <w:pStyle w:val="EcorysBody"/>
              <w:spacing w:line="240" w:lineRule="auto"/>
              <w:rPr>
                <w:rFonts w:ascii="Garamond" w:hAnsi="Garamond"/>
                <w:color w:val="000000" w:themeColor="text1"/>
                <w:sz w:val="16"/>
                <w:szCs w:val="16"/>
              </w:rPr>
            </w:pPr>
          </w:p>
        </w:tc>
      </w:tr>
      <w:tr w:rsidR="004719D2" w:rsidRPr="004A47DC" w14:paraId="3F0B9C81" w14:textId="77777777" w:rsidTr="000A1CFC">
        <w:trPr>
          <w:trHeight w:val="20"/>
        </w:trPr>
        <w:tc>
          <w:tcPr>
            <w:tcW w:w="1579" w:type="pct"/>
            <w:vMerge/>
            <w:shd w:val="clear" w:color="auto" w:fill="auto"/>
          </w:tcPr>
          <w:p w14:paraId="69A8859B" w14:textId="77777777" w:rsidR="004719D2" w:rsidRPr="004A47DC" w:rsidRDefault="004719D2" w:rsidP="00732B6D">
            <w:pPr>
              <w:pStyle w:val="EcorysBody"/>
              <w:numPr>
                <w:ilvl w:val="0"/>
                <w:numId w:val="8"/>
              </w:numPr>
              <w:spacing w:line="240" w:lineRule="auto"/>
              <w:rPr>
                <w:rFonts w:ascii="Garamond" w:hAnsi="Garamond" w:cs="Arial"/>
                <w:color w:val="000000" w:themeColor="text1"/>
                <w:sz w:val="16"/>
                <w:szCs w:val="16"/>
              </w:rPr>
            </w:pPr>
          </w:p>
        </w:tc>
        <w:tc>
          <w:tcPr>
            <w:tcW w:w="1905" w:type="pct"/>
          </w:tcPr>
          <w:p w14:paraId="011A6A66" w14:textId="41DC1EBE" w:rsidR="004719D2" w:rsidRPr="004A47DC" w:rsidRDefault="002071D3" w:rsidP="002974D6">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Zgjerimi i monitorimit, raportimit dhe komunikimit për ndjekjen e rekomandimeve të auditimit nga të audituarit.</w:t>
            </w:r>
          </w:p>
        </w:tc>
        <w:tc>
          <w:tcPr>
            <w:tcW w:w="380" w:type="pct"/>
            <w:vAlign w:val="center"/>
          </w:tcPr>
          <w:p w14:paraId="6D706B6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2023</w:t>
            </w:r>
          </w:p>
        </w:tc>
        <w:tc>
          <w:tcPr>
            <w:tcW w:w="471" w:type="pct"/>
            <w:vAlign w:val="center"/>
          </w:tcPr>
          <w:p w14:paraId="0CD5FA1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665" w:type="pct"/>
            <w:vMerge/>
          </w:tcPr>
          <w:p w14:paraId="07E6DF27" w14:textId="77777777" w:rsidR="004719D2" w:rsidRPr="004A47DC" w:rsidRDefault="004719D2" w:rsidP="00CF7CEC">
            <w:pPr>
              <w:rPr>
                <w:rFonts w:ascii="Garamond" w:hAnsi="Garamond"/>
                <w:color w:val="000000" w:themeColor="text1"/>
                <w:sz w:val="16"/>
                <w:szCs w:val="16"/>
              </w:rPr>
            </w:pPr>
          </w:p>
        </w:tc>
      </w:tr>
    </w:tbl>
    <w:p w14:paraId="3B7FE9B0" w14:textId="77777777" w:rsidR="004719D2" w:rsidRPr="004A47DC" w:rsidRDefault="004719D2" w:rsidP="004719D2">
      <w:pPr>
        <w:rPr>
          <w:rStyle w:val="IntenseReference"/>
          <w:rFonts w:ascii="Garamond" w:hAnsi="Garamond"/>
          <w:b/>
          <w:bCs/>
          <w:i w:val="0"/>
          <w:color w:val="000000" w:themeColor="text1"/>
        </w:rPr>
      </w:pPr>
    </w:p>
    <w:p w14:paraId="3534E333" w14:textId="77777777" w:rsidR="004719D2" w:rsidRPr="004A47DC" w:rsidRDefault="004719D2" w:rsidP="004719D2">
      <w:pPr>
        <w:pStyle w:val="H5"/>
        <w:spacing w:after="0" w:line="240" w:lineRule="auto"/>
        <w:rPr>
          <w:rStyle w:val="IntenseReference"/>
          <w:rFonts w:ascii="Garamond" w:hAnsi="Garamond"/>
          <w:i w:val="0"/>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28" w:type="dxa"/>
          <w:left w:w="57" w:type="dxa"/>
          <w:bottom w:w="28" w:type="dxa"/>
          <w:right w:w="57" w:type="dxa"/>
        </w:tblCellMar>
        <w:tblLook w:val="04A0" w:firstRow="1" w:lastRow="0" w:firstColumn="1" w:lastColumn="0" w:noHBand="0" w:noVBand="1"/>
      </w:tblPr>
      <w:tblGrid>
        <w:gridCol w:w="3130"/>
        <w:gridCol w:w="1185"/>
        <w:gridCol w:w="1187"/>
        <w:gridCol w:w="1185"/>
        <w:gridCol w:w="1187"/>
        <w:gridCol w:w="1187"/>
      </w:tblGrid>
      <w:tr w:rsidR="004719D2" w:rsidRPr="004A47DC" w14:paraId="4191E2EF" w14:textId="77777777" w:rsidTr="000A1CFC">
        <w:trPr>
          <w:tblHeader/>
        </w:trPr>
        <w:tc>
          <w:tcPr>
            <w:tcW w:w="172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FCE256"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5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83C9AC"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619"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DC8973"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249AD544" w14:textId="77777777" w:rsidTr="000A1CFC">
        <w:trPr>
          <w:tblHeader/>
        </w:trPr>
        <w:tc>
          <w:tcPr>
            <w:tcW w:w="1727" w:type="pct"/>
            <w:vMerge/>
            <w:tcBorders>
              <w:top w:val="single" w:sz="4" w:space="0" w:color="auto"/>
              <w:left w:val="single" w:sz="4" w:space="0" w:color="auto"/>
              <w:bottom w:val="single" w:sz="4" w:space="0" w:color="auto"/>
              <w:right w:val="single" w:sz="4" w:space="0" w:color="auto"/>
            </w:tcBorders>
            <w:vAlign w:val="center"/>
            <w:hideMark/>
          </w:tcPr>
          <w:p w14:paraId="14BBC2B8" w14:textId="77777777" w:rsidR="004719D2" w:rsidRPr="004A47DC" w:rsidRDefault="004719D2" w:rsidP="000A1CFC">
            <w:pPr>
              <w:pStyle w:val="T-bold"/>
              <w:spacing w:line="240" w:lineRule="auto"/>
              <w:jc w:val="center"/>
              <w:rPr>
                <w:rFonts w:ascii="Garamond" w:hAnsi="Garamond"/>
                <w:color w:val="000000" w:themeColor="text1"/>
              </w:rPr>
            </w:pPr>
          </w:p>
        </w:tc>
        <w:tc>
          <w:tcPr>
            <w:tcW w:w="654" w:type="pct"/>
            <w:vMerge/>
            <w:tcBorders>
              <w:top w:val="single" w:sz="4" w:space="0" w:color="auto"/>
              <w:left w:val="single" w:sz="4" w:space="0" w:color="auto"/>
              <w:bottom w:val="single" w:sz="4" w:space="0" w:color="auto"/>
              <w:right w:val="single" w:sz="4" w:space="0" w:color="auto"/>
            </w:tcBorders>
            <w:vAlign w:val="center"/>
            <w:hideMark/>
          </w:tcPr>
          <w:p w14:paraId="0229C2CC" w14:textId="77777777" w:rsidR="004719D2" w:rsidRPr="004A47DC" w:rsidRDefault="004719D2" w:rsidP="000A1CFC">
            <w:pPr>
              <w:pStyle w:val="T-bold"/>
              <w:spacing w:line="240" w:lineRule="auto"/>
              <w:jc w:val="center"/>
              <w:rPr>
                <w:rFonts w:ascii="Garamond" w:hAnsi="Garamond"/>
                <w:color w:val="000000" w:themeColor="text1"/>
              </w:rPr>
            </w:pP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22B732"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DABDA7"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AA7AE5"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98B1D"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0FDB68C2" w14:textId="77777777" w:rsidTr="000A1CFC">
        <w:trPr>
          <w:trHeight w:val="21"/>
        </w:trPr>
        <w:tc>
          <w:tcPr>
            <w:tcW w:w="1727" w:type="pct"/>
            <w:tcBorders>
              <w:top w:val="single" w:sz="4" w:space="0" w:color="auto"/>
              <w:left w:val="single" w:sz="4" w:space="0" w:color="auto"/>
              <w:bottom w:val="single" w:sz="4" w:space="0" w:color="auto"/>
              <w:right w:val="single" w:sz="4" w:space="0" w:color="auto"/>
            </w:tcBorders>
          </w:tcPr>
          <w:p w14:paraId="62F463BF" w14:textId="644FDC1A" w:rsidR="004719D2" w:rsidRPr="004A47DC" w:rsidRDefault="00771ACE" w:rsidP="00771ACE">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Treguesi PEFA 30.1 Mbulimi dhe standardet e auditimit</w:t>
            </w:r>
          </w:p>
        </w:tc>
        <w:tc>
          <w:tcPr>
            <w:tcW w:w="654" w:type="pct"/>
            <w:tcBorders>
              <w:top w:val="single" w:sz="4" w:space="0" w:color="auto"/>
              <w:left w:val="single" w:sz="4" w:space="0" w:color="auto"/>
              <w:bottom w:val="single" w:sz="4" w:space="0" w:color="auto"/>
              <w:right w:val="single" w:sz="4" w:space="0" w:color="auto"/>
            </w:tcBorders>
            <w:vAlign w:val="center"/>
          </w:tcPr>
          <w:p w14:paraId="54A3929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B (2017)</w:t>
            </w:r>
          </w:p>
        </w:tc>
        <w:tc>
          <w:tcPr>
            <w:tcW w:w="655" w:type="pct"/>
            <w:tcBorders>
              <w:top w:val="single" w:sz="4" w:space="0" w:color="auto"/>
              <w:left w:val="single" w:sz="4" w:space="0" w:color="auto"/>
              <w:bottom w:val="single" w:sz="4" w:space="0" w:color="auto"/>
              <w:right w:val="single" w:sz="4" w:space="0" w:color="auto"/>
            </w:tcBorders>
            <w:vAlign w:val="center"/>
          </w:tcPr>
          <w:p w14:paraId="223C976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0988583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4EAD89C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A</w:t>
            </w:r>
          </w:p>
        </w:tc>
        <w:tc>
          <w:tcPr>
            <w:tcW w:w="655" w:type="pct"/>
            <w:tcBorders>
              <w:top w:val="single" w:sz="4" w:space="0" w:color="auto"/>
              <w:left w:val="single" w:sz="4" w:space="0" w:color="auto"/>
              <w:bottom w:val="single" w:sz="4" w:space="0" w:color="auto"/>
              <w:right w:val="single" w:sz="4" w:space="0" w:color="auto"/>
            </w:tcBorders>
            <w:vAlign w:val="center"/>
          </w:tcPr>
          <w:p w14:paraId="728C6A6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r>
      <w:tr w:rsidR="004719D2" w:rsidRPr="004A47DC" w14:paraId="2C66D457" w14:textId="77777777" w:rsidTr="000A1CFC">
        <w:tc>
          <w:tcPr>
            <w:tcW w:w="1727" w:type="pct"/>
            <w:tcBorders>
              <w:top w:val="single" w:sz="4" w:space="0" w:color="auto"/>
              <w:left w:val="single" w:sz="4" w:space="0" w:color="auto"/>
              <w:bottom w:val="single" w:sz="4" w:space="0" w:color="auto"/>
              <w:right w:val="single" w:sz="4" w:space="0" w:color="auto"/>
            </w:tcBorders>
          </w:tcPr>
          <w:p w14:paraId="6F4EA4E1" w14:textId="3FEB5E85" w:rsidR="004719D2" w:rsidRPr="004A47DC" w:rsidRDefault="00771ACE" w:rsidP="00771ACE">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Treguesi PEFA 30.3 Ndjekja e auditimit të jashtëm</w:t>
            </w:r>
          </w:p>
        </w:tc>
        <w:tc>
          <w:tcPr>
            <w:tcW w:w="654" w:type="pct"/>
            <w:tcBorders>
              <w:top w:val="single" w:sz="4" w:space="0" w:color="auto"/>
              <w:left w:val="single" w:sz="4" w:space="0" w:color="auto"/>
              <w:bottom w:val="single" w:sz="4" w:space="0" w:color="auto"/>
              <w:right w:val="single" w:sz="4" w:space="0" w:color="auto"/>
            </w:tcBorders>
            <w:vAlign w:val="center"/>
          </w:tcPr>
          <w:p w14:paraId="371833B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C (2017)</w:t>
            </w:r>
          </w:p>
        </w:tc>
        <w:tc>
          <w:tcPr>
            <w:tcW w:w="655" w:type="pct"/>
            <w:tcBorders>
              <w:top w:val="single" w:sz="4" w:space="0" w:color="auto"/>
              <w:left w:val="single" w:sz="4" w:space="0" w:color="auto"/>
              <w:bottom w:val="single" w:sz="4" w:space="0" w:color="auto"/>
              <w:right w:val="single" w:sz="4" w:space="0" w:color="auto"/>
            </w:tcBorders>
            <w:vAlign w:val="center"/>
          </w:tcPr>
          <w:p w14:paraId="3685B7F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42F07F6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1F54CDD1" w14:textId="77777777" w:rsidR="004719D2" w:rsidRPr="004A47DC" w:rsidRDefault="004719D2" w:rsidP="00CF7CEC">
            <w:pPr>
              <w:pStyle w:val="T-normal"/>
              <w:spacing w:line="240" w:lineRule="auto"/>
              <w:jc w:val="center"/>
              <w:rPr>
                <w:rFonts w:ascii="Garamond" w:hAnsi="Garamond"/>
                <w:color w:val="000000" w:themeColor="text1"/>
                <w:lang w:val="sq-AL"/>
              </w:rPr>
            </w:pPr>
          </w:p>
        </w:tc>
        <w:tc>
          <w:tcPr>
            <w:tcW w:w="655" w:type="pct"/>
            <w:tcBorders>
              <w:top w:val="single" w:sz="4" w:space="0" w:color="auto"/>
              <w:left w:val="single" w:sz="4" w:space="0" w:color="auto"/>
              <w:bottom w:val="single" w:sz="4" w:space="0" w:color="auto"/>
              <w:right w:val="single" w:sz="4" w:space="0" w:color="auto"/>
            </w:tcBorders>
            <w:vAlign w:val="center"/>
          </w:tcPr>
          <w:p w14:paraId="1368894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A</w:t>
            </w:r>
          </w:p>
        </w:tc>
      </w:tr>
      <w:tr w:rsidR="004719D2" w:rsidRPr="004A47DC" w14:paraId="0B772B42" w14:textId="77777777" w:rsidTr="000A1CFC">
        <w:tc>
          <w:tcPr>
            <w:tcW w:w="1727" w:type="pct"/>
            <w:tcBorders>
              <w:top w:val="single" w:sz="4" w:space="0" w:color="auto"/>
              <w:left w:val="single" w:sz="4" w:space="0" w:color="auto"/>
              <w:bottom w:val="single" w:sz="4" w:space="0" w:color="auto"/>
              <w:right w:val="single" w:sz="4" w:space="0" w:color="auto"/>
            </w:tcBorders>
          </w:tcPr>
          <w:p w14:paraId="7FECD0E3" w14:textId="12271090" w:rsidR="004719D2" w:rsidRPr="004A47DC" w:rsidRDefault="00771ACE" w:rsidP="00771ACE">
            <w:pPr>
              <w:rPr>
                <w:rFonts w:ascii="Garamond" w:hAnsi="Garamond"/>
                <w:sz w:val="16"/>
                <w:szCs w:val="16"/>
              </w:rPr>
            </w:pPr>
            <w:r w:rsidRPr="004A47DC">
              <w:rPr>
                <w:rFonts w:ascii="Garamond" w:hAnsi="Garamond"/>
                <w:sz w:val="16"/>
                <w:szCs w:val="16"/>
              </w:rPr>
              <w:t xml:space="preserve">3. </w:t>
            </w:r>
            <w:r w:rsidR="004719D2" w:rsidRPr="004A47DC">
              <w:rPr>
                <w:rFonts w:ascii="Garamond" w:hAnsi="Garamond"/>
                <w:sz w:val="16"/>
                <w:szCs w:val="16"/>
              </w:rPr>
              <w:t>SIGMA Treguesi 4.3.1.5: Efektiviteti i kontrollit të autoriteteve publike nga institucionet e pavarura mbikëqyrëse (</w:t>
            </w:r>
            <w:r w:rsidR="006D3D02">
              <w:rPr>
                <w:rFonts w:ascii="Garamond" w:hAnsi="Garamond"/>
                <w:sz w:val="16"/>
                <w:szCs w:val="16"/>
              </w:rPr>
              <w:t>z</w:t>
            </w:r>
            <w:r w:rsidR="004719D2" w:rsidRPr="004A47DC">
              <w:rPr>
                <w:rFonts w:ascii="Garamond" w:hAnsi="Garamond"/>
                <w:sz w:val="16"/>
                <w:szCs w:val="16"/>
              </w:rPr>
              <w:t>batimi i rekomandimeve të ISA)</w:t>
            </w:r>
          </w:p>
        </w:tc>
        <w:tc>
          <w:tcPr>
            <w:tcW w:w="654" w:type="pct"/>
            <w:tcBorders>
              <w:top w:val="single" w:sz="4" w:space="0" w:color="auto"/>
              <w:left w:val="single" w:sz="4" w:space="0" w:color="auto"/>
              <w:bottom w:val="single" w:sz="4" w:space="0" w:color="auto"/>
              <w:right w:val="single" w:sz="4" w:space="0" w:color="auto"/>
            </w:tcBorders>
            <w:vAlign w:val="center"/>
          </w:tcPr>
          <w:p w14:paraId="3B16990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4/8</w:t>
            </w:r>
          </w:p>
        </w:tc>
        <w:tc>
          <w:tcPr>
            <w:tcW w:w="655" w:type="pct"/>
            <w:tcBorders>
              <w:top w:val="single" w:sz="4" w:space="0" w:color="auto"/>
              <w:left w:val="single" w:sz="4" w:space="0" w:color="auto"/>
              <w:bottom w:val="single" w:sz="4" w:space="0" w:color="auto"/>
              <w:right w:val="single" w:sz="4" w:space="0" w:color="auto"/>
            </w:tcBorders>
            <w:vAlign w:val="center"/>
          </w:tcPr>
          <w:p w14:paraId="6CF8EE5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24DD63A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C45509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5/8</w:t>
            </w:r>
          </w:p>
        </w:tc>
        <w:tc>
          <w:tcPr>
            <w:tcW w:w="655" w:type="pct"/>
            <w:tcBorders>
              <w:top w:val="single" w:sz="4" w:space="0" w:color="auto"/>
              <w:left w:val="single" w:sz="4" w:space="0" w:color="auto"/>
              <w:bottom w:val="single" w:sz="4" w:space="0" w:color="auto"/>
              <w:right w:val="single" w:sz="4" w:space="0" w:color="auto"/>
            </w:tcBorders>
            <w:vAlign w:val="center"/>
          </w:tcPr>
          <w:p w14:paraId="6A3196E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7/8</w:t>
            </w:r>
          </w:p>
        </w:tc>
      </w:tr>
      <w:tr w:rsidR="004719D2" w:rsidRPr="004A47DC" w14:paraId="53E256C9" w14:textId="77777777" w:rsidTr="000A1CFC">
        <w:tc>
          <w:tcPr>
            <w:tcW w:w="1727" w:type="pct"/>
            <w:tcBorders>
              <w:top w:val="single" w:sz="4" w:space="0" w:color="auto"/>
              <w:left w:val="single" w:sz="4" w:space="0" w:color="auto"/>
              <w:bottom w:val="single" w:sz="4" w:space="0" w:color="auto"/>
              <w:right w:val="single" w:sz="4" w:space="0" w:color="auto"/>
            </w:tcBorders>
          </w:tcPr>
          <w:p w14:paraId="75C348CF" w14:textId="1927424C" w:rsidR="004719D2" w:rsidRPr="004A47DC" w:rsidRDefault="00771ACE" w:rsidP="00771ACE">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 xml:space="preserve">Përgatitet dhe zbatohet </w:t>
            </w:r>
            <w:r w:rsidR="006D3D02">
              <w:rPr>
                <w:rFonts w:ascii="Garamond" w:hAnsi="Garamond"/>
                <w:sz w:val="16"/>
                <w:szCs w:val="16"/>
              </w:rPr>
              <w:t>u</w:t>
            </w:r>
            <w:r w:rsidR="004719D2" w:rsidRPr="004A47DC">
              <w:rPr>
                <w:rFonts w:ascii="Garamond" w:hAnsi="Garamond"/>
                <w:sz w:val="16"/>
                <w:szCs w:val="16"/>
              </w:rPr>
              <w:t>dhëzimi për auditimin e institucioneve buxhetore</w:t>
            </w:r>
          </w:p>
        </w:tc>
        <w:tc>
          <w:tcPr>
            <w:tcW w:w="654" w:type="pct"/>
            <w:tcBorders>
              <w:top w:val="single" w:sz="4" w:space="0" w:color="auto"/>
              <w:left w:val="single" w:sz="4" w:space="0" w:color="auto"/>
              <w:bottom w:val="single" w:sz="4" w:space="0" w:color="auto"/>
              <w:right w:val="single" w:sz="4" w:space="0" w:color="auto"/>
            </w:tcBorders>
            <w:vAlign w:val="center"/>
          </w:tcPr>
          <w:p w14:paraId="5FCD122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93D493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1F2F8D6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Udhëzimi miratohet</w:t>
            </w:r>
          </w:p>
        </w:tc>
        <w:tc>
          <w:tcPr>
            <w:tcW w:w="655" w:type="pct"/>
            <w:tcBorders>
              <w:top w:val="single" w:sz="4" w:space="0" w:color="auto"/>
              <w:left w:val="single" w:sz="4" w:space="0" w:color="auto"/>
              <w:bottom w:val="single" w:sz="4" w:space="0" w:color="auto"/>
              <w:right w:val="single" w:sz="4" w:space="0" w:color="auto"/>
            </w:tcBorders>
            <w:vAlign w:val="center"/>
          </w:tcPr>
          <w:p w14:paraId="7E50F6B1" w14:textId="77777777" w:rsidR="004719D2" w:rsidRPr="004A47DC" w:rsidRDefault="004719D2" w:rsidP="00CF7CEC">
            <w:pPr>
              <w:pStyle w:val="T-normal"/>
              <w:spacing w:line="240" w:lineRule="auto"/>
              <w:jc w:val="center"/>
              <w:rPr>
                <w:rFonts w:ascii="Garamond" w:hAnsi="Garamond"/>
                <w:color w:val="000000" w:themeColor="text1"/>
                <w:highlight w:val="yellow"/>
                <w:lang w:val="sq-AL"/>
              </w:rPr>
            </w:pPr>
            <w:r w:rsidRPr="004A47DC">
              <w:rPr>
                <w:rFonts w:ascii="Garamond" w:hAnsi="Garamond"/>
                <w:color w:val="000000" w:themeColor="text1"/>
                <w:lang w:val="sq-AL"/>
              </w:rPr>
              <w:t>Udhëzimi zbatohet</w:t>
            </w:r>
          </w:p>
        </w:tc>
        <w:tc>
          <w:tcPr>
            <w:tcW w:w="655" w:type="pct"/>
            <w:tcBorders>
              <w:top w:val="single" w:sz="4" w:space="0" w:color="auto"/>
              <w:left w:val="single" w:sz="4" w:space="0" w:color="auto"/>
              <w:bottom w:val="single" w:sz="4" w:space="0" w:color="auto"/>
              <w:right w:val="single" w:sz="4" w:space="0" w:color="auto"/>
            </w:tcBorders>
            <w:vAlign w:val="center"/>
          </w:tcPr>
          <w:p w14:paraId="0314E6AE" w14:textId="77777777" w:rsidR="004719D2" w:rsidRPr="004A47DC" w:rsidRDefault="004719D2" w:rsidP="00CF7CEC">
            <w:pPr>
              <w:pStyle w:val="T-normal"/>
              <w:spacing w:line="240" w:lineRule="auto"/>
              <w:jc w:val="center"/>
              <w:rPr>
                <w:rFonts w:ascii="Garamond" w:hAnsi="Garamond"/>
                <w:color w:val="000000" w:themeColor="text1"/>
                <w:highlight w:val="yellow"/>
                <w:lang w:val="sq-AL"/>
              </w:rPr>
            </w:pPr>
            <w:r w:rsidRPr="004A47DC">
              <w:rPr>
                <w:rFonts w:ascii="Garamond" w:hAnsi="Garamond"/>
                <w:color w:val="000000" w:themeColor="text1"/>
                <w:lang w:val="sq-AL"/>
              </w:rPr>
              <w:t>-</w:t>
            </w:r>
          </w:p>
        </w:tc>
      </w:tr>
      <w:tr w:rsidR="004719D2" w:rsidRPr="004A47DC" w14:paraId="2748E62C" w14:textId="77777777" w:rsidTr="000A1CFC">
        <w:tc>
          <w:tcPr>
            <w:tcW w:w="1727" w:type="pct"/>
            <w:tcBorders>
              <w:top w:val="single" w:sz="4" w:space="0" w:color="auto"/>
              <w:left w:val="single" w:sz="4" w:space="0" w:color="auto"/>
              <w:bottom w:val="single" w:sz="4" w:space="0" w:color="auto"/>
              <w:right w:val="single" w:sz="4" w:space="0" w:color="auto"/>
            </w:tcBorders>
          </w:tcPr>
          <w:p w14:paraId="2D2831FE" w14:textId="7FB32B91" w:rsidR="004719D2" w:rsidRPr="004A47DC" w:rsidRDefault="00771ACE" w:rsidP="00771ACE">
            <w:pPr>
              <w:rPr>
                <w:rFonts w:ascii="Garamond" w:hAnsi="Garamond"/>
                <w:sz w:val="16"/>
                <w:szCs w:val="16"/>
              </w:rPr>
            </w:pPr>
            <w:r w:rsidRPr="004A47DC">
              <w:rPr>
                <w:rFonts w:ascii="Garamond" w:hAnsi="Garamond"/>
                <w:sz w:val="16"/>
                <w:szCs w:val="16"/>
              </w:rPr>
              <w:t xml:space="preserve">5. </w:t>
            </w:r>
            <w:r w:rsidR="004719D2" w:rsidRPr="004A47DC">
              <w:rPr>
                <w:rFonts w:ascii="Garamond" w:hAnsi="Garamond"/>
                <w:sz w:val="16"/>
                <w:szCs w:val="16"/>
              </w:rPr>
              <w:t>Mjet i auditimit me ndihmën e kompjuterit (softuer) është në përdorim</w:t>
            </w:r>
          </w:p>
        </w:tc>
        <w:tc>
          <w:tcPr>
            <w:tcW w:w="654" w:type="pct"/>
            <w:tcBorders>
              <w:top w:val="single" w:sz="4" w:space="0" w:color="auto"/>
              <w:left w:val="single" w:sz="4" w:space="0" w:color="auto"/>
              <w:bottom w:val="single" w:sz="4" w:space="0" w:color="auto"/>
              <w:right w:val="single" w:sz="4" w:space="0" w:color="auto"/>
            </w:tcBorders>
            <w:vAlign w:val="center"/>
          </w:tcPr>
          <w:p w14:paraId="7A12A70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389DA10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1236CD3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5B6BFB7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Style w:val="rynqvb"/>
                <w:rFonts w:ascii="Garamond" w:hAnsi="Garamond"/>
                <w:color w:val="000000" w:themeColor="text1"/>
                <w:lang w:val="sq-AL"/>
              </w:rPr>
              <w:t>Trajnimi i ofruar</w:t>
            </w:r>
          </w:p>
        </w:tc>
        <w:tc>
          <w:tcPr>
            <w:tcW w:w="655" w:type="pct"/>
            <w:tcBorders>
              <w:top w:val="single" w:sz="4" w:space="0" w:color="auto"/>
              <w:left w:val="single" w:sz="4" w:space="0" w:color="auto"/>
              <w:bottom w:val="single" w:sz="4" w:space="0" w:color="auto"/>
              <w:right w:val="single" w:sz="4" w:space="0" w:color="auto"/>
            </w:tcBorders>
            <w:vAlign w:val="center"/>
          </w:tcPr>
          <w:p w14:paraId="589A01E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Softueri në përdorim</w:t>
            </w:r>
          </w:p>
        </w:tc>
      </w:tr>
      <w:tr w:rsidR="004719D2" w:rsidRPr="004A47DC" w14:paraId="1AEC53BA" w14:textId="77777777" w:rsidTr="000A1CFC">
        <w:tc>
          <w:tcPr>
            <w:tcW w:w="1727" w:type="pct"/>
            <w:tcBorders>
              <w:top w:val="single" w:sz="4" w:space="0" w:color="auto"/>
              <w:left w:val="single" w:sz="4" w:space="0" w:color="auto"/>
              <w:bottom w:val="single" w:sz="4" w:space="0" w:color="auto"/>
              <w:right w:val="single" w:sz="4" w:space="0" w:color="auto"/>
            </w:tcBorders>
          </w:tcPr>
          <w:p w14:paraId="32B2F03D" w14:textId="179B4FEA" w:rsidR="004719D2" w:rsidRPr="004A47DC" w:rsidRDefault="00771ACE" w:rsidP="00771ACE">
            <w:pPr>
              <w:rPr>
                <w:rFonts w:ascii="Garamond" w:hAnsi="Garamond"/>
                <w:sz w:val="16"/>
                <w:szCs w:val="16"/>
              </w:rPr>
            </w:pPr>
            <w:r w:rsidRPr="004A47DC">
              <w:rPr>
                <w:rFonts w:ascii="Garamond" w:hAnsi="Garamond"/>
                <w:sz w:val="16"/>
                <w:szCs w:val="16"/>
              </w:rPr>
              <w:t xml:space="preserve">6. </w:t>
            </w:r>
            <w:r w:rsidR="004719D2" w:rsidRPr="004A47DC">
              <w:rPr>
                <w:rFonts w:ascii="Garamond" w:hAnsi="Garamond"/>
                <w:sz w:val="16"/>
                <w:szCs w:val="16"/>
              </w:rPr>
              <w:t>Metodologjia e auditimit të PPP-ve dhe koncesioneve e institucionalizuar</w:t>
            </w:r>
          </w:p>
        </w:tc>
        <w:tc>
          <w:tcPr>
            <w:tcW w:w="654" w:type="pct"/>
            <w:tcBorders>
              <w:top w:val="single" w:sz="4" w:space="0" w:color="auto"/>
              <w:left w:val="single" w:sz="4" w:space="0" w:color="auto"/>
              <w:bottom w:val="single" w:sz="4" w:space="0" w:color="auto"/>
              <w:right w:val="single" w:sz="4" w:space="0" w:color="auto"/>
            </w:tcBorders>
            <w:vAlign w:val="center"/>
          </w:tcPr>
          <w:p w14:paraId="15B72E3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5" w:type="pct"/>
            <w:tcBorders>
              <w:top w:val="single" w:sz="4" w:space="0" w:color="auto"/>
              <w:left w:val="single" w:sz="4" w:space="0" w:color="auto"/>
              <w:bottom w:val="single" w:sz="4" w:space="0" w:color="auto"/>
              <w:right w:val="single" w:sz="4" w:space="0" w:color="auto"/>
            </w:tcBorders>
            <w:vAlign w:val="center"/>
          </w:tcPr>
          <w:p w14:paraId="2F75274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54" w:type="pct"/>
            <w:tcBorders>
              <w:top w:val="single" w:sz="4" w:space="0" w:color="auto"/>
              <w:left w:val="single" w:sz="4" w:space="0" w:color="auto"/>
              <w:bottom w:val="single" w:sz="4" w:space="0" w:color="auto"/>
              <w:right w:val="single" w:sz="4" w:space="0" w:color="auto"/>
            </w:tcBorders>
            <w:vAlign w:val="center"/>
          </w:tcPr>
          <w:p w14:paraId="3C70E88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Metodologjia finalizohet</w:t>
            </w:r>
          </w:p>
        </w:tc>
        <w:tc>
          <w:tcPr>
            <w:tcW w:w="655" w:type="pct"/>
            <w:tcBorders>
              <w:top w:val="single" w:sz="4" w:space="0" w:color="auto"/>
              <w:left w:val="single" w:sz="4" w:space="0" w:color="auto"/>
              <w:bottom w:val="single" w:sz="4" w:space="0" w:color="auto"/>
              <w:right w:val="single" w:sz="4" w:space="0" w:color="auto"/>
            </w:tcBorders>
            <w:vAlign w:val="center"/>
          </w:tcPr>
          <w:p w14:paraId="5296123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Metodologjia zbatohet</w:t>
            </w:r>
          </w:p>
        </w:tc>
        <w:tc>
          <w:tcPr>
            <w:tcW w:w="655" w:type="pct"/>
            <w:tcBorders>
              <w:top w:val="single" w:sz="4" w:space="0" w:color="auto"/>
              <w:left w:val="single" w:sz="4" w:space="0" w:color="auto"/>
              <w:bottom w:val="single" w:sz="4" w:space="0" w:color="auto"/>
              <w:right w:val="single" w:sz="4" w:space="0" w:color="auto"/>
            </w:tcBorders>
            <w:vAlign w:val="center"/>
          </w:tcPr>
          <w:p w14:paraId="624562C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r>
    </w:tbl>
    <w:p w14:paraId="7754C6B5" w14:textId="77777777" w:rsidR="004719D2" w:rsidRPr="004A47DC" w:rsidRDefault="004719D2" w:rsidP="004719D2">
      <w:pPr>
        <w:rPr>
          <w:rStyle w:val="IntenseReference"/>
          <w:rFonts w:ascii="Garamond" w:eastAsiaTheme="majorEastAsia" w:hAnsi="Garamond" w:cstheme="majorBidi"/>
          <w:i w:val="0"/>
          <w:iCs/>
          <w:color w:val="000000" w:themeColor="text1"/>
          <w:sz w:val="22"/>
          <w:szCs w:val="22"/>
        </w:rPr>
      </w:pPr>
    </w:p>
    <w:p w14:paraId="6C2563E4" w14:textId="3724BA5F" w:rsidR="004719D2" w:rsidRPr="004A47DC" w:rsidRDefault="00652BC8" w:rsidP="00652BC8">
      <w:pPr>
        <w:ind w:firstLine="284"/>
        <w:rPr>
          <w:rFonts w:ascii="Garamond" w:hAnsi="Garamond"/>
          <w:b/>
        </w:rPr>
      </w:pPr>
      <w:bookmarkStart w:id="51" w:name="_Toc168918705"/>
      <w:r w:rsidRPr="004A47DC">
        <w:rPr>
          <w:rFonts w:ascii="Garamond" w:hAnsi="Garamond"/>
          <w:b/>
        </w:rPr>
        <w:t xml:space="preserve">7.3 </w:t>
      </w:r>
      <w:r w:rsidR="004719D2" w:rsidRPr="004A47DC">
        <w:rPr>
          <w:rFonts w:ascii="Garamond" w:hAnsi="Garamond"/>
          <w:b/>
        </w:rPr>
        <w:t>Komponenti 6.2</w:t>
      </w:r>
      <w:r w:rsidR="000A1CFC" w:rsidRPr="004A47DC">
        <w:rPr>
          <w:rFonts w:ascii="Garamond" w:hAnsi="Garamond"/>
          <w:b/>
        </w:rPr>
        <w:t>:</w:t>
      </w:r>
      <w:r w:rsidR="004719D2" w:rsidRPr="004A47DC">
        <w:rPr>
          <w:rFonts w:ascii="Garamond" w:hAnsi="Garamond"/>
          <w:b/>
        </w:rPr>
        <w:t xml:space="preserve"> Mbikëqyrja </w:t>
      </w:r>
      <w:r w:rsidR="000A1CFC" w:rsidRPr="004A47DC">
        <w:rPr>
          <w:rFonts w:ascii="Garamond" w:hAnsi="Garamond"/>
          <w:b/>
        </w:rPr>
        <w:t>p</w:t>
      </w:r>
      <w:r w:rsidR="004719D2" w:rsidRPr="004A47DC">
        <w:rPr>
          <w:rFonts w:ascii="Garamond" w:hAnsi="Garamond"/>
          <w:b/>
        </w:rPr>
        <w:t>arlamentare</w:t>
      </w:r>
      <w:bookmarkEnd w:id="51"/>
    </w:p>
    <w:p w14:paraId="594F9DE5" w14:textId="77777777" w:rsidR="004719D2" w:rsidRPr="004A47DC" w:rsidRDefault="004719D2" w:rsidP="00652BC8">
      <w:pPr>
        <w:ind w:firstLine="284"/>
        <w:rPr>
          <w:rFonts w:ascii="Garamond" w:hAnsi="Garamond"/>
          <w:b/>
        </w:rPr>
      </w:pPr>
      <w:r w:rsidRPr="004A47DC">
        <w:rPr>
          <w:rFonts w:ascii="Garamond" w:hAnsi="Garamond"/>
          <w:b/>
        </w:rPr>
        <w:t>Objektivi</w:t>
      </w:r>
    </w:p>
    <w:p w14:paraId="5E693D52" w14:textId="13701CA6" w:rsidR="004719D2" w:rsidRPr="004A47DC" w:rsidRDefault="004719D2" w:rsidP="00105FDB">
      <w:pPr>
        <w:ind w:firstLine="284"/>
        <w:jc w:val="both"/>
        <w:rPr>
          <w:rFonts w:ascii="Garamond" w:hAnsi="Garamond"/>
        </w:rPr>
      </w:pPr>
      <w:r w:rsidRPr="004A47DC">
        <w:rPr>
          <w:rFonts w:ascii="Garamond" w:hAnsi="Garamond"/>
        </w:rPr>
        <w:t>Synimi për vitin 2030 është të sigurohet që mjedisi mundësues dhe struktura mbështetëse për Komisionin për Ekonominë dhe Financat të jetë e profesionalizuar</w:t>
      </w:r>
      <w:r w:rsidR="00105FDB">
        <w:rPr>
          <w:rFonts w:ascii="Garamond" w:hAnsi="Garamond"/>
        </w:rPr>
        <w:t>,</w:t>
      </w:r>
      <w:r w:rsidRPr="004A47DC">
        <w:rPr>
          <w:rFonts w:ascii="Garamond" w:hAnsi="Garamond"/>
        </w:rPr>
        <w:t xml:space="preserve"> duke ndjekur praktikat e mira të BE/OECD, të cilat i lejojnë parlamentit të zbatojë më mirë mandatin e tij të kontrollit dhe mbikëqyrjes.</w:t>
      </w:r>
    </w:p>
    <w:p w14:paraId="05EB999A" w14:textId="77777777" w:rsidR="004719D2" w:rsidRPr="004A47DC" w:rsidRDefault="004719D2" w:rsidP="00771ACE">
      <w:pPr>
        <w:pStyle w:val="TEKSTIII"/>
        <w:rPr>
          <w:rStyle w:val="Strong"/>
          <w:rFonts w:ascii="Garamond" w:hAnsi="Garamond"/>
          <w:color w:val="000000" w:themeColor="text1"/>
          <w:sz w:val="24"/>
        </w:rPr>
      </w:pPr>
      <w:r w:rsidRPr="004A47DC">
        <w:rPr>
          <w:rStyle w:val="Strong"/>
          <w:rFonts w:ascii="Garamond" w:hAnsi="Garamond"/>
          <w:color w:val="000000" w:themeColor="text1"/>
          <w:sz w:val="24"/>
        </w:rPr>
        <w:t>Konteksti</w:t>
      </w:r>
    </w:p>
    <w:p w14:paraId="3A7058E6" w14:textId="7C7FCC6C" w:rsidR="004719D2" w:rsidRPr="004A47DC" w:rsidRDefault="004719D2" w:rsidP="00771ACE">
      <w:pPr>
        <w:pStyle w:val="TEKSTIII"/>
      </w:pPr>
      <w:r w:rsidRPr="004A47DC">
        <w:rPr>
          <w:rStyle w:val="rynqvb"/>
          <w:color w:val="000000" w:themeColor="text1"/>
        </w:rPr>
        <w:t>Mandati i Parlamentit në sistemin e qeverisjes është i përcaktuar qartë dhe fushat e përgjegjësisë së Komisionit për Ekonominë dhe Financat në sistemin e MFP-së përfshijnë: politikat ekonomike, buxhetin e shtetit dhe mbikëqyrjen e zbatimit të tij, privatizimet dhe sistemin bankar</w:t>
      </w:r>
      <w:r w:rsidRPr="004A47DC">
        <w:rPr>
          <w:rStyle w:val="FootnoteReference"/>
          <w:rFonts w:ascii="Garamond" w:hAnsi="Garamond"/>
          <w:color w:val="000000" w:themeColor="text1"/>
          <w:sz w:val="24"/>
          <w:szCs w:val="24"/>
        </w:rPr>
        <w:footnoteReference w:id="79"/>
      </w:r>
      <w:r w:rsidRPr="004A47DC">
        <w:rPr>
          <w:rStyle w:val="rynqvb"/>
          <w:color w:val="000000" w:themeColor="text1"/>
        </w:rPr>
        <w:t>.</w:t>
      </w:r>
      <w:r w:rsidRPr="004A47DC">
        <w:rPr>
          <w:rStyle w:val="hwtze"/>
          <w:color w:val="000000" w:themeColor="text1"/>
        </w:rPr>
        <w:t xml:space="preserve"> </w:t>
      </w:r>
      <w:r w:rsidRPr="004A47DC">
        <w:rPr>
          <w:rStyle w:val="rynqvb"/>
          <w:color w:val="000000" w:themeColor="text1"/>
        </w:rPr>
        <w:t>Vlerësimet e fundit të PEFA</w:t>
      </w:r>
      <w:r w:rsidR="00105FDB">
        <w:rPr>
          <w:rStyle w:val="rynqvb"/>
          <w:color w:val="000000" w:themeColor="text1"/>
        </w:rPr>
        <w:t>-s</w:t>
      </w:r>
      <w:r w:rsidRPr="004A47DC">
        <w:rPr>
          <w:rStyle w:val="rynqvb"/>
          <w:color w:val="000000" w:themeColor="text1"/>
        </w:rPr>
        <w:t xml:space="preserve"> dhe SIGMA</w:t>
      </w:r>
      <w:r w:rsidR="00105FDB">
        <w:rPr>
          <w:rStyle w:val="rynqvb"/>
          <w:color w:val="000000" w:themeColor="text1"/>
        </w:rPr>
        <w:t>-s</w:t>
      </w:r>
      <w:r w:rsidRPr="004A47DC">
        <w:rPr>
          <w:rStyle w:val="rynqvb"/>
          <w:color w:val="000000" w:themeColor="text1"/>
        </w:rPr>
        <w:t xml:space="preserve"> arrijnë në përfundimin se Parlamenti – përfshirë Komisionin për Ekonominë dhe Financat – tregojnë një performancë relativisht solide, por gjithashtu identifikojnë hapësirë për përmirësim</w:t>
      </w:r>
      <w:r w:rsidRPr="004A47DC">
        <w:rPr>
          <w:rStyle w:val="FootnoteReference"/>
          <w:rFonts w:ascii="Garamond" w:hAnsi="Garamond"/>
          <w:color w:val="000000" w:themeColor="text1"/>
          <w:sz w:val="24"/>
          <w:szCs w:val="24"/>
        </w:rPr>
        <w:footnoteReference w:id="80"/>
      </w:r>
      <w:r w:rsidRPr="004A47DC">
        <w:rPr>
          <w:rStyle w:val="rynqvb"/>
          <w:color w:val="000000" w:themeColor="text1"/>
        </w:rPr>
        <w:t>.</w:t>
      </w:r>
      <w:r w:rsidRPr="004A47DC">
        <w:rPr>
          <w:rStyle w:val="hwtze"/>
          <w:color w:val="000000" w:themeColor="text1"/>
        </w:rPr>
        <w:t xml:space="preserve"> </w:t>
      </w:r>
      <w:r w:rsidRPr="004A47DC">
        <w:rPr>
          <w:rStyle w:val="rynqvb"/>
          <w:color w:val="000000" w:themeColor="text1"/>
        </w:rPr>
        <w:t>Si vazhdim i këtyre vlerësimeve, janë dhënë disa rekomandime, duke përfshirë krijimin e nënkomisioneve.</w:t>
      </w:r>
      <w:r w:rsidRPr="004A47DC">
        <w:rPr>
          <w:rStyle w:val="hwtze"/>
          <w:color w:val="000000" w:themeColor="text1"/>
        </w:rPr>
        <w:t xml:space="preserve"> </w:t>
      </w:r>
      <w:r w:rsidRPr="004A47DC">
        <w:rPr>
          <w:rStyle w:val="rynqvb"/>
          <w:color w:val="000000" w:themeColor="text1"/>
        </w:rPr>
        <w:t>Zhvillimet ndërkombëtare sugjerojnë se angazhimi më i fortë i Parlamentit përgjatë ciklit buxhetor (politika dhe qëndrueshmëria fiskale, shqyrtimi i buxhetit dhe propozimet buxhetore suplementare, shqyrtimi i ekzekutimit të buxhetit, raportet financiare dhe të auditimit</w:t>
      </w:r>
      <w:r w:rsidR="00105FDB">
        <w:rPr>
          <w:rStyle w:val="rynqvb"/>
          <w:color w:val="000000" w:themeColor="text1"/>
        </w:rPr>
        <w:t>,</w:t>
      </w:r>
      <w:r w:rsidRPr="004A47DC">
        <w:rPr>
          <w:rStyle w:val="rynqvb"/>
          <w:color w:val="000000" w:themeColor="text1"/>
        </w:rPr>
        <w:t xml:space="preserve"> si dhe mbikëqyrja e institucioneve financiare) kontribuojnë në përmirësimin e MFP-së</w:t>
      </w:r>
      <w:r w:rsidRPr="004A47DC">
        <w:rPr>
          <w:rStyle w:val="FootnoteReference"/>
          <w:rFonts w:ascii="Garamond" w:hAnsi="Garamond"/>
          <w:color w:val="000000" w:themeColor="text1"/>
          <w:sz w:val="24"/>
          <w:szCs w:val="24"/>
        </w:rPr>
        <w:footnoteReference w:id="81"/>
      </w:r>
      <w:r w:rsidRPr="004A47DC">
        <w:rPr>
          <w:rStyle w:val="rynqvb"/>
          <w:color w:val="000000" w:themeColor="text1"/>
        </w:rPr>
        <w:t>.</w:t>
      </w:r>
      <w:r w:rsidRPr="004A47DC">
        <w:rPr>
          <w:rStyle w:val="hwtze"/>
          <w:color w:val="000000" w:themeColor="text1"/>
        </w:rPr>
        <w:t xml:space="preserve"> </w:t>
      </w:r>
      <w:r w:rsidRPr="004A47DC">
        <w:rPr>
          <w:rStyle w:val="rynqvb"/>
          <w:color w:val="000000" w:themeColor="text1"/>
        </w:rPr>
        <w:t>Në këtë kontekst, Komisioni Parlamentar për Ekonominë dhe Financat ka shprehur interesim të madh për të zhvilluar më tej rolin e tij në sistemin e përgjithshëm të qeverisjes së mirë dhe MFP</w:t>
      </w:r>
      <w:r w:rsidR="00105FDB">
        <w:rPr>
          <w:rStyle w:val="rynqvb"/>
          <w:color w:val="000000" w:themeColor="text1"/>
        </w:rPr>
        <w:t>-së</w:t>
      </w:r>
      <w:r w:rsidRPr="004A47DC">
        <w:t>.</w:t>
      </w:r>
    </w:p>
    <w:p w14:paraId="7DEF68CE" w14:textId="77777777" w:rsidR="004719D2" w:rsidRPr="004A47DC" w:rsidRDefault="004719D2" w:rsidP="00771ACE">
      <w:pPr>
        <w:pStyle w:val="TEKSTIII"/>
        <w:rPr>
          <w:rStyle w:val="Strong"/>
          <w:rFonts w:ascii="Garamond" w:hAnsi="Garamond"/>
          <w:color w:val="000000" w:themeColor="text1"/>
          <w:sz w:val="24"/>
        </w:rPr>
      </w:pPr>
      <w:r w:rsidRPr="004A47DC">
        <w:rPr>
          <w:rStyle w:val="Strong"/>
          <w:rFonts w:ascii="Garamond" w:hAnsi="Garamond"/>
          <w:color w:val="000000" w:themeColor="text1"/>
          <w:sz w:val="24"/>
        </w:rPr>
        <w:t>Prioritetet</w:t>
      </w:r>
    </w:p>
    <w:p w14:paraId="6494B02E" w14:textId="052CBBEF" w:rsidR="004719D2" w:rsidRPr="004A47DC" w:rsidRDefault="004719D2" w:rsidP="00771ACE">
      <w:pPr>
        <w:pStyle w:val="TEKSTIII"/>
      </w:pPr>
      <w:r w:rsidRPr="004A47DC">
        <w:t xml:space="preserve">Prioriteti për </w:t>
      </w:r>
      <w:r w:rsidR="00DB1D7E" w:rsidRPr="004A47DC">
        <w:t>2023–2026</w:t>
      </w:r>
      <w:r w:rsidRPr="004A47DC">
        <w:t xml:space="preserve"> është:</w:t>
      </w:r>
    </w:p>
    <w:p w14:paraId="3737C388" w14:textId="71706596" w:rsidR="004719D2" w:rsidRPr="004A47DC" w:rsidRDefault="00CE0017" w:rsidP="00771ACE">
      <w:pPr>
        <w:pStyle w:val="TEKSTIII"/>
      </w:pPr>
      <w:r w:rsidRPr="004A47DC">
        <w:t xml:space="preserve">- </w:t>
      </w:r>
      <w:r w:rsidR="004719D2" w:rsidRPr="004A47DC">
        <w:t>Profesionalizimi i strukturave mbështetëse të Komisionit për Ekonominë dhe Financat duke përgatitur dhe nisur zbatimin e një plani zhvillimi.</w:t>
      </w:r>
    </w:p>
    <w:p w14:paraId="715504AE" w14:textId="77777777" w:rsidR="004719D2" w:rsidRPr="004A47DC" w:rsidRDefault="004719D2" w:rsidP="004719D2">
      <w:pPr>
        <w:rPr>
          <w:rFonts w:ascii="Garamond" w:hAnsi="Garamond"/>
          <w:color w:val="000000" w:themeColor="text1"/>
        </w:rPr>
      </w:pPr>
    </w:p>
    <w:p w14:paraId="65A183F7" w14:textId="77777777" w:rsidR="004719D2" w:rsidRPr="004A47DC" w:rsidRDefault="004719D2" w:rsidP="004719D2">
      <w:pPr>
        <w:pStyle w:val="H5"/>
        <w:spacing w:after="0" w:line="240" w:lineRule="auto"/>
        <w:rPr>
          <w:rStyle w:val="Strong"/>
          <w:rFonts w:ascii="Garamond" w:hAnsi="Garamond"/>
          <w:b/>
          <w:color w:val="000000" w:themeColor="text1"/>
          <w:sz w:val="24"/>
        </w:rPr>
      </w:pPr>
      <w:r w:rsidRPr="004A47DC">
        <w:rPr>
          <w:rStyle w:val="rynqvb"/>
          <w:rFonts w:ascii="Garamond" w:hAnsi="Garamond"/>
          <w:color w:val="000000" w:themeColor="text1"/>
          <w:sz w:val="24"/>
        </w:rPr>
        <w:t>Masat dhe aktivitetet</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782"/>
        <w:gridCol w:w="3039"/>
        <w:gridCol w:w="690"/>
        <w:gridCol w:w="854"/>
        <w:gridCol w:w="1696"/>
      </w:tblGrid>
      <w:tr w:rsidR="004719D2" w:rsidRPr="004A47DC" w14:paraId="0832483A" w14:textId="77777777" w:rsidTr="000A1CFC">
        <w:trPr>
          <w:trHeight w:val="182"/>
          <w:tblHeader/>
        </w:trPr>
        <w:tc>
          <w:tcPr>
            <w:tcW w:w="1535" w:type="pct"/>
            <w:shd w:val="clear" w:color="auto" w:fill="D9D9D9" w:themeFill="background1" w:themeFillShade="D9"/>
            <w:vAlign w:val="center"/>
          </w:tcPr>
          <w:p w14:paraId="00508535"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Masa</w:t>
            </w:r>
          </w:p>
        </w:tc>
        <w:tc>
          <w:tcPr>
            <w:tcW w:w="1677" w:type="pct"/>
            <w:shd w:val="clear" w:color="auto" w:fill="D9D9D9" w:themeFill="background1" w:themeFillShade="D9"/>
            <w:vAlign w:val="center"/>
          </w:tcPr>
          <w:p w14:paraId="2C12FA01"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Aktiviteti</w:t>
            </w:r>
          </w:p>
        </w:tc>
        <w:tc>
          <w:tcPr>
            <w:tcW w:w="381" w:type="pct"/>
            <w:shd w:val="clear" w:color="auto" w:fill="D9D9D9" w:themeFill="background1" w:themeFillShade="D9"/>
            <w:vAlign w:val="center"/>
          </w:tcPr>
          <w:p w14:paraId="6F0DB13C"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Fillimi</w:t>
            </w:r>
          </w:p>
        </w:tc>
        <w:tc>
          <w:tcPr>
            <w:tcW w:w="471" w:type="pct"/>
            <w:shd w:val="clear" w:color="auto" w:fill="D9D9D9" w:themeFill="background1" w:themeFillShade="D9"/>
            <w:vAlign w:val="center"/>
          </w:tcPr>
          <w:p w14:paraId="7B552DD9"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Mbarimi</w:t>
            </w:r>
          </w:p>
        </w:tc>
        <w:tc>
          <w:tcPr>
            <w:tcW w:w="936" w:type="pct"/>
            <w:shd w:val="clear" w:color="auto" w:fill="D9D9D9" w:themeFill="background1" w:themeFillShade="D9"/>
            <w:vAlign w:val="center"/>
          </w:tcPr>
          <w:p w14:paraId="0DCCE322" w14:textId="77777777" w:rsidR="004719D2" w:rsidRPr="004A47DC" w:rsidRDefault="004719D2" w:rsidP="000A1CFC">
            <w:pPr>
              <w:pStyle w:val="T-bold"/>
              <w:spacing w:line="240" w:lineRule="auto"/>
              <w:jc w:val="center"/>
              <w:rPr>
                <w:rFonts w:ascii="Garamond" w:hAnsi="Garamond"/>
                <w:color w:val="000000" w:themeColor="text1"/>
              </w:rPr>
            </w:pPr>
            <w:r w:rsidRPr="004A47DC">
              <w:rPr>
                <w:rStyle w:val="rynqvb"/>
                <w:rFonts w:ascii="Garamond" w:hAnsi="Garamond"/>
                <w:color w:val="000000" w:themeColor="text1"/>
              </w:rPr>
              <w:t>Grupet e interesit</w:t>
            </w:r>
          </w:p>
        </w:tc>
      </w:tr>
      <w:tr w:rsidR="004719D2" w:rsidRPr="004A47DC" w14:paraId="5D532680" w14:textId="77777777" w:rsidTr="000A1CFC">
        <w:trPr>
          <w:trHeight w:val="20"/>
        </w:trPr>
        <w:tc>
          <w:tcPr>
            <w:tcW w:w="1535" w:type="pct"/>
            <w:vMerge w:val="restart"/>
            <w:shd w:val="clear" w:color="auto" w:fill="auto"/>
          </w:tcPr>
          <w:p w14:paraId="0C098761"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 xml:space="preserve">Masa 6.2.1 Profesionalizimi i mëtejshëm i strukturave mbështetëse të Komisionit Parlamentar për Ekonominë dhe Financat </w:t>
            </w:r>
          </w:p>
        </w:tc>
        <w:tc>
          <w:tcPr>
            <w:tcW w:w="1677" w:type="pct"/>
            <w:vAlign w:val="center"/>
          </w:tcPr>
          <w:p w14:paraId="649B5174" w14:textId="4DD248E3" w:rsidR="004719D2" w:rsidRPr="004A47DC" w:rsidRDefault="00213756" w:rsidP="00CE0017">
            <w:pPr>
              <w:rPr>
                <w:rFonts w:ascii="Garamond" w:hAnsi="Garamond"/>
                <w:sz w:val="16"/>
                <w:szCs w:val="16"/>
              </w:rPr>
            </w:pPr>
            <w:r w:rsidRPr="004A47DC">
              <w:rPr>
                <w:rFonts w:ascii="Garamond" w:hAnsi="Garamond"/>
                <w:sz w:val="16"/>
                <w:szCs w:val="16"/>
              </w:rPr>
              <w:t xml:space="preserve">1. </w:t>
            </w:r>
            <w:r w:rsidR="004719D2" w:rsidRPr="004A47DC">
              <w:rPr>
                <w:rFonts w:ascii="Garamond" w:hAnsi="Garamond"/>
                <w:sz w:val="16"/>
                <w:szCs w:val="16"/>
              </w:rPr>
              <w:t>Ndërmarrja e një rishikimi institucional të Komisionit Parlamentar për Ekonominë dhe Financat</w:t>
            </w:r>
            <w:r w:rsidR="00105FDB">
              <w:rPr>
                <w:rFonts w:ascii="Garamond" w:hAnsi="Garamond"/>
                <w:sz w:val="16"/>
                <w:szCs w:val="16"/>
              </w:rPr>
              <w:t>,</w:t>
            </w:r>
            <w:r w:rsidR="004719D2" w:rsidRPr="004A47DC">
              <w:rPr>
                <w:rFonts w:ascii="Garamond" w:hAnsi="Garamond"/>
                <w:sz w:val="16"/>
                <w:szCs w:val="16"/>
              </w:rPr>
              <w:t xml:space="preserve"> dhe strukturën e tij mbështetëse bazuar në praktikat e mira të BE/OECD.</w:t>
            </w:r>
          </w:p>
        </w:tc>
        <w:tc>
          <w:tcPr>
            <w:tcW w:w="381" w:type="pct"/>
            <w:vAlign w:val="center"/>
          </w:tcPr>
          <w:p w14:paraId="3590B857"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0BFCBC5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936" w:type="pct"/>
            <w:vMerge w:val="restart"/>
          </w:tcPr>
          <w:p w14:paraId="79D25488" w14:textId="77777777" w:rsidR="004719D2" w:rsidRPr="004A47DC" w:rsidRDefault="004719D2" w:rsidP="00CF7CEC">
            <w:pPr>
              <w:rPr>
                <w:rFonts w:ascii="Garamond" w:hAnsi="Garamond"/>
                <w:b/>
                <w:bCs/>
                <w:color w:val="000000" w:themeColor="text1"/>
                <w:sz w:val="16"/>
                <w:szCs w:val="16"/>
              </w:rPr>
            </w:pPr>
            <w:r w:rsidRPr="004A47DC">
              <w:rPr>
                <w:rFonts w:ascii="Garamond" w:hAnsi="Garamond"/>
                <w:b/>
                <w:bCs/>
                <w:color w:val="000000" w:themeColor="text1"/>
                <w:sz w:val="16"/>
                <w:szCs w:val="16"/>
              </w:rPr>
              <w:t>Njësitë përgjegjëse:</w:t>
            </w:r>
          </w:p>
          <w:p w14:paraId="1501DA13"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Komisioni Parlamentar për Ekonominë dhe Financat</w:t>
            </w:r>
          </w:p>
          <w:p w14:paraId="0317B757" w14:textId="77777777" w:rsidR="004719D2" w:rsidRPr="004A47DC" w:rsidRDefault="004719D2" w:rsidP="00CF7CEC">
            <w:pPr>
              <w:pStyle w:val="EcorysBody"/>
              <w:spacing w:line="240" w:lineRule="auto"/>
              <w:rPr>
                <w:rFonts w:ascii="Garamond" w:hAnsi="Garamond" w:cs="Arial"/>
                <w:b/>
                <w:bCs/>
                <w:color w:val="000000" w:themeColor="text1"/>
                <w:sz w:val="16"/>
                <w:szCs w:val="16"/>
              </w:rPr>
            </w:pPr>
          </w:p>
          <w:p w14:paraId="3FE12D11" w14:textId="77777777" w:rsidR="004719D2" w:rsidRPr="004A47DC" w:rsidRDefault="004719D2" w:rsidP="00CF7CEC">
            <w:pPr>
              <w:pStyle w:val="EcorysBody"/>
              <w:spacing w:line="240" w:lineRule="auto"/>
              <w:rPr>
                <w:rFonts w:ascii="Garamond" w:hAnsi="Garamond" w:cs="Arial"/>
                <w:b/>
                <w:bCs/>
                <w:color w:val="000000" w:themeColor="text1"/>
                <w:sz w:val="16"/>
                <w:szCs w:val="16"/>
              </w:rPr>
            </w:pPr>
            <w:r w:rsidRPr="004A47DC">
              <w:rPr>
                <w:rFonts w:ascii="Garamond" w:hAnsi="Garamond" w:cs="Arial"/>
                <w:b/>
                <w:bCs/>
                <w:color w:val="000000" w:themeColor="text1"/>
                <w:sz w:val="16"/>
                <w:szCs w:val="16"/>
              </w:rPr>
              <w:t>Partnerët:</w:t>
            </w:r>
          </w:p>
          <w:p w14:paraId="3C8AC251" w14:textId="77777777" w:rsidR="004719D2" w:rsidRPr="004A47DC" w:rsidRDefault="004719D2" w:rsidP="00CF7CEC">
            <w:pPr>
              <w:pStyle w:val="EcorysBody"/>
              <w:spacing w:line="240" w:lineRule="auto"/>
              <w:rPr>
                <w:rFonts w:ascii="Garamond" w:hAnsi="Garamond" w:cs="Arial"/>
                <w:color w:val="000000" w:themeColor="text1"/>
                <w:sz w:val="16"/>
                <w:szCs w:val="16"/>
              </w:rPr>
            </w:pPr>
            <w:r w:rsidRPr="004A47DC">
              <w:rPr>
                <w:rFonts w:ascii="Garamond" w:hAnsi="Garamond" w:cs="Arial"/>
                <w:color w:val="000000" w:themeColor="text1"/>
                <w:sz w:val="16"/>
                <w:szCs w:val="16"/>
              </w:rPr>
              <w:t xml:space="preserve">Instituti Kombëtar Demokratik, Fondacioni </w:t>
            </w:r>
            <w:r w:rsidRPr="00105FDB">
              <w:rPr>
                <w:rFonts w:ascii="Garamond" w:hAnsi="Garamond" w:cs="Arial"/>
                <w:i/>
                <w:color w:val="000000" w:themeColor="text1"/>
                <w:sz w:val="16"/>
                <w:szCs w:val="16"/>
              </w:rPr>
              <w:t>Westminster</w:t>
            </w:r>
            <w:r w:rsidRPr="004A47DC">
              <w:rPr>
                <w:rFonts w:ascii="Garamond" w:hAnsi="Garamond" w:cs="Arial"/>
                <w:color w:val="000000" w:themeColor="text1"/>
                <w:sz w:val="16"/>
                <w:szCs w:val="16"/>
              </w:rPr>
              <w:t>, DBE.</w:t>
            </w:r>
          </w:p>
          <w:p w14:paraId="324D5F70" w14:textId="77777777" w:rsidR="004719D2" w:rsidRPr="004A47DC" w:rsidRDefault="004719D2" w:rsidP="00CF7CEC">
            <w:pPr>
              <w:pStyle w:val="EcorysBody"/>
              <w:spacing w:line="240" w:lineRule="auto"/>
              <w:rPr>
                <w:rFonts w:ascii="Garamond" w:hAnsi="Garamond" w:cs="Arial"/>
                <w:color w:val="000000" w:themeColor="text1"/>
                <w:sz w:val="16"/>
                <w:szCs w:val="16"/>
              </w:rPr>
            </w:pPr>
          </w:p>
        </w:tc>
      </w:tr>
      <w:tr w:rsidR="004719D2" w:rsidRPr="004A47DC" w14:paraId="2AA02470" w14:textId="77777777" w:rsidTr="000A1CFC">
        <w:trPr>
          <w:trHeight w:val="20"/>
        </w:trPr>
        <w:tc>
          <w:tcPr>
            <w:tcW w:w="1535" w:type="pct"/>
            <w:vMerge/>
            <w:shd w:val="clear" w:color="auto" w:fill="auto"/>
          </w:tcPr>
          <w:p w14:paraId="59F8DC08" w14:textId="77777777" w:rsidR="004719D2" w:rsidRPr="004A47DC" w:rsidRDefault="004719D2" w:rsidP="00732B6D">
            <w:pPr>
              <w:pStyle w:val="EcorysBody"/>
              <w:numPr>
                <w:ilvl w:val="0"/>
                <w:numId w:val="9"/>
              </w:numPr>
              <w:spacing w:line="240" w:lineRule="auto"/>
              <w:rPr>
                <w:rFonts w:ascii="Garamond" w:hAnsi="Garamond" w:cs="Arial"/>
                <w:color w:val="000000" w:themeColor="text1"/>
                <w:sz w:val="16"/>
                <w:szCs w:val="16"/>
              </w:rPr>
            </w:pPr>
          </w:p>
        </w:tc>
        <w:tc>
          <w:tcPr>
            <w:tcW w:w="1677" w:type="pct"/>
            <w:vAlign w:val="center"/>
          </w:tcPr>
          <w:p w14:paraId="3B1E0F73" w14:textId="17431DD6" w:rsidR="004719D2" w:rsidRPr="004A47DC" w:rsidRDefault="00213756" w:rsidP="00CE0017">
            <w:pPr>
              <w:rPr>
                <w:rFonts w:ascii="Garamond" w:hAnsi="Garamond"/>
                <w:sz w:val="16"/>
                <w:szCs w:val="16"/>
              </w:rPr>
            </w:pPr>
            <w:r w:rsidRPr="004A47DC">
              <w:rPr>
                <w:rFonts w:ascii="Garamond" w:hAnsi="Garamond"/>
                <w:sz w:val="16"/>
                <w:szCs w:val="16"/>
              </w:rPr>
              <w:t xml:space="preserve">2. </w:t>
            </w:r>
            <w:r w:rsidR="004719D2" w:rsidRPr="004A47DC">
              <w:rPr>
                <w:rFonts w:ascii="Garamond" w:hAnsi="Garamond"/>
                <w:sz w:val="16"/>
                <w:szCs w:val="16"/>
              </w:rPr>
              <w:t>Forcimi i mëtejshëm i bashkëpunimit dhe shkëmbimeve me kolegët ndërkombëtarë me parlamentet</w:t>
            </w:r>
            <w:r w:rsidR="00105FDB">
              <w:rPr>
                <w:rFonts w:ascii="Garamond" w:hAnsi="Garamond"/>
                <w:sz w:val="16"/>
                <w:szCs w:val="16"/>
              </w:rPr>
              <w:t>,</w:t>
            </w:r>
            <w:r w:rsidR="004719D2" w:rsidRPr="004A47DC">
              <w:rPr>
                <w:rFonts w:ascii="Garamond" w:hAnsi="Garamond"/>
                <w:sz w:val="16"/>
                <w:szCs w:val="16"/>
              </w:rPr>
              <w:t xml:space="preserve"> dhe Komisionet e tyre të Llogarive Publike në BE dhe rajon.</w:t>
            </w:r>
          </w:p>
        </w:tc>
        <w:tc>
          <w:tcPr>
            <w:tcW w:w="381" w:type="pct"/>
            <w:vAlign w:val="center"/>
          </w:tcPr>
          <w:p w14:paraId="0B4381E0"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2023</w:t>
            </w:r>
          </w:p>
        </w:tc>
        <w:tc>
          <w:tcPr>
            <w:tcW w:w="471" w:type="pct"/>
            <w:vAlign w:val="center"/>
          </w:tcPr>
          <w:p w14:paraId="37DA32B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2024</w:t>
            </w:r>
          </w:p>
        </w:tc>
        <w:tc>
          <w:tcPr>
            <w:tcW w:w="936" w:type="pct"/>
            <w:vMerge/>
          </w:tcPr>
          <w:p w14:paraId="48D83CC5" w14:textId="77777777" w:rsidR="004719D2" w:rsidRPr="004A47DC" w:rsidRDefault="004719D2" w:rsidP="00CF7CEC">
            <w:pPr>
              <w:rPr>
                <w:rFonts w:ascii="Garamond" w:hAnsi="Garamond"/>
                <w:color w:val="000000" w:themeColor="text1"/>
                <w:sz w:val="16"/>
                <w:szCs w:val="16"/>
              </w:rPr>
            </w:pPr>
          </w:p>
        </w:tc>
      </w:tr>
      <w:tr w:rsidR="004719D2" w:rsidRPr="004A47DC" w14:paraId="2F39F70A" w14:textId="77777777" w:rsidTr="000A1CFC">
        <w:trPr>
          <w:trHeight w:val="20"/>
        </w:trPr>
        <w:tc>
          <w:tcPr>
            <w:tcW w:w="1535" w:type="pct"/>
            <w:vMerge/>
            <w:shd w:val="clear" w:color="auto" w:fill="auto"/>
          </w:tcPr>
          <w:p w14:paraId="5CA2B27B" w14:textId="77777777" w:rsidR="004719D2" w:rsidRPr="004A47DC" w:rsidRDefault="004719D2" w:rsidP="00732B6D">
            <w:pPr>
              <w:pStyle w:val="EcorysBody"/>
              <w:numPr>
                <w:ilvl w:val="0"/>
                <w:numId w:val="9"/>
              </w:numPr>
              <w:spacing w:line="240" w:lineRule="auto"/>
              <w:rPr>
                <w:rFonts w:ascii="Garamond" w:hAnsi="Garamond" w:cs="Arial"/>
                <w:color w:val="000000" w:themeColor="text1"/>
                <w:sz w:val="16"/>
                <w:szCs w:val="16"/>
              </w:rPr>
            </w:pPr>
          </w:p>
        </w:tc>
        <w:tc>
          <w:tcPr>
            <w:tcW w:w="1677" w:type="pct"/>
            <w:vAlign w:val="center"/>
          </w:tcPr>
          <w:p w14:paraId="68A5F1B2" w14:textId="21936800" w:rsidR="004719D2" w:rsidRPr="00105FDB" w:rsidRDefault="00213756" w:rsidP="00CE0017">
            <w:pPr>
              <w:rPr>
                <w:rFonts w:ascii="Garamond" w:hAnsi="Garamond"/>
                <w:sz w:val="16"/>
                <w:szCs w:val="16"/>
                <w:vertAlign w:val="superscript"/>
              </w:rPr>
            </w:pPr>
            <w:r w:rsidRPr="004A47DC">
              <w:rPr>
                <w:rFonts w:ascii="Garamond" w:hAnsi="Garamond"/>
                <w:sz w:val="16"/>
                <w:szCs w:val="16"/>
              </w:rPr>
              <w:t xml:space="preserve">3. </w:t>
            </w:r>
            <w:r w:rsidR="004719D2" w:rsidRPr="004A47DC">
              <w:rPr>
                <w:rFonts w:ascii="Garamond" w:hAnsi="Garamond"/>
                <w:sz w:val="16"/>
                <w:szCs w:val="16"/>
              </w:rPr>
              <w:t>Përgatitja dhe miratimi i një plani zhvillimi për Komisionin Parlamentar për Ekonominë dhe Financat dhe strukturën e tij mbështetëse</w:t>
            </w:r>
            <w:r w:rsidR="004719D2" w:rsidRPr="00105FDB">
              <w:rPr>
                <w:rFonts w:ascii="Garamond" w:hAnsi="Garamond"/>
                <w:sz w:val="16"/>
                <w:szCs w:val="16"/>
                <w:vertAlign w:val="superscript"/>
              </w:rPr>
              <w:footnoteReference w:id="82"/>
            </w:r>
            <w:r w:rsidR="00105FDB">
              <w:rPr>
                <w:rFonts w:ascii="Garamond" w:hAnsi="Garamond"/>
                <w:sz w:val="16"/>
                <w:szCs w:val="16"/>
              </w:rPr>
              <w:t>.</w:t>
            </w:r>
          </w:p>
        </w:tc>
        <w:tc>
          <w:tcPr>
            <w:tcW w:w="381" w:type="pct"/>
            <w:vAlign w:val="center"/>
          </w:tcPr>
          <w:p w14:paraId="413631C6"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2024</w:t>
            </w:r>
          </w:p>
        </w:tc>
        <w:tc>
          <w:tcPr>
            <w:tcW w:w="471" w:type="pct"/>
            <w:vAlign w:val="center"/>
          </w:tcPr>
          <w:p w14:paraId="57205949"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2025</w:t>
            </w:r>
          </w:p>
        </w:tc>
        <w:tc>
          <w:tcPr>
            <w:tcW w:w="936" w:type="pct"/>
            <w:vMerge/>
          </w:tcPr>
          <w:p w14:paraId="0F0E35FD" w14:textId="77777777" w:rsidR="004719D2" w:rsidRPr="004A47DC" w:rsidRDefault="004719D2" w:rsidP="00CF7CEC">
            <w:pPr>
              <w:rPr>
                <w:rFonts w:ascii="Garamond" w:hAnsi="Garamond"/>
                <w:color w:val="000000" w:themeColor="text1"/>
                <w:sz w:val="16"/>
                <w:szCs w:val="16"/>
              </w:rPr>
            </w:pPr>
          </w:p>
        </w:tc>
      </w:tr>
      <w:tr w:rsidR="004719D2" w:rsidRPr="004A47DC" w14:paraId="684422BA" w14:textId="77777777" w:rsidTr="000A1CFC">
        <w:trPr>
          <w:trHeight w:val="20"/>
        </w:trPr>
        <w:tc>
          <w:tcPr>
            <w:tcW w:w="1535" w:type="pct"/>
            <w:vMerge/>
            <w:shd w:val="clear" w:color="auto" w:fill="auto"/>
          </w:tcPr>
          <w:p w14:paraId="5DC70316" w14:textId="77777777" w:rsidR="004719D2" w:rsidRPr="004A47DC" w:rsidRDefault="004719D2" w:rsidP="00732B6D">
            <w:pPr>
              <w:pStyle w:val="EcorysBody"/>
              <w:numPr>
                <w:ilvl w:val="0"/>
                <w:numId w:val="9"/>
              </w:numPr>
              <w:spacing w:line="240" w:lineRule="auto"/>
              <w:rPr>
                <w:rFonts w:ascii="Garamond" w:hAnsi="Garamond" w:cs="Arial"/>
                <w:color w:val="000000" w:themeColor="text1"/>
                <w:sz w:val="16"/>
                <w:szCs w:val="16"/>
              </w:rPr>
            </w:pPr>
          </w:p>
        </w:tc>
        <w:tc>
          <w:tcPr>
            <w:tcW w:w="1677" w:type="pct"/>
            <w:vAlign w:val="center"/>
          </w:tcPr>
          <w:p w14:paraId="36CE55A2" w14:textId="3986E450" w:rsidR="004719D2" w:rsidRPr="004A47DC" w:rsidRDefault="00213756" w:rsidP="00CE0017">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Zbatimi dhe monitorimi i planit të zhvillimit.</w:t>
            </w:r>
          </w:p>
        </w:tc>
        <w:tc>
          <w:tcPr>
            <w:tcW w:w="381" w:type="pct"/>
            <w:vAlign w:val="center"/>
          </w:tcPr>
          <w:p w14:paraId="24B7FE3F"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T3 2025</w:t>
            </w:r>
          </w:p>
        </w:tc>
        <w:tc>
          <w:tcPr>
            <w:tcW w:w="471" w:type="pct"/>
            <w:vAlign w:val="center"/>
          </w:tcPr>
          <w:p w14:paraId="41A17AEC"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T4 2026</w:t>
            </w:r>
          </w:p>
        </w:tc>
        <w:tc>
          <w:tcPr>
            <w:tcW w:w="936" w:type="pct"/>
            <w:vMerge/>
          </w:tcPr>
          <w:p w14:paraId="6AF586E0" w14:textId="77777777" w:rsidR="004719D2" w:rsidRPr="004A47DC" w:rsidRDefault="004719D2" w:rsidP="00CF7CEC">
            <w:pPr>
              <w:rPr>
                <w:rFonts w:ascii="Garamond" w:hAnsi="Garamond"/>
                <w:color w:val="000000" w:themeColor="text1"/>
                <w:sz w:val="16"/>
                <w:szCs w:val="16"/>
              </w:rPr>
            </w:pPr>
          </w:p>
        </w:tc>
      </w:tr>
      <w:tr w:rsidR="004719D2" w:rsidRPr="004A47DC" w14:paraId="3CA1080C" w14:textId="77777777" w:rsidTr="000A1CFC">
        <w:trPr>
          <w:trHeight w:val="20"/>
        </w:trPr>
        <w:tc>
          <w:tcPr>
            <w:tcW w:w="1535" w:type="pct"/>
            <w:vMerge/>
            <w:shd w:val="clear" w:color="auto" w:fill="auto"/>
          </w:tcPr>
          <w:p w14:paraId="18F53461" w14:textId="77777777" w:rsidR="004719D2" w:rsidRPr="004A47DC" w:rsidRDefault="004719D2" w:rsidP="00732B6D">
            <w:pPr>
              <w:pStyle w:val="EcorysBody"/>
              <w:numPr>
                <w:ilvl w:val="0"/>
                <w:numId w:val="9"/>
              </w:numPr>
              <w:spacing w:line="240" w:lineRule="auto"/>
              <w:rPr>
                <w:rFonts w:ascii="Garamond" w:hAnsi="Garamond" w:cs="Arial"/>
                <w:color w:val="000000" w:themeColor="text1"/>
                <w:sz w:val="16"/>
                <w:szCs w:val="16"/>
              </w:rPr>
            </w:pPr>
          </w:p>
        </w:tc>
        <w:tc>
          <w:tcPr>
            <w:tcW w:w="1677" w:type="pct"/>
            <w:vAlign w:val="center"/>
          </w:tcPr>
          <w:p w14:paraId="11E73BEB" w14:textId="50754392" w:rsidR="004719D2" w:rsidRPr="004A47DC" w:rsidRDefault="00213756" w:rsidP="00CE0017">
            <w:pPr>
              <w:rPr>
                <w:rFonts w:ascii="Garamond" w:hAnsi="Garamond"/>
                <w:sz w:val="16"/>
                <w:szCs w:val="16"/>
              </w:rPr>
            </w:pPr>
            <w:r w:rsidRPr="004A47DC">
              <w:rPr>
                <w:rFonts w:ascii="Garamond" w:hAnsi="Garamond"/>
                <w:sz w:val="16"/>
                <w:szCs w:val="16"/>
              </w:rPr>
              <w:t xml:space="preserve">5. </w:t>
            </w:r>
            <w:r w:rsidR="004719D2" w:rsidRPr="004A47DC">
              <w:rPr>
                <w:rFonts w:ascii="Garamond" w:hAnsi="Garamond"/>
                <w:sz w:val="16"/>
                <w:szCs w:val="16"/>
              </w:rPr>
              <w:t>Krijimi i një nënkomisioni të posaçëm parlamentar për auditimin e sektorit publik.</w:t>
            </w:r>
          </w:p>
        </w:tc>
        <w:tc>
          <w:tcPr>
            <w:tcW w:w="381" w:type="pct"/>
            <w:vAlign w:val="center"/>
          </w:tcPr>
          <w:p w14:paraId="6EF24F34"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T1 2024</w:t>
            </w:r>
          </w:p>
        </w:tc>
        <w:tc>
          <w:tcPr>
            <w:tcW w:w="471" w:type="pct"/>
            <w:vAlign w:val="center"/>
          </w:tcPr>
          <w:p w14:paraId="60D57DDE" w14:textId="77777777" w:rsidR="004719D2" w:rsidRPr="004A47DC" w:rsidRDefault="004719D2" w:rsidP="00CF7CEC">
            <w:pPr>
              <w:jc w:val="center"/>
              <w:rPr>
                <w:rFonts w:ascii="Garamond" w:hAnsi="Garamond"/>
                <w:color w:val="000000" w:themeColor="text1"/>
                <w:sz w:val="16"/>
                <w:szCs w:val="16"/>
              </w:rPr>
            </w:pPr>
            <w:r w:rsidRPr="004A47DC">
              <w:rPr>
                <w:rFonts w:ascii="Garamond" w:hAnsi="Garamond"/>
                <w:color w:val="000000" w:themeColor="text1"/>
                <w:sz w:val="16"/>
                <w:szCs w:val="16"/>
              </w:rPr>
              <w:t>T2 2024</w:t>
            </w:r>
          </w:p>
        </w:tc>
        <w:tc>
          <w:tcPr>
            <w:tcW w:w="936" w:type="pct"/>
            <w:vMerge/>
          </w:tcPr>
          <w:p w14:paraId="794A90C7" w14:textId="77777777" w:rsidR="004719D2" w:rsidRPr="004A47DC" w:rsidRDefault="004719D2" w:rsidP="00CF7CEC">
            <w:pPr>
              <w:rPr>
                <w:rFonts w:ascii="Garamond" w:hAnsi="Garamond"/>
                <w:color w:val="000000" w:themeColor="text1"/>
                <w:sz w:val="16"/>
                <w:szCs w:val="16"/>
              </w:rPr>
            </w:pPr>
          </w:p>
        </w:tc>
      </w:tr>
    </w:tbl>
    <w:p w14:paraId="08BE819D" w14:textId="77777777" w:rsidR="004719D2" w:rsidRPr="004A47DC" w:rsidRDefault="004719D2" w:rsidP="004719D2">
      <w:pPr>
        <w:pStyle w:val="H5"/>
        <w:spacing w:after="0" w:line="240" w:lineRule="auto"/>
        <w:rPr>
          <w:rStyle w:val="Strong"/>
          <w:rFonts w:ascii="Garamond" w:hAnsi="Garamond"/>
          <w:b/>
          <w:bCs w:val="0"/>
          <w:color w:val="000000" w:themeColor="text1"/>
          <w:sz w:val="24"/>
        </w:rPr>
      </w:pPr>
    </w:p>
    <w:p w14:paraId="0F7F21EE" w14:textId="77777777" w:rsidR="004719D2" w:rsidRPr="004A47DC" w:rsidRDefault="004719D2" w:rsidP="004719D2">
      <w:pPr>
        <w:pStyle w:val="H5"/>
        <w:spacing w:after="0" w:line="240" w:lineRule="auto"/>
        <w:rPr>
          <w:rFonts w:ascii="Garamond" w:hAnsi="Garamond"/>
          <w:color w:val="000000" w:themeColor="text1"/>
          <w:sz w:val="24"/>
        </w:rPr>
      </w:pPr>
      <w:r w:rsidRPr="004A47DC">
        <w:rPr>
          <w:rFonts w:ascii="Garamond" w:hAnsi="Garamond"/>
          <w:color w:val="000000" w:themeColor="text1"/>
          <w:sz w:val="24"/>
        </w:rPr>
        <w:t>Treguesit e performancës dhe vlerat e synuara</w:t>
      </w:r>
    </w:p>
    <w:tbl>
      <w:tblPr>
        <w:tblStyle w:val="TableGrid"/>
        <w:tblW w:w="5000" w:type="pct"/>
        <w:tblCellMar>
          <w:top w:w="57" w:type="dxa"/>
          <w:left w:w="28" w:type="dxa"/>
          <w:bottom w:w="57" w:type="dxa"/>
          <w:right w:w="28" w:type="dxa"/>
        </w:tblCellMar>
        <w:tblLook w:val="04A0" w:firstRow="1" w:lastRow="0" w:firstColumn="1" w:lastColumn="0" w:noHBand="0" w:noVBand="1"/>
      </w:tblPr>
      <w:tblGrid>
        <w:gridCol w:w="3559"/>
        <w:gridCol w:w="1140"/>
        <w:gridCol w:w="1089"/>
        <w:gridCol w:w="1091"/>
        <w:gridCol w:w="1089"/>
        <w:gridCol w:w="1093"/>
      </w:tblGrid>
      <w:tr w:rsidR="004719D2" w:rsidRPr="004A47DC" w14:paraId="7CC125EF" w14:textId="77777777" w:rsidTr="000A1CFC">
        <w:trPr>
          <w:trHeight w:val="274"/>
        </w:trPr>
        <w:tc>
          <w:tcPr>
            <w:tcW w:w="1964" w:type="pct"/>
            <w:vMerge w:val="restart"/>
            <w:shd w:val="clear" w:color="auto" w:fill="D9D9D9" w:themeFill="background1" w:themeFillShade="D9"/>
          </w:tcPr>
          <w:p w14:paraId="1B455C4A"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Treguesi</w:t>
            </w:r>
          </w:p>
        </w:tc>
        <w:tc>
          <w:tcPr>
            <w:tcW w:w="629" w:type="pct"/>
            <w:vMerge w:val="restart"/>
            <w:shd w:val="clear" w:color="auto" w:fill="D9D9D9" w:themeFill="background1" w:themeFillShade="D9"/>
          </w:tcPr>
          <w:p w14:paraId="4EF23888"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Vlera bazë (viti)</w:t>
            </w:r>
          </w:p>
        </w:tc>
        <w:tc>
          <w:tcPr>
            <w:tcW w:w="2407" w:type="pct"/>
            <w:gridSpan w:val="4"/>
            <w:shd w:val="clear" w:color="auto" w:fill="D9D9D9" w:themeFill="background1" w:themeFillShade="D9"/>
            <w:vAlign w:val="center"/>
          </w:tcPr>
          <w:p w14:paraId="3D6F9558"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Vlera e synuar</w:t>
            </w:r>
          </w:p>
        </w:tc>
      </w:tr>
      <w:tr w:rsidR="004719D2" w:rsidRPr="004A47DC" w14:paraId="79E9EC4A" w14:textId="77777777" w:rsidTr="000A1CFC">
        <w:trPr>
          <w:trHeight w:val="274"/>
        </w:trPr>
        <w:tc>
          <w:tcPr>
            <w:tcW w:w="1964" w:type="pct"/>
            <w:vMerge/>
            <w:shd w:val="clear" w:color="auto" w:fill="D9D9D9" w:themeFill="background1" w:themeFillShade="D9"/>
          </w:tcPr>
          <w:p w14:paraId="18D94148" w14:textId="77777777" w:rsidR="004719D2" w:rsidRPr="004A47DC" w:rsidRDefault="004719D2" w:rsidP="000A1CFC">
            <w:pPr>
              <w:pStyle w:val="T-bold"/>
              <w:spacing w:line="240" w:lineRule="auto"/>
              <w:jc w:val="center"/>
              <w:rPr>
                <w:rFonts w:ascii="Garamond" w:hAnsi="Garamond"/>
                <w:color w:val="000000" w:themeColor="text1"/>
              </w:rPr>
            </w:pPr>
          </w:p>
        </w:tc>
        <w:tc>
          <w:tcPr>
            <w:tcW w:w="629" w:type="pct"/>
            <w:vMerge/>
            <w:shd w:val="clear" w:color="auto" w:fill="D9D9D9" w:themeFill="background1" w:themeFillShade="D9"/>
          </w:tcPr>
          <w:p w14:paraId="61AA1995" w14:textId="77777777" w:rsidR="004719D2" w:rsidRPr="004A47DC" w:rsidRDefault="004719D2" w:rsidP="000A1CFC">
            <w:pPr>
              <w:pStyle w:val="T-bold"/>
              <w:spacing w:line="240" w:lineRule="auto"/>
              <w:jc w:val="center"/>
              <w:rPr>
                <w:rFonts w:ascii="Garamond" w:hAnsi="Garamond"/>
                <w:color w:val="000000" w:themeColor="text1"/>
              </w:rPr>
            </w:pPr>
          </w:p>
        </w:tc>
        <w:tc>
          <w:tcPr>
            <w:tcW w:w="601" w:type="pct"/>
            <w:shd w:val="clear" w:color="auto" w:fill="D9D9D9" w:themeFill="background1" w:themeFillShade="D9"/>
            <w:vAlign w:val="center"/>
          </w:tcPr>
          <w:p w14:paraId="55A44C55"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2023</w:t>
            </w:r>
          </w:p>
        </w:tc>
        <w:tc>
          <w:tcPr>
            <w:tcW w:w="602" w:type="pct"/>
            <w:shd w:val="clear" w:color="auto" w:fill="D9D9D9" w:themeFill="background1" w:themeFillShade="D9"/>
            <w:vAlign w:val="center"/>
          </w:tcPr>
          <w:p w14:paraId="1B11459A"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2024</w:t>
            </w:r>
          </w:p>
        </w:tc>
        <w:tc>
          <w:tcPr>
            <w:tcW w:w="601" w:type="pct"/>
            <w:shd w:val="clear" w:color="auto" w:fill="D9D9D9" w:themeFill="background1" w:themeFillShade="D9"/>
            <w:vAlign w:val="center"/>
          </w:tcPr>
          <w:p w14:paraId="00A7EDEE"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2025</w:t>
            </w:r>
          </w:p>
        </w:tc>
        <w:tc>
          <w:tcPr>
            <w:tcW w:w="602" w:type="pct"/>
            <w:shd w:val="clear" w:color="auto" w:fill="D9D9D9" w:themeFill="background1" w:themeFillShade="D9"/>
            <w:vAlign w:val="center"/>
          </w:tcPr>
          <w:p w14:paraId="455F73CA" w14:textId="77777777" w:rsidR="004719D2" w:rsidRPr="004A47DC" w:rsidRDefault="004719D2" w:rsidP="000A1CFC">
            <w:pPr>
              <w:pStyle w:val="T-bold"/>
              <w:spacing w:line="240" w:lineRule="auto"/>
              <w:jc w:val="center"/>
              <w:rPr>
                <w:rFonts w:ascii="Garamond" w:hAnsi="Garamond"/>
                <w:color w:val="000000" w:themeColor="text1"/>
              </w:rPr>
            </w:pPr>
            <w:r w:rsidRPr="004A47DC">
              <w:rPr>
                <w:rFonts w:ascii="Garamond" w:hAnsi="Garamond"/>
                <w:color w:val="000000" w:themeColor="text1"/>
              </w:rPr>
              <w:t>2026</w:t>
            </w:r>
          </w:p>
        </w:tc>
      </w:tr>
      <w:tr w:rsidR="004719D2" w:rsidRPr="004A47DC" w14:paraId="76F8B521" w14:textId="77777777" w:rsidTr="000A1CFC">
        <w:tc>
          <w:tcPr>
            <w:tcW w:w="1964" w:type="pct"/>
          </w:tcPr>
          <w:p w14:paraId="1E1ACB5F" w14:textId="1288EEB6" w:rsidR="004719D2" w:rsidRPr="004A47DC" w:rsidRDefault="0092382F" w:rsidP="000243CC">
            <w:pPr>
              <w:rPr>
                <w:rFonts w:ascii="Garamond" w:hAnsi="Garamond"/>
                <w:sz w:val="16"/>
                <w:szCs w:val="16"/>
              </w:rPr>
            </w:pPr>
            <w:r w:rsidRPr="004A47DC">
              <w:rPr>
                <w:rFonts w:ascii="Garamond" w:hAnsi="Garamond"/>
                <w:sz w:val="16"/>
                <w:szCs w:val="16"/>
              </w:rPr>
              <w:t xml:space="preserve">4. </w:t>
            </w:r>
            <w:r w:rsidR="004719D2" w:rsidRPr="004A47DC">
              <w:rPr>
                <w:rFonts w:ascii="Garamond" w:hAnsi="Garamond"/>
                <w:sz w:val="16"/>
                <w:szCs w:val="16"/>
              </w:rPr>
              <w:t>Treguesi PEFA-31 Shqyrtimi legjislativ i raporteve të auditimit.</w:t>
            </w:r>
            <w:r w:rsidR="004719D2" w:rsidRPr="004A47DC">
              <w:rPr>
                <w:rFonts w:ascii="Garamond" w:hAnsi="Garamond"/>
                <w:sz w:val="16"/>
                <w:szCs w:val="16"/>
                <w:vertAlign w:val="superscript"/>
              </w:rPr>
              <w:footnoteReference w:id="83"/>
            </w:r>
          </w:p>
        </w:tc>
        <w:tc>
          <w:tcPr>
            <w:tcW w:w="629" w:type="pct"/>
            <w:vAlign w:val="center"/>
          </w:tcPr>
          <w:p w14:paraId="04F8B1F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B</w:t>
            </w:r>
          </w:p>
          <w:p w14:paraId="53D0EC6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(2017)</w:t>
            </w:r>
          </w:p>
        </w:tc>
        <w:tc>
          <w:tcPr>
            <w:tcW w:w="601" w:type="pct"/>
            <w:vAlign w:val="center"/>
          </w:tcPr>
          <w:p w14:paraId="110A462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2" w:type="pct"/>
            <w:vAlign w:val="center"/>
          </w:tcPr>
          <w:p w14:paraId="5231D6A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1" w:type="pct"/>
            <w:vAlign w:val="center"/>
          </w:tcPr>
          <w:p w14:paraId="5D049D0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2" w:type="pct"/>
            <w:vAlign w:val="center"/>
          </w:tcPr>
          <w:p w14:paraId="1508357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&gt; B</w:t>
            </w:r>
          </w:p>
        </w:tc>
      </w:tr>
      <w:tr w:rsidR="004719D2" w:rsidRPr="004A47DC" w14:paraId="1BAD5A8A" w14:textId="77777777" w:rsidTr="000A1CFC">
        <w:tc>
          <w:tcPr>
            <w:tcW w:w="1964" w:type="pct"/>
          </w:tcPr>
          <w:p w14:paraId="3E49A016" w14:textId="586912E2" w:rsidR="004719D2" w:rsidRPr="004A47DC" w:rsidRDefault="0092382F" w:rsidP="000243CC">
            <w:pPr>
              <w:rPr>
                <w:rFonts w:ascii="Garamond" w:hAnsi="Garamond"/>
                <w:sz w:val="16"/>
                <w:szCs w:val="16"/>
              </w:rPr>
            </w:pPr>
            <w:r w:rsidRPr="004A47DC">
              <w:rPr>
                <w:rFonts w:ascii="Garamond" w:hAnsi="Garamond"/>
                <w:sz w:val="16"/>
                <w:szCs w:val="16"/>
              </w:rPr>
              <w:t xml:space="preserve">5. </w:t>
            </w:r>
            <w:r w:rsidR="004719D2" w:rsidRPr="004A47DC">
              <w:rPr>
                <w:rFonts w:ascii="Garamond" w:hAnsi="Garamond"/>
                <w:sz w:val="16"/>
                <w:szCs w:val="16"/>
              </w:rPr>
              <w:t>Plani zhvillimor i përgatitur dhe zbatuar.</w:t>
            </w:r>
          </w:p>
        </w:tc>
        <w:tc>
          <w:tcPr>
            <w:tcW w:w="629" w:type="pct"/>
            <w:vAlign w:val="center"/>
          </w:tcPr>
          <w:p w14:paraId="298F317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1" w:type="pct"/>
            <w:vAlign w:val="center"/>
          </w:tcPr>
          <w:p w14:paraId="7568F13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2" w:type="pct"/>
            <w:vAlign w:val="center"/>
          </w:tcPr>
          <w:p w14:paraId="55FB1FD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w:t>
            </w:r>
          </w:p>
        </w:tc>
        <w:tc>
          <w:tcPr>
            <w:tcW w:w="601" w:type="pct"/>
            <w:vAlign w:val="center"/>
          </w:tcPr>
          <w:p w14:paraId="1E01C9A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Miratuar</w:t>
            </w:r>
          </w:p>
        </w:tc>
        <w:tc>
          <w:tcPr>
            <w:tcW w:w="602" w:type="pct"/>
            <w:vAlign w:val="center"/>
          </w:tcPr>
          <w:p w14:paraId="45A3101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Zbatuar</w:t>
            </w:r>
          </w:p>
        </w:tc>
      </w:tr>
    </w:tbl>
    <w:p w14:paraId="6477103C" w14:textId="77777777" w:rsidR="004719D2" w:rsidRPr="004A47DC" w:rsidRDefault="004719D2" w:rsidP="004719D2">
      <w:pPr>
        <w:rPr>
          <w:rFonts w:ascii="Garamond" w:hAnsi="Garamond"/>
          <w:color w:val="000000" w:themeColor="text1"/>
        </w:rPr>
      </w:pPr>
    </w:p>
    <w:p w14:paraId="38FC6486" w14:textId="19956C19" w:rsidR="004719D2" w:rsidRPr="004A47DC" w:rsidRDefault="000F3E51" w:rsidP="000F3E51">
      <w:pPr>
        <w:pStyle w:val="TEKSTIII"/>
        <w:rPr>
          <w:b/>
        </w:rPr>
      </w:pPr>
      <w:r w:rsidRPr="004A47DC">
        <w:rPr>
          <w:b/>
        </w:rPr>
        <w:t xml:space="preserve">8. </w:t>
      </w:r>
      <w:bookmarkStart w:id="52" w:name="_Toc168918706"/>
      <w:r w:rsidR="004719D2" w:rsidRPr="004A47DC">
        <w:rPr>
          <w:b/>
        </w:rPr>
        <w:t>Kuadri institucional për monitorimin dhe raportimin</w:t>
      </w:r>
      <w:bookmarkEnd w:id="52"/>
    </w:p>
    <w:p w14:paraId="0810C983" w14:textId="532980C2" w:rsidR="004719D2" w:rsidRPr="004A47DC" w:rsidRDefault="004719D2" w:rsidP="000F3E51">
      <w:pPr>
        <w:pStyle w:val="TEKSTIII"/>
        <w:rPr>
          <w:color w:val="000000" w:themeColor="text1"/>
        </w:rPr>
      </w:pPr>
      <w:r w:rsidRPr="004A47DC">
        <w:rPr>
          <w:color w:val="000000" w:themeColor="text1"/>
        </w:rPr>
        <w:t>Kuadri institucional për menaxhimin e reformave të MFP-së brenda MF-së përbëhet nga një komitet drejtues, një komitet teknik dhe drejtoria për reformën e MFP</w:t>
      </w:r>
      <w:r w:rsidR="00105FDB" w:rsidRPr="004A47DC">
        <w:rPr>
          <w:color w:val="000000" w:themeColor="text1"/>
        </w:rPr>
        <w:t>-së</w:t>
      </w:r>
      <w:r w:rsidRPr="004A47DC">
        <w:rPr>
          <w:color w:val="000000" w:themeColor="text1"/>
        </w:rPr>
        <w:t xml:space="preserve">. Komiteti Drejtues i MFP-së është pjesë e GMIP 1 </w:t>
      </w:r>
      <w:r w:rsidR="00E33A13" w:rsidRPr="004A47DC">
        <w:rPr>
          <w:color w:val="000000" w:themeColor="text1"/>
        </w:rPr>
        <w:t>“</w:t>
      </w:r>
      <w:r w:rsidRPr="004A47DC">
        <w:rPr>
          <w:color w:val="000000" w:themeColor="text1"/>
        </w:rPr>
        <w:t xml:space="preserve">Demokracia, </w:t>
      </w:r>
      <w:r w:rsidR="00105FDB" w:rsidRPr="004A47DC">
        <w:rPr>
          <w:color w:val="000000" w:themeColor="text1"/>
        </w:rPr>
        <w:t xml:space="preserve">sundimi i ligjit dhe qeverisja </w:t>
      </w:r>
      <w:r w:rsidRPr="004A47DC">
        <w:rPr>
          <w:color w:val="000000" w:themeColor="text1"/>
        </w:rPr>
        <w:t xml:space="preserve">e </w:t>
      </w:r>
      <w:r w:rsidR="00105FDB">
        <w:rPr>
          <w:color w:val="000000" w:themeColor="text1"/>
        </w:rPr>
        <w:t>m</w:t>
      </w:r>
      <w:r w:rsidRPr="004A47DC">
        <w:rPr>
          <w:color w:val="000000" w:themeColor="text1"/>
        </w:rPr>
        <w:t>irë</w:t>
      </w:r>
      <w:r w:rsidR="00E33A13" w:rsidRPr="004A47DC">
        <w:rPr>
          <w:color w:val="000000" w:themeColor="text1"/>
        </w:rPr>
        <w:t>”</w:t>
      </w:r>
      <w:r w:rsidRPr="004A47DC">
        <w:rPr>
          <w:color w:val="000000" w:themeColor="text1"/>
        </w:rPr>
        <w:t xml:space="preserve">. </w:t>
      </w:r>
    </w:p>
    <w:p w14:paraId="724CD7DD" w14:textId="2118151C" w:rsidR="004719D2" w:rsidRPr="004A47DC" w:rsidRDefault="004719D2" w:rsidP="000F3E51">
      <w:pPr>
        <w:pStyle w:val="TEKSTIII"/>
        <w:rPr>
          <w:b/>
          <w:bCs/>
          <w:color w:val="000000" w:themeColor="text1"/>
        </w:rPr>
      </w:pPr>
      <w:r w:rsidRPr="004A47DC">
        <w:rPr>
          <w:b/>
          <w:bCs/>
          <w:color w:val="000000" w:themeColor="text1"/>
        </w:rPr>
        <w:t xml:space="preserve">Komiteti </w:t>
      </w:r>
      <w:r w:rsidR="00105FDB">
        <w:rPr>
          <w:b/>
          <w:bCs/>
          <w:color w:val="000000" w:themeColor="text1"/>
        </w:rPr>
        <w:t>d</w:t>
      </w:r>
      <w:r w:rsidRPr="004A47DC">
        <w:rPr>
          <w:b/>
          <w:bCs/>
          <w:color w:val="000000" w:themeColor="text1"/>
        </w:rPr>
        <w:t>rejtues i MFP-së</w:t>
      </w:r>
    </w:p>
    <w:p w14:paraId="09022C01" w14:textId="28676158" w:rsidR="004719D2" w:rsidRPr="004A47DC" w:rsidRDefault="004719D2" w:rsidP="000F3E51">
      <w:pPr>
        <w:pStyle w:val="TEKSTIII"/>
        <w:rPr>
          <w:color w:val="000000" w:themeColor="text1"/>
        </w:rPr>
      </w:pPr>
      <w:r w:rsidRPr="004A47DC">
        <w:rPr>
          <w:color w:val="000000" w:themeColor="text1"/>
        </w:rPr>
        <w:t xml:space="preserve">Komiteti </w:t>
      </w:r>
      <w:r w:rsidR="00105FDB">
        <w:rPr>
          <w:color w:val="000000" w:themeColor="text1"/>
        </w:rPr>
        <w:t>d</w:t>
      </w:r>
      <w:r w:rsidRPr="004A47DC">
        <w:rPr>
          <w:color w:val="000000" w:themeColor="text1"/>
        </w:rPr>
        <w:t>rejtues i Reformës së MFP-së (KD)</w:t>
      </w:r>
      <w:r w:rsidRPr="004A47DC">
        <w:rPr>
          <w:color w:val="000000" w:themeColor="text1"/>
          <w:vertAlign w:val="superscript"/>
        </w:rPr>
        <w:footnoteReference w:id="84"/>
      </w:r>
      <w:r w:rsidRPr="004A47DC">
        <w:rPr>
          <w:color w:val="000000" w:themeColor="text1"/>
        </w:rPr>
        <w:t xml:space="preserve"> do të vazhdojë të jetë organi mbikëqyrës përgjegjës për drejtimin dhe monitorimin e aktiviteteve të reformës së MFP-së, duke përfshirë angazhimin e </w:t>
      </w:r>
      <w:r w:rsidR="00105FDB" w:rsidRPr="004A47DC">
        <w:rPr>
          <w:color w:val="000000" w:themeColor="text1"/>
        </w:rPr>
        <w:t>partnerëve për zhvillim dhe shoqërinë civile</w:t>
      </w:r>
      <w:r w:rsidRPr="004A47DC">
        <w:rPr>
          <w:color w:val="000000" w:themeColor="text1"/>
        </w:rPr>
        <w:t xml:space="preserve">. KD-ja kryesohet nga </w:t>
      </w:r>
      <w:r w:rsidR="00105FDB">
        <w:rPr>
          <w:color w:val="000000" w:themeColor="text1"/>
        </w:rPr>
        <w:t>m</w:t>
      </w:r>
      <w:r w:rsidRPr="004A47DC">
        <w:rPr>
          <w:color w:val="000000" w:themeColor="text1"/>
        </w:rPr>
        <w:t>inistri i Financave dhe anëtarët e tij janë si më poshtë:</w:t>
      </w:r>
    </w:p>
    <w:p w14:paraId="335ED970" w14:textId="75C58AC6"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zëvendësministrat </w:t>
      </w:r>
      <w:r w:rsidR="004719D2" w:rsidRPr="004A47DC">
        <w:rPr>
          <w:color w:val="000000" w:themeColor="text1"/>
        </w:rPr>
        <w:t>për Financat;</w:t>
      </w:r>
    </w:p>
    <w:p w14:paraId="58C86492" w14:textId="12B15023"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sekretari i përgjithshëm </w:t>
      </w:r>
      <w:r w:rsidR="004719D2" w:rsidRPr="004A47DC">
        <w:rPr>
          <w:color w:val="000000" w:themeColor="text1"/>
        </w:rPr>
        <w:t>i Ministrisë së Financave;</w:t>
      </w:r>
    </w:p>
    <w:p w14:paraId="1AC70870" w14:textId="117D1781"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ministri </w:t>
      </w:r>
      <w:r w:rsidR="004719D2" w:rsidRPr="004A47DC">
        <w:rPr>
          <w:color w:val="000000" w:themeColor="text1"/>
        </w:rPr>
        <w:t>i Shtetit dhe Kryenegociatorit;</w:t>
      </w:r>
    </w:p>
    <w:p w14:paraId="609B6A88" w14:textId="5189B900"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një </w:t>
      </w:r>
      <w:r w:rsidR="004719D2" w:rsidRPr="004A47DC">
        <w:rPr>
          <w:color w:val="000000" w:themeColor="text1"/>
        </w:rPr>
        <w:t xml:space="preserve">përfaqësues nga </w:t>
      </w:r>
      <w:r w:rsidR="00105FDB">
        <w:rPr>
          <w:color w:val="000000" w:themeColor="text1"/>
        </w:rPr>
        <w:t>z</w:t>
      </w:r>
      <w:r w:rsidR="004719D2" w:rsidRPr="004A47DC">
        <w:rPr>
          <w:color w:val="000000" w:themeColor="text1"/>
        </w:rPr>
        <w:t>yra e Kryeministrit;</w:t>
      </w:r>
    </w:p>
    <w:p w14:paraId="4552C5F0" w14:textId="35B95F46"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sekretari i përgjithshëm </w:t>
      </w:r>
      <w:r w:rsidR="004719D2" w:rsidRPr="004A47DC">
        <w:rPr>
          <w:color w:val="000000" w:themeColor="text1"/>
        </w:rPr>
        <w:t>i KLSH-së;</w:t>
      </w:r>
    </w:p>
    <w:p w14:paraId="13805C8F" w14:textId="66C0D2B9"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një </w:t>
      </w:r>
      <w:r w:rsidR="004719D2" w:rsidRPr="004A47DC">
        <w:rPr>
          <w:color w:val="000000" w:themeColor="text1"/>
        </w:rPr>
        <w:t>përfaqësues nga Komisioni Parlamentar për Ekonominë dhe Financat;</w:t>
      </w:r>
    </w:p>
    <w:p w14:paraId="3E6BA1A8" w14:textId="12B6DDDE"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kryetari </w:t>
      </w:r>
      <w:r w:rsidR="004719D2" w:rsidRPr="004A47DC">
        <w:rPr>
          <w:color w:val="000000" w:themeColor="text1"/>
        </w:rPr>
        <w:t>i Departamentit të Administratës Publike;</w:t>
      </w:r>
    </w:p>
    <w:p w14:paraId="42257D5A" w14:textId="39994180"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drejtori </w:t>
      </w:r>
      <w:r w:rsidR="004719D2" w:rsidRPr="004A47DC">
        <w:rPr>
          <w:color w:val="000000" w:themeColor="text1"/>
        </w:rPr>
        <w:t xml:space="preserve">i </w:t>
      </w:r>
      <w:r w:rsidR="00105FDB" w:rsidRPr="004A47DC">
        <w:rPr>
          <w:color w:val="000000" w:themeColor="text1"/>
        </w:rPr>
        <w:t xml:space="preserve">përgjithshëm </w:t>
      </w:r>
      <w:r w:rsidR="004719D2" w:rsidRPr="004A47DC">
        <w:rPr>
          <w:color w:val="000000" w:themeColor="text1"/>
        </w:rPr>
        <w:t>i Agjencisë së Prokurimit Publik;</w:t>
      </w:r>
    </w:p>
    <w:p w14:paraId="3346BEF0" w14:textId="11052783"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kryetari </w:t>
      </w:r>
      <w:r w:rsidR="004719D2" w:rsidRPr="004A47DC">
        <w:rPr>
          <w:color w:val="000000" w:themeColor="text1"/>
        </w:rPr>
        <w:t>i Komisionit të Prokurimit Publik;</w:t>
      </w:r>
    </w:p>
    <w:p w14:paraId="3C17BD7A" w14:textId="0A96739F"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drejtori </w:t>
      </w:r>
      <w:r w:rsidR="004719D2" w:rsidRPr="004A47DC">
        <w:rPr>
          <w:color w:val="000000" w:themeColor="text1"/>
        </w:rPr>
        <w:t xml:space="preserve">i </w:t>
      </w:r>
      <w:r w:rsidR="00105FDB" w:rsidRPr="004A47DC">
        <w:rPr>
          <w:color w:val="000000" w:themeColor="text1"/>
        </w:rPr>
        <w:t xml:space="preserve">përgjithshëm </w:t>
      </w:r>
      <w:r w:rsidR="004719D2" w:rsidRPr="004A47DC">
        <w:rPr>
          <w:color w:val="000000" w:themeColor="text1"/>
        </w:rPr>
        <w:t>i Tatimeve;</w:t>
      </w:r>
    </w:p>
    <w:p w14:paraId="75CCC550" w14:textId="5389BBE1"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drejtori </w:t>
      </w:r>
      <w:r w:rsidR="004719D2" w:rsidRPr="004A47DC">
        <w:rPr>
          <w:color w:val="000000" w:themeColor="text1"/>
        </w:rPr>
        <w:t>i Përgjithshëm i Doganave;</w:t>
      </w:r>
    </w:p>
    <w:p w14:paraId="4BBA7FA7" w14:textId="375C1500"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drejtori </w:t>
      </w:r>
      <w:r w:rsidR="004719D2" w:rsidRPr="004A47DC">
        <w:rPr>
          <w:color w:val="000000" w:themeColor="text1"/>
        </w:rPr>
        <w:t xml:space="preserve">i </w:t>
      </w:r>
      <w:r w:rsidR="00105FDB" w:rsidRPr="004A47DC">
        <w:rPr>
          <w:color w:val="000000" w:themeColor="text1"/>
        </w:rPr>
        <w:t xml:space="preserve">përgjithshëm </w:t>
      </w:r>
      <w:r w:rsidR="004719D2" w:rsidRPr="004A47DC">
        <w:rPr>
          <w:color w:val="000000" w:themeColor="text1"/>
        </w:rPr>
        <w:t>i Agjencisë Shtetërore të Programimit Strategjik dhe Koordinimit të Ndihmës</w:t>
      </w:r>
      <w:r w:rsidR="00105FDB">
        <w:rPr>
          <w:color w:val="000000" w:themeColor="text1"/>
        </w:rPr>
        <w:t>;</w:t>
      </w:r>
    </w:p>
    <w:p w14:paraId="4CC01198" w14:textId="6492421A"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kryetari </w:t>
      </w:r>
      <w:r w:rsidR="004719D2" w:rsidRPr="004A47DC">
        <w:rPr>
          <w:color w:val="000000" w:themeColor="text1"/>
        </w:rPr>
        <w:t>i INSTAT</w:t>
      </w:r>
      <w:r w:rsidR="008D50DE" w:rsidRPr="004A47DC">
        <w:rPr>
          <w:color w:val="000000" w:themeColor="text1"/>
        </w:rPr>
        <w:t>-it</w:t>
      </w:r>
      <w:r w:rsidR="004719D2" w:rsidRPr="004A47DC">
        <w:rPr>
          <w:color w:val="000000" w:themeColor="text1"/>
        </w:rPr>
        <w:t>;</w:t>
      </w:r>
    </w:p>
    <w:p w14:paraId="7F6FCB95" w14:textId="56545653" w:rsidR="004719D2" w:rsidRPr="004A47DC" w:rsidRDefault="00474723" w:rsidP="000F3E51">
      <w:pPr>
        <w:pStyle w:val="TEKSTIII"/>
        <w:rPr>
          <w:color w:val="000000" w:themeColor="text1"/>
        </w:rPr>
      </w:pPr>
      <w:r w:rsidRPr="004A47DC">
        <w:rPr>
          <w:color w:val="000000" w:themeColor="text1"/>
        </w:rPr>
        <w:t xml:space="preserve">- </w:t>
      </w:r>
      <w:r w:rsidR="00105FDB">
        <w:rPr>
          <w:color w:val="000000" w:themeColor="text1"/>
        </w:rPr>
        <w:t>t</w:t>
      </w:r>
      <w:r w:rsidR="004719D2" w:rsidRPr="004A47DC">
        <w:rPr>
          <w:color w:val="000000" w:themeColor="text1"/>
        </w:rPr>
        <w:t>ë ftuar përfaqësues nga PZhI</w:t>
      </w:r>
      <w:r w:rsidR="00105FDB">
        <w:rPr>
          <w:color w:val="000000" w:themeColor="text1"/>
        </w:rPr>
        <w:t>.</w:t>
      </w:r>
    </w:p>
    <w:p w14:paraId="40DBC356" w14:textId="6312EB94" w:rsidR="004719D2" w:rsidRPr="004A47DC" w:rsidRDefault="004719D2" w:rsidP="000F3E51">
      <w:pPr>
        <w:pStyle w:val="TEKSTIII"/>
        <w:rPr>
          <w:color w:val="000000" w:themeColor="text1"/>
        </w:rPr>
      </w:pPr>
      <w:bookmarkStart w:id="53" w:name="_Toc407032646"/>
      <w:r w:rsidRPr="004A47DC">
        <w:rPr>
          <w:color w:val="000000" w:themeColor="text1"/>
        </w:rPr>
        <w:t xml:space="preserve">Sekretari i </w:t>
      </w:r>
      <w:r w:rsidR="00105FDB">
        <w:rPr>
          <w:color w:val="000000" w:themeColor="text1"/>
        </w:rPr>
        <w:t>p</w:t>
      </w:r>
      <w:r w:rsidRPr="004A47DC">
        <w:rPr>
          <w:color w:val="000000" w:themeColor="text1"/>
        </w:rPr>
        <w:t xml:space="preserve">ërgjithshëm i MF-së do të shërbejë si </w:t>
      </w:r>
      <w:r w:rsidR="00105FDB">
        <w:rPr>
          <w:color w:val="000000" w:themeColor="text1"/>
        </w:rPr>
        <w:t>s</w:t>
      </w:r>
      <w:r w:rsidRPr="004A47DC">
        <w:rPr>
          <w:color w:val="000000" w:themeColor="text1"/>
        </w:rPr>
        <w:t>ekretar i KD</w:t>
      </w:r>
      <w:r w:rsidR="00105FDB" w:rsidRPr="004A47DC">
        <w:rPr>
          <w:color w:val="000000" w:themeColor="text1"/>
        </w:rPr>
        <w:t>-së</w:t>
      </w:r>
      <w:r w:rsidRPr="004A47DC">
        <w:rPr>
          <w:color w:val="000000" w:themeColor="text1"/>
        </w:rPr>
        <w:t xml:space="preserve">. Komiteti do të mblidhet të paktën 1 herë në vit dhe sa herë të jetë e nevojshme për të shqyrtuar ecurinë e reformave, për të shqyrtuar risqet dhe për të miratuar masat zbutëse. Sekretari i </w:t>
      </w:r>
      <w:r w:rsidR="00105FDB">
        <w:rPr>
          <w:color w:val="000000" w:themeColor="text1"/>
        </w:rPr>
        <w:t>p</w:t>
      </w:r>
      <w:r w:rsidRPr="004A47DC">
        <w:rPr>
          <w:color w:val="000000" w:themeColor="text1"/>
        </w:rPr>
        <w:t>ërgjithshëm mund të ftojë çdo person tjetër në KD herë pas here.</w:t>
      </w:r>
    </w:p>
    <w:p w14:paraId="6B711887" w14:textId="427480A2" w:rsidR="004719D2" w:rsidRPr="004A47DC" w:rsidRDefault="004719D2" w:rsidP="000F3E51">
      <w:pPr>
        <w:pStyle w:val="TEKSTIII"/>
        <w:rPr>
          <w:b/>
          <w:bCs/>
          <w:color w:val="000000" w:themeColor="text1"/>
        </w:rPr>
      </w:pPr>
      <w:r w:rsidRPr="004A47DC">
        <w:rPr>
          <w:b/>
          <w:bCs/>
          <w:color w:val="000000" w:themeColor="text1"/>
        </w:rPr>
        <w:t xml:space="preserve">Komiteti </w:t>
      </w:r>
      <w:r w:rsidR="00105FDB">
        <w:rPr>
          <w:b/>
          <w:bCs/>
          <w:color w:val="000000" w:themeColor="text1"/>
        </w:rPr>
        <w:t>t</w:t>
      </w:r>
      <w:r w:rsidRPr="004A47DC">
        <w:rPr>
          <w:b/>
          <w:bCs/>
          <w:color w:val="000000" w:themeColor="text1"/>
        </w:rPr>
        <w:t>eknik i MFP-së</w:t>
      </w:r>
    </w:p>
    <w:bookmarkEnd w:id="53"/>
    <w:p w14:paraId="6CC6D712" w14:textId="07E661CF" w:rsidR="004719D2" w:rsidRPr="004A47DC" w:rsidRDefault="004719D2" w:rsidP="000F3E51">
      <w:pPr>
        <w:pStyle w:val="TEKSTIII"/>
        <w:rPr>
          <w:color w:val="000000" w:themeColor="text1"/>
        </w:rPr>
      </w:pPr>
      <w:r w:rsidRPr="004A47DC">
        <w:rPr>
          <w:color w:val="000000" w:themeColor="text1"/>
        </w:rPr>
        <w:t>Një Komitet Teknik (KT)</w:t>
      </w:r>
      <w:r w:rsidR="00105FDB">
        <w:rPr>
          <w:color w:val="000000" w:themeColor="text1"/>
        </w:rPr>
        <w:t>,</w:t>
      </w:r>
      <w:r w:rsidRPr="004A47DC">
        <w:rPr>
          <w:color w:val="000000" w:themeColor="text1"/>
        </w:rPr>
        <w:t xml:space="preserve"> që u krijua në 2017</w:t>
      </w:r>
      <w:r w:rsidR="00105FDB">
        <w:rPr>
          <w:color w:val="000000" w:themeColor="text1"/>
        </w:rPr>
        <w:t>,</w:t>
      </w:r>
      <w:r w:rsidRPr="004A47DC">
        <w:rPr>
          <w:color w:val="000000" w:themeColor="text1"/>
        </w:rPr>
        <w:t xml:space="preserve"> do të vazhdojë të ketë mandatin për të katalizuar aktivitetet e reformës dhe për të koordinuar</w:t>
      </w:r>
      <w:r w:rsidR="00105FDB">
        <w:rPr>
          <w:color w:val="000000" w:themeColor="text1"/>
        </w:rPr>
        <w:t>,</w:t>
      </w:r>
      <w:r w:rsidRPr="004A47DC">
        <w:rPr>
          <w:color w:val="000000" w:themeColor="text1"/>
        </w:rPr>
        <w:t xml:space="preserve"> dhe monitoruar zbatimin e </w:t>
      </w:r>
      <w:r w:rsidR="00105FDB">
        <w:rPr>
          <w:color w:val="000000" w:themeColor="text1"/>
        </w:rPr>
        <w:t>p</w:t>
      </w:r>
      <w:r w:rsidRPr="004A47DC">
        <w:rPr>
          <w:color w:val="000000" w:themeColor="text1"/>
        </w:rPr>
        <w:t xml:space="preserve">rodukteve sipas </w:t>
      </w:r>
      <w:r w:rsidR="00105FDB" w:rsidRPr="004A47DC">
        <w:rPr>
          <w:color w:val="000000" w:themeColor="text1"/>
        </w:rPr>
        <w:t xml:space="preserve">komponentëve të ndryshëm të shtyllave </w:t>
      </w:r>
      <w:r w:rsidRPr="004A47DC">
        <w:rPr>
          <w:color w:val="000000" w:themeColor="text1"/>
        </w:rPr>
        <w:t>përkatëse. Është e rëndësishme që KT</w:t>
      </w:r>
      <w:r w:rsidR="00105FDB">
        <w:rPr>
          <w:color w:val="000000" w:themeColor="text1"/>
        </w:rPr>
        <w:t>-ja</w:t>
      </w:r>
      <w:r w:rsidRPr="004A47DC">
        <w:rPr>
          <w:color w:val="000000" w:themeColor="text1"/>
        </w:rPr>
        <w:t xml:space="preserve"> të identifikojë risqet, të planifikojë zbutjen e tyre dhe të informojë KD</w:t>
      </w:r>
      <w:r w:rsidR="00105FDB" w:rsidRPr="004A47DC">
        <w:rPr>
          <w:color w:val="000000" w:themeColor="text1"/>
        </w:rPr>
        <w:t>-</w:t>
      </w:r>
      <w:r w:rsidR="00105FDB">
        <w:rPr>
          <w:color w:val="000000" w:themeColor="text1"/>
        </w:rPr>
        <w:t>n</w:t>
      </w:r>
      <w:r w:rsidR="00105FDB" w:rsidRPr="004A47DC">
        <w:rPr>
          <w:color w:val="000000" w:themeColor="text1"/>
        </w:rPr>
        <w:t>ë</w:t>
      </w:r>
      <w:r w:rsidRPr="004A47DC">
        <w:rPr>
          <w:color w:val="000000" w:themeColor="text1"/>
        </w:rPr>
        <w:t xml:space="preserve"> për këto çështje sipas rrethanave. KT</w:t>
      </w:r>
      <w:r w:rsidR="00105FDB" w:rsidRPr="004A47DC">
        <w:rPr>
          <w:color w:val="000000" w:themeColor="text1"/>
        </w:rPr>
        <w:t>-</w:t>
      </w:r>
      <w:r w:rsidR="00105FDB">
        <w:rPr>
          <w:color w:val="000000" w:themeColor="text1"/>
        </w:rPr>
        <w:t>ja</w:t>
      </w:r>
      <w:r w:rsidRPr="004A47DC">
        <w:rPr>
          <w:color w:val="000000" w:themeColor="text1"/>
        </w:rPr>
        <w:t xml:space="preserve"> kryesohet nga </w:t>
      </w:r>
      <w:r w:rsidR="00105FDB" w:rsidRPr="004A47DC">
        <w:rPr>
          <w:color w:val="000000" w:themeColor="text1"/>
        </w:rPr>
        <w:t xml:space="preserve">sekretari i përgjithshëm </w:t>
      </w:r>
      <w:r w:rsidRPr="004A47DC">
        <w:rPr>
          <w:color w:val="000000" w:themeColor="text1"/>
        </w:rPr>
        <w:t>i MF-së. Komiteti mblidhet të paktën 1 herë në vit dhe sa herë të jetë e nevojshme.</w:t>
      </w:r>
    </w:p>
    <w:p w14:paraId="2335BA43" w14:textId="0A20460B" w:rsidR="004719D2" w:rsidRPr="004A47DC" w:rsidRDefault="004719D2" w:rsidP="000F3E51">
      <w:pPr>
        <w:pStyle w:val="TEKSTIII"/>
        <w:rPr>
          <w:color w:val="000000" w:themeColor="text1"/>
        </w:rPr>
      </w:pPr>
      <w:r w:rsidRPr="004A47DC">
        <w:rPr>
          <w:color w:val="000000" w:themeColor="text1"/>
        </w:rPr>
        <w:t>KD</w:t>
      </w:r>
      <w:r w:rsidR="00105FDB" w:rsidRPr="004A47DC">
        <w:rPr>
          <w:color w:val="000000" w:themeColor="text1"/>
        </w:rPr>
        <w:t>-</w:t>
      </w:r>
      <w:r w:rsidR="00105FDB">
        <w:rPr>
          <w:color w:val="000000" w:themeColor="text1"/>
        </w:rPr>
        <w:t>ja</w:t>
      </w:r>
      <w:r w:rsidRPr="004A47DC">
        <w:rPr>
          <w:color w:val="000000" w:themeColor="text1"/>
        </w:rPr>
        <w:t xml:space="preserve"> dhe KT</w:t>
      </w:r>
      <w:r w:rsidR="00105FDB" w:rsidRPr="004A47DC">
        <w:rPr>
          <w:color w:val="000000" w:themeColor="text1"/>
        </w:rPr>
        <w:t>-</w:t>
      </w:r>
      <w:r w:rsidR="00105FDB">
        <w:rPr>
          <w:color w:val="000000" w:themeColor="text1"/>
        </w:rPr>
        <w:t>ja</w:t>
      </w:r>
      <w:r w:rsidRPr="004A47DC">
        <w:rPr>
          <w:color w:val="000000" w:themeColor="text1"/>
        </w:rPr>
        <w:t xml:space="preserve"> do të mbështeten nga </w:t>
      </w:r>
      <w:r w:rsidR="00105FDB" w:rsidRPr="00105FDB">
        <w:rPr>
          <w:color w:val="000000" w:themeColor="text1"/>
        </w:rPr>
        <w:t>d</w:t>
      </w:r>
      <w:r w:rsidRPr="00105FDB">
        <w:rPr>
          <w:color w:val="000000" w:themeColor="text1"/>
        </w:rPr>
        <w:t>rejtoria përgjegjëse për Menaxhimin e Reformave të MFP-së. Drejtoria do të vazhdojë të</w:t>
      </w:r>
      <w:r w:rsidRPr="004A47DC">
        <w:rPr>
          <w:color w:val="000000" w:themeColor="text1"/>
        </w:rPr>
        <w:t xml:space="preserve"> jetë përgjegjëse për monitorimin dhe raportimin mbi reformat e MFP-së:</w:t>
      </w:r>
    </w:p>
    <w:p w14:paraId="5F376565" w14:textId="5869B6B3"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rishikimin </w:t>
      </w:r>
      <w:r w:rsidR="004719D2" w:rsidRPr="004A47DC">
        <w:rPr>
          <w:color w:val="000000" w:themeColor="text1"/>
        </w:rPr>
        <w:t xml:space="preserve">e raporteve të progresit të </w:t>
      </w:r>
      <w:r w:rsidR="00105FDB">
        <w:rPr>
          <w:color w:val="000000" w:themeColor="text1"/>
        </w:rPr>
        <w:t>s</w:t>
      </w:r>
      <w:r w:rsidR="004719D2" w:rsidRPr="004A47DC">
        <w:rPr>
          <w:color w:val="000000" w:themeColor="text1"/>
        </w:rPr>
        <w:t>htyllave;</w:t>
      </w:r>
    </w:p>
    <w:p w14:paraId="6B39B159" w14:textId="1B5E0541" w:rsidR="004719D2" w:rsidRPr="004A47DC" w:rsidRDefault="00474723" w:rsidP="000F3E51">
      <w:pPr>
        <w:pStyle w:val="TEKSTIII"/>
        <w:rPr>
          <w:color w:val="000000" w:themeColor="text1"/>
        </w:rPr>
      </w:pPr>
      <w:r w:rsidRPr="004A47DC">
        <w:rPr>
          <w:color w:val="000000" w:themeColor="text1"/>
        </w:rPr>
        <w:t xml:space="preserve">- </w:t>
      </w:r>
      <w:r w:rsidR="00105FDB" w:rsidRPr="004A47DC">
        <w:rPr>
          <w:color w:val="000000" w:themeColor="text1"/>
        </w:rPr>
        <w:t xml:space="preserve">raportimin </w:t>
      </w:r>
      <w:r w:rsidR="004719D2" w:rsidRPr="004A47DC">
        <w:rPr>
          <w:color w:val="000000" w:themeColor="text1"/>
        </w:rPr>
        <w:t>shkurt mbi progresin e MFP</w:t>
      </w:r>
      <w:r w:rsidR="00105FDB" w:rsidRPr="004A47DC">
        <w:rPr>
          <w:color w:val="000000" w:themeColor="text1"/>
        </w:rPr>
        <w:t>-së</w:t>
      </w:r>
      <w:r w:rsidR="004719D2" w:rsidRPr="004A47DC">
        <w:rPr>
          <w:color w:val="000000" w:themeColor="text1"/>
        </w:rPr>
        <w:t>: arritjet; ku progresi nuk është në rrugën e duhur; sfidat dhe risqet për KT</w:t>
      </w:r>
      <w:r w:rsidR="00105FDB" w:rsidRPr="004A47DC">
        <w:rPr>
          <w:color w:val="000000" w:themeColor="text1"/>
        </w:rPr>
        <w:t>-</w:t>
      </w:r>
      <w:r w:rsidR="00105FDB">
        <w:rPr>
          <w:color w:val="000000" w:themeColor="text1"/>
        </w:rPr>
        <w:t>n</w:t>
      </w:r>
      <w:r w:rsidR="00105FDB" w:rsidRPr="004A47DC">
        <w:rPr>
          <w:color w:val="000000" w:themeColor="text1"/>
        </w:rPr>
        <w:t>ë</w:t>
      </w:r>
      <w:r w:rsidR="004719D2" w:rsidRPr="004A47DC">
        <w:rPr>
          <w:color w:val="000000" w:themeColor="text1"/>
        </w:rPr>
        <w:t xml:space="preserve"> dhe KD</w:t>
      </w:r>
      <w:r w:rsidR="00105FDB" w:rsidRPr="004A47DC">
        <w:rPr>
          <w:color w:val="000000" w:themeColor="text1"/>
        </w:rPr>
        <w:t>-</w:t>
      </w:r>
      <w:r w:rsidR="00105FDB">
        <w:rPr>
          <w:color w:val="000000" w:themeColor="text1"/>
        </w:rPr>
        <w:t>n</w:t>
      </w:r>
      <w:r w:rsidR="00105FDB" w:rsidRPr="004A47DC">
        <w:rPr>
          <w:color w:val="000000" w:themeColor="text1"/>
        </w:rPr>
        <w:t>ë</w:t>
      </w:r>
      <w:r w:rsidR="004719D2" w:rsidRPr="004A47DC">
        <w:rPr>
          <w:color w:val="000000" w:themeColor="text1"/>
        </w:rPr>
        <w:t xml:space="preserve">, në bashkëpunim me </w:t>
      </w:r>
      <w:r w:rsidR="00105FDB" w:rsidRPr="00105FDB">
        <w:rPr>
          <w:color w:val="000000" w:themeColor="text1"/>
        </w:rPr>
        <w:t>koordinatorët e shtyllave</w:t>
      </w:r>
      <w:r w:rsidR="004719D2" w:rsidRPr="004A47DC">
        <w:rPr>
          <w:color w:val="000000" w:themeColor="text1"/>
        </w:rPr>
        <w:t>;</w:t>
      </w:r>
    </w:p>
    <w:p w14:paraId="1F55A57C" w14:textId="35B71F0B" w:rsidR="004719D2" w:rsidRPr="004A47DC" w:rsidRDefault="00474723" w:rsidP="000F3E51">
      <w:pPr>
        <w:pStyle w:val="TEKSTIII"/>
        <w:rPr>
          <w:color w:val="000000" w:themeColor="text1"/>
        </w:rPr>
      </w:pPr>
      <w:r w:rsidRPr="004A47DC">
        <w:rPr>
          <w:color w:val="000000" w:themeColor="text1"/>
        </w:rPr>
        <w:t>-</w:t>
      </w:r>
      <w:r w:rsidR="00105FDB">
        <w:rPr>
          <w:color w:val="000000" w:themeColor="text1"/>
        </w:rPr>
        <w:t xml:space="preserve"> </w:t>
      </w:r>
      <w:r w:rsidR="00105FDB" w:rsidRPr="004A47DC">
        <w:rPr>
          <w:color w:val="000000" w:themeColor="text1"/>
        </w:rPr>
        <w:t xml:space="preserve">përgatitja </w:t>
      </w:r>
      <w:r w:rsidR="004719D2" w:rsidRPr="004A47DC">
        <w:rPr>
          <w:color w:val="000000" w:themeColor="text1"/>
        </w:rPr>
        <w:t xml:space="preserve">e një </w:t>
      </w:r>
      <w:r w:rsidR="00105FDB" w:rsidRPr="004A47DC">
        <w:rPr>
          <w:color w:val="000000" w:themeColor="text1"/>
        </w:rPr>
        <w:t xml:space="preserve">raporti vjetor monitorues për progresin e strategjisë </w:t>
      </w:r>
      <w:r w:rsidR="004719D2" w:rsidRPr="004A47DC">
        <w:rPr>
          <w:color w:val="000000" w:themeColor="text1"/>
        </w:rPr>
        <w:t>së MFP</w:t>
      </w:r>
      <w:r w:rsidR="00105FDB" w:rsidRPr="004A47DC">
        <w:rPr>
          <w:color w:val="000000" w:themeColor="text1"/>
        </w:rPr>
        <w:t>-së</w:t>
      </w:r>
      <w:r w:rsidR="004719D2" w:rsidRPr="004A47DC">
        <w:rPr>
          <w:color w:val="000000" w:themeColor="text1"/>
        </w:rPr>
        <w:t>; dhe</w:t>
      </w:r>
    </w:p>
    <w:p w14:paraId="33BA4D28" w14:textId="247D1FAC" w:rsidR="004719D2" w:rsidRPr="004A47DC" w:rsidRDefault="00474723" w:rsidP="000F3E51">
      <w:pPr>
        <w:pStyle w:val="TEKSTIII"/>
        <w:rPr>
          <w:color w:val="000000" w:themeColor="text1"/>
        </w:rPr>
      </w:pPr>
      <w:r w:rsidRPr="004A47DC">
        <w:rPr>
          <w:color w:val="000000" w:themeColor="text1"/>
        </w:rPr>
        <w:t xml:space="preserve">- </w:t>
      </w:r>
      <w:r w:rsidR="00105FDB">
        <w:rPr>
          <w:color w:val="000000" w:themeColor="text1"/>
        </w:rPr>
        <w:t>d</w:t>
      </w:r>
      <w:r w:rsidR="004719D2" w:rsidRPr="004A47DC">
        <w:rPr>
          <w:color w:val="000000" w:themeColor="text1"/>
        </w:rPr>
        <w:t xml:space="preserve">rejtori do të mbështesë KD-në për të siguruar që rreziqet për zbatimin e </w:t>
      </w:r>
      <w:r w:rsidR="00105FDB" w:rsidRPr="004A47DC">
        <w:rPr>
          <w:color w:val="000000" w:themeColor="text1"/>
        </w:rPr>
        <w:t xml:space="preserve">planit të veprimit </w:t>
      </w:r>
      <w:r w:rsidR="004719D2" w:rsidRPr="004A47DC">
        <w:rPr>
          <w:color w:val="000000" w:themeColor="text1"/>
        </w:rPr>
        <w:t>janë identifikuar dhe rekomandimet e KT</w:t>
      </w:r>
      <w:r w:rsidR="00105FDB" w:rsidRPr="004A47DC">
        <w:rPr>
          <w:color w:val="000000" w:themeColor="text1"/>
        </w:rPr>
        <w:t>-së</w:t>
      </w:r>
      <w:r w:rsidR="004719D2" w:rsidRPr="004A47DC">
        <w:rPr>
          <w:color w:val="000000" w:themeColor="text1"/>
        </w:rPr>
        <w:t xml:space="preserve"> dhe KD</w:t>
      </w:r>
      <w:r w:rsidR="00105FDB" w:rsidRPr="004A47DC">
        <w:rPr>
          <w:color w:val="000000" w:themeColor="text1"/>
        </w:rPr>
        <w:t>-së</w:t>
      </w:r>
      <w:r w:rsidR="004719D2" w:rsidRPr="004A47DC">
        <w:rPr>
          <w:color w:val="000000" w:themeColor="text1"/>
        </w:rPr>
        <w:t xml:space="preserve"> janë zbatuar.</w:t>
      </w:r>
    </w:p>
    <w:p w14:paraId="548E0470" w14:textId="61FE1DA8" w:rsidR="004719D2" w:rsidRPr="004A47DC" w:rsidRDefault="00474723" w:rsidP="000F3E51">
      <w:pPr>
        <w:pStyle w:val="TEKSTIII"/>
        <w:rPr>
          <w:color w:val="000000" w:themeColor="text1"/>
        </w:rPr>
      </w:pPr>
      <w:r w:rsidRPr="004A47DC">
        <w:rPr>
          <w:color w:val="000000" w:themeColor="text1"/>
        </w:rPr>
        <w:t xml:space="preserve">- </w:t>
      </w:r>
      <w:r w:rsidR="004719D2" w:rsidRPr="004A47DC">
        <w:rPr>
          <w:color w:val="000000" w:themeColor="text1"/>
        </w:rPr>
        <w:t xml:space="preserve">KD i MFP-së do të përdoret si një forum për dialog dhe reagime nga partnerët e jashtëm të Shqipërisë mbi Strategjinë e MFP-së dhe zbatimin e saj. Takimet dedikuar reformave të MFP-së do të mbahen të paktën në baza vjetore. </w:t>
      </w:r>
    </w:p>
    <w:p w14:paraId="299A2ECD" w14:textId="4460BAB7" w:rsidR="004719D2" w:rsidRPr="004A47DC" w:rsidRDefault="00E37C83" w:rsidP="00E37C83">
      <w:pPr>
        <w:pStyle w:val="TEKSTIII"/>
        <w:rPr>
          <w:b/>
        </w:rPr>
      </w:pPr>
      <w:bookmarkStart w:id="54" w:name="_Toc168918707"/>
      <w:r w:rsidRPr="004A47DC">
        <w:rPr>
          <w:rStyle w:val="rynqvb"/>
          <w:b/>
          <w:color w:val="000000" w:themeColor="text1"/>
        </w:rPr>
        <w:t xml:space="preserve">9. </w:t>
      </w:r>
      <w:r w:rsidR="004719D2" w:rsidRPr="004A47DC">
        <w:rPr>
          <w:rStyle w:val="rynqvb"/>
          <w:b/>
          <w:color w:val="000000" w:themeColor="text1"/>
        </w:rPr>
        <w:t>Risqet dhe masat zbutëse</w:t>
      </w:r>
      <w:bookmarkEnd w:id="54"/>
    </w:p>
    <w:p w14:paraId="3F5B30BB" w14:textId="1A33CF09" w:rsidR="004719D2" w:rsidRPr="004A47DC" w:rsidRDefault="004719D2" w:rsidP="00E37C83">
      <w:pPr>
        <w:pStyle w:val="TEKSTIII"/>
      </w:pPr>
      <w:r w:rsidRPr="004A47DC">
        <w:t>Për të siguruar menaxhimin efektiv të reformave, duke u mbështetur nga përvoja e fituar midis 2014</w:t>
      </w:r>
      <w:r w:rsidR="00352178" w:rsidRPr="004A47DC">
        <w:rPr>
          <w:color w:val="000000" w:themeColor="text1"/>
        </w:rPr>
        <w:t>-ë</w:t>
      </w:r>
      <w:r w:rsidR="00352178">
        <w:rPr>
          <w:color w:val="000000" w:themeColor="text1"/>
        </w:rPr>
        <w:t>s</w:t>
      </w:r>
      <w:r w:rsidRPr="004A47DC">
        <w:t xml:space="preserve"> dhe 2022</w:t>
      </w:r>
      <w:r w:rsidR="00352178" w:rsidRPr="004A47DC">
        <w:rPr>
          <w:color w:val="000000" w:themeColor="text1"/>
        </w:rPr>
        <w:t>-ë</w:t>
      </w:r>
      <w:r w:rsidR="00352178">
        <w:rPr>
          <w:color w:val="000000" w:themeColor="text1"/>
        </w:rPr>
        <w:t>s</w:t>
      </w:r>
      <w:r w:rsidRPr="004A47DC">
        <w:t>, është e domosdoshme një qasje më proaktive për menaxhimin e riskut. Kjo përfshin jo vetëm adresimin e risqeve që lidhen me zbatimin e aktiviteteve, por edhe marrjen parasysh të risqeve të mundshme për objektivat kryesor</w:t>
      </w:r>
      <w:r w:rsidR="00056667" w:rsidRPr="004A47DC">
        <w:t>ë</w:t>
      </w:r>
      <w:r w:rsidRPr="004A47DC">
        <w:t xml:space="preserve"> të </w:t>
      </w:r>
      <w:r w:rsidR="00056667" w:rsidRPr="004A47DC">
        <w:t>s</w:t>
      </w:r>
      <w:r w:rsidRPr="004A47DC">
        <w:t xml:space="preserve">htyllave dhe komponentëve të tyre përkatës. Kështu, vëmendja e shtuar do </w:t>
      </w:r>
      <w:r w:rsidR="001415B2" w:rsidRPr="004A47DC">
        <w:t>t</w:t>
      </w:r>
      <w:r w:rsidR="00CE6AE5" w:rsidRPr="004A47DC">
        <w:t>’</w:t>
      </w:r>
      <w:r w:rsidR="001415B2" w:rsidRPr="004A47DC">
        <w:t xml:space="preserve">i </w:t>
      </w:r>
      <w:r w:rsidR="00352178" w:rsidRPr="004A47DC">
        <w:t>drejtohet risqeve dhe planit të zbutjes</w:t>
      </w:r>
      <w:r w:rsidRPr="004A47DC">
        <w:t xml:space="preserve">, i cili do të jetë një </w:t>
      </w:r>
      <w:r w:rsidRPr="003042D3">
        <w:t>dokument dinamik që do të jetë një pjesë integrale e kuadrit të raportimit të rregullt të përshkruar në an</w:t>
      </w:r>
      <w:r w:rsidR="003042D3">
        <w:t>ga</w:t>
      </w:r>
      <w:r w:rsidRPr="003042D3">
        <w:t>zhimet e</w:t>
      </w:r>
      <w:r w:rsidRPr="004A47DC">
        <w:t xml:space="preserve"> qeverisjes të përmendura më herët.</w:t>
      </w:r>
    </w:p>
    <w:p w14:paraId="68BC2C68" w14:textId="51E71CA3" w:rsidR="004719D2" w:rsidRPr="004A47DC" w:rsidRDefault="004719D2" w:rsidP="00E37C83">
      <w:pPr>
        <w:pStyle w:val="TEKSTIII"/>
      </w:pPr>
      <w:r w:rsidRPr="004A47DC">
        <w:t xml:space="preserve">Drejtuesit e </w:t>
      </w:r>
      <w:r w:rsidR="00352178" w:rsidRPr="004A47DC">
        <w:t xml:space="preserve">shtyllave/komponentëve </w:t>
      </w:r>
      <w:r w:rsidRPr="004A47DC">
        <w:t xml:space="preserve">kanë për detyrë monitorimin e vazhdueshëm të zbatimit të </w:t>
      </w:r>
      <w:r w:rsidR="00352178" w:rsidRPr="004A47DC">
        <w:t>planit të veprimit të strategjisë</w:t>
      </w:r>
      <w:r w:rsidRPr="004A47DC">
        <w:t xml:space="preserve">, me fokus të veçantë në propozimin e masave zbutëse sa herë që materializohen risqet e identifikuara. Paragrafët e mëposhtëm theksojnë risqet kryesore që lidhen me zbatimin e </w:t>
      </w:r>
      <w:r w:rsidR="00352178">
        <w:t>s</w:t>
      </w:r>
      <w:r w:rsidRPr="004A47DC">
        <w:t>trategjisë së MFP-së, të shoqëruara me informacion se si këto sfida mund të zbuten në mënyrë efektive.</w:t>
      </w:r>
    </w:p>
    <w:p w14:paraId="29A91EE0" w14:textId="60A96CAF" w:rsidR="004719D2" w:rsidRPr="004A47DC" w:rsidRDefault="004719D2" w:rsidP="00E37C83">
      <w:pPr>
        <w:pStyle w:val="TEKSTIII"/>
      </w:pPr>
      <w:r w:rsidRPr="004A47DC">
        <w:rPr>
          <w:b/>
          <w:bCs/>
        </w:rPr>
        <w:t>Risku politik</w:t>
      </w:r>
      <w:r w:rsidRPr="004A47DC">
        <w:t xml:space="preserve"> - Tranzicionet politike, ndryshimet në udhëheqje ose ndryshimi i prioriteteve mund të rezultojnë në një angazhim të lëkundur ndaj a</w:t>
      </w:r>
      <w:r w:rsidR="008D50DE" w:rsidRPr="004A47DC">
        <w:t>gj</w:t>
      </w:r>
      <w:r w:rsidRPr="004A47DC">
        <w:t>endës së reformës. Për të zbutur këtë risk:</w:t>
      </w:r>
    </w:p>
    <w:p w14:paraId="58123903" w14:textId="550AB1D0" w:rsidR="004719D2" w:rsidRPr="004A47DC" w:rsidRDefault="00E37C83" w:rsidP="00E37C83">
      <w:pPr>
        <w:pStyle w:val="TEKSTIII"/>
      </w:pPr>
      <w:r w:rsidRPr="004A47DC">
        <w:t xml:space="preserve">- </w:t>
      </w:r>
      <w:r w:rsidR="004719D2" w:rsidRPr="004A47DC">
        <w:t>Rritja e ndërgjegjësimit midis liderëve politikë dhe vendimmarrësve kryesorë</w:t>
      </w:r>
      <w:r w:rsidR="00352178">
        <w:t>,</w:t>
      </w:r>
      <w:r w:rsidR="004719D2" w:rsidRPr="004A47DC">
        <w:t xml:space="preserve"> në lidhje me rëndësinë dhe përfitimet e reformave të MFP</w:t>
      </w:r>
      <w:r w:rsidR="00352178" w:rsidRPr="004A47DC">
        <w:rPr>
          <w:color w:val="000000" w:themeColor="text1"/>
        </w:rPr>
        <w:t>-së</w:t>
      </w:r>
      <w:r w:rsidR="004719D2" w:rsidRPr="004A47DC">
        <w:t>;</w:t>
      </w:r>
    </w:p>
    <w:p w14:paraId="4E22066D" w14:textId="6F7759CD" w:rsidR="004719D2" w:rsidRPr="004A47DC" w:rsidRDefault="00E37C83" w:rsidP="00E37C83">
      <w:pPr>
        <w:pStyle w:val="TEKSTIII"/>
      </w:pPr>
      <w:r w:rsidRPr="004A47DC">
        <w:t xml:space="preserve">- </w:t>
      </w:r>
      <w:r w:rsidR="004719D2" w:rsidRPr="004A47DC">
        <w:t>Sigurimi i integrimit të reformave të MFP-së në planet dhe strategjitë më të gjera të qeverisë;</w:t>
      </w:r>
    </w:p>
    <w:p w14:paraId="0A5D5160" w14:textId="63813912" w:rsidR="004719D2" w:rsidRPr="004A47DC" w:rsidRDefault="00E37C83" w:rsidP="00E37C83">
      <w:pPr>
        <w:pStyle w:val="TEKSTIII"/>
      </w:pPr>
      <w:r w:rsidRPr="004A47DC">
        <w:t xml:space="preserve">- </w:t>
      </w:r>
      <w:r w:rsidR="004719D2" w:rsidRPr="004A47DC">
        <w:t>Kryerja e fushatave të ndërgjegjësimit të publikut për të informuar qytetarët mbi rëndësinë e reformave të MFP-së, duke shfrytëzuar mbështetjen publike për të ndikuar në prioritizimin dhe qëndrueshmërinë politike.</w:t>
      </w:r>
    </w:p>
    <w:p w14:paraId="73660169" w14:textId="77777777" w:rsidR="004719D2" w:rsidRPr="004A47DC" w:rsidRDefault="004719D2" w:rsidP="00E37C83">
      <w:pPr>
        <w:pStyle w:val="TEKSTIII"/>
      </w:pPr>
      <w:r w:rsidRPr="004A47DC">
        <w:rPr>
          <w:b/>
          <w:bCs/>
        </w:rPr>
        <w:t>Risqet institucionale</w:t>
      </w:r>
      <w:r w:rsidRPr="004A47DC">
        <w:t xml:space="preserve"> - Kapaciteti dhe aftësitë e pamjaftueshme brenda institucioneve qeveritare paraqesin risqe të konsiderueshme për reformat e MFP-së. Për të zbutur këto risqe:</w:t>
      </w:r>
    </w:p>
    <w:p w14:paraId="2B511E25" w14:textId="21F45A2B" w:rsidR="004719D2" w:rsidRPr="004A47DC" w:rsidRDefault="00E37C83" w:rsidP="00E37C83">
      <w:pPr>
        <w:pStyle w:val="TEKSTIII"/>
      </w:pPr>
      <w:r w:rsidRPr="004A47DC">
        <w:t xml:space="preserve">- </w:t>
      </w:r>
      <w:r w:rsidR="004719D2" w:rsidRPr="004A47DC">
        <w:t>MF-ja dhe institucionet e tjera të përfshira janë të përkushtuara për të investuar në një vlerësim gjithëpërfshirës të nevojave për trajnim dhe zhvillimin e programeve të përshtatura të trajnimit;</w:t>
      </w:r>
    </w:p>
    <w:p w14:paraId="61FE34CD" w14:textId="7ACEAB44" w:rsidR="004719D2" w:rsidRPr="004A47DC" w:rsidRDefault="00E37C83" w:rsidP="00E37C83">
      <w:pPr>
        <w:pStyle w:val="TEKSTIII"/>
      </w:pPr>
      <w:r w:rsidRPr="004A47DC">
        <w:t xml:space="preserve">- </w:t>
      </w:r>
      <w:r w:rsidR="004719D2" w:rsidRPr="004A47DC">
        <w:t>Forcimi i bashkëpunimit me ShShAP</w:t>
      </w:r>
      <w:r w:rsidR="00352178" w:rsidRPr="004A47DC">
        <w:rPr>
          <w:color w:val="000000" w:themeColor="text1"/>
        </w:rPr>
        <w:t>-</w:t>
      </w:r>
      <w:r w:rsidR="00352178">
        <w:rPr>
          <w:color w:val="000000" w:themeColor="text1"/>
        </w:rPr>
        <w:t>n</w:t>
      </w:r>
      <w:r w:rsidR="00352178" w:rsidRPr="004A47DC">
        <w:rPr>
          <w:color w:val="000000" w:themeColor="text1"/>
        </w:rPr>
        <w:t>ë</w:t>
      </w:r>
      <w:r w:rsidR="004719D2" w:rsidRPr="004A47DC">
        <w:t xml:space="preserve"> dhe organizatat ndërkombëtare për mbështetje shtesë;</w:t>
      </w:r>
    </w:p>
    <w:p w14:paraId="703C81A0" w14:textId="65F3AB0B" w:rsidR="004719D2" w:rsidRPr="004A47DC" w:rsidRDefault="00E37C83" w:rsidP="00E37C83">
      <w:pPr>
        <w:pStyle w:val="TEKSTIII"/>
      </w:pPr>
      <w:r w:rsidRPr="004A47DC">
        <w:t xml:space="preserve">- </w:t>
      </w:r>
      <w:r w:rsidR="004719D2" w:rsidRPr="004A47DC">
        <w:t>Mbajtja e angazhimit të vazhdueshëm në investimet e kapitalit njerëzor, duke e njohur atë si thelbësore për ruajtjen e rezultateve pozitive.</w:t>
      </w:r>
    </w:p>
    <w:p w14:paraId="79DEF740" w14:textId="77777777" w:rsidR="004719D2" w:rsidRPr="004A47DC" w:rsidRDefault="004719D2" w:rsidP="00E37C83">
      <w:pPr>
        <w:pStyle w:val="TEKSTIII"/>
        <w:rPr>
          <w:rFonts w:eastAsia="Times New Roman"/>
        </w:rPr>
      </w:pPr>
      <w:r w:rsidRPr="004A47DC">
        <w:rPr>
          <w:rFonts w:eastAsia="Times New Roman"/>
          <w:b/>
          <w:bCs/>
        </w:rPr>
        <w:t>Risku ligjor</w:t>
      </w:r>
      <w:r w:rsidRPr="004A47DC">
        <w:rPr>
          <w:rFonts w:eastAsia="Times New Roman"/>
        </w:rPr>
        <w:t xml:space="preserve"> – ndryshimet rregullatore të planifikuara vonohen. Për të zbutur këtë risk:</w:t>
      </w:r>
    </w:p>
    <w:p w14:paraId="79C039A6" w14:textId="0407A76F" w:rsidR="004719D2" w:rsidRPr="004A47DC" w:rsidRDefault="00352178" w:rsidP="00E37C83">
      <w:pPr>
        <w:pStyle w:val="TEKSTIII"/>
      </w:pPr>
      <w:r>
        <w:t xml:space="preserve">- </w:t>
      </w:r>
      <w:r w:rsidR="004719D2" w:rsidRPr="004A47DC">
        <w:t>Krijimi i kanaleve të rregullta të komunikimit me organet përkatëse rregullatore të përfshira në reformën e MFP</w:t>
      </w:r>
      <w:r w:rsidRPr="004A47DC">
        <w:rPr>
          <w:color w:val="000000" w:themeColor="text1"/>
        </w:rPr>
        <w:t>-së</w:t>
      </w:r>
      <w:r w:rsidR="004719D2" w:rsidRPr="004A47DC">
        <w:t>;</w:t>
      </w:r>
    </w:p>
    <w:p w14:paraId="5E70889E" w14:textId="6B548840" w:rsidR="004719D2" w:rsidRPr="004A47DC" w:rsidRDefault="00E37C83" w:rsidP="00E37C83">
      <w:pPr>
        <w:pStyle w:val="TEKSTIII"/>
      </w:pPr>
      <w:r w:rsidRPr="004A47DC">
        <w:t xml:space="preserve">- </w:t>
      </w:r>
      <w:r w:rsidR="004719D2" w:rsidRPr="004A47DC">
        <w:t>Kërkimi i mbështetjes nga liderët politikë dhe institucionet kyçe për të dhënë prioritet dhe për të lehtësuar zbatimin e ndryshimeve rregullatore;</w:t>
      </w:r>
    </w:p>
    <w:p w14:paraId="1E360438" w14:textId="3A287287" w:rsidR="004719D2" w:rsidRPr="004A47DC" w:rsidRDefault="00E37C83" w:rsidP="00E37C83">
      <w:pPr>
        <w:pStyle w:val="TEKSTIII"/>
      </w:pPr>
      <w:r w:rsidRPr="00A73B3D">
        <w:t xml:space="preserve">- </w:t>
      </w:r>
      <w:r w:rsidR="004719D2" w:rsidRPr="00A73B3D">
        <w:t>Avokimi për rëndësinë</w:t>
      </w:r>
      <w:r w:rsidR="004719D2" w:rsidRPr="004A47DC">
        <w:t xml:space="preserve"> e reformave rregullatore në kohë për të arritur objektivat më të gjer</w:t>
      </w:r>
      <w:r w:rsidR="00056667" w:rsidRPr="004A47DC">
        <w:t>ë</w:t>
      </w:r>
      <w:r w:rsidR="004719D2" w:rsidRPr="004A47DC">
        <w:t xml:space="preserve"> të reformës së MFP</w:t>
      </w:r>
      <w:r w:rsidR="00352178" w:rsidRPr="004A47DC">
        <w:rPr>
          <w:color w:val="000000" w:themeColor="text1"/>
        </w:rPr>
        <w:t>-së</w:t>
      </w:r>
      <w:r w:rsidR="004719D2" w:rsidRPr="004A47DC">
        <w:t>.</w:t>
      </w:r>
    </w:p>
    <w:p w14:paraId="2C543E28" w14:textId="70967D76" w:rsidR="004719D2" w:rsidRPr="004A47DC" w:rsidRDefault="004719D2" w:rsidP="00E37C83">
      <w:pPr>
        <w:pStyle w:val="TEKSTIII"/>
      </w:pPr>
      <w:r w:rsidRPr="004A47DC">
        <w:rPr>
          <w:b/>
          <w:bCs/>
        </w:rPr>
        <w:t>Risqet financiare</w:t>
      </w:r>
      <w:r w:rsidRPr="004A47DC">
        <w:t xml:space="preserve"> - Burimet e kufizuara financiare mund të pengojnë zbatimin e reformave gjithëpërfshirëse të MFP</w:t>
      </w:r>
      <w:r w:rsidR="00352178" w:rsidRPr="004A47DC">
        <w:rPr>
          <w:color w:val="000000" w:themeColor="text1"/>
        </w:rPr>
        <w:t>-së</w:t>
      </w:r>
      <w:r w:rsidRPr="004A47DC">
        <w:t>. Për të zbutur këto risqe:</w:t>
      </w:r>
    </w:p>
    <w:p w14:paraId="36E14891" w14:textId="223B3517" w:rsidR="004719D2" w:rsidRPr="004A47DC" w:rsidRDefault="00E37C83" w:rsidP="00E37C83">
      <w:pPr>
        <w:pStyle w:val="TEKSTIII"/>
      </w:pPr>
      <w:r w:rsidRPr="004A47DC">
        <w:t xml:space="preserve">- </w:t>
      </w:r>
      <w:r w:rsidR="004719D2" w:rsidRPr="004A47DC">
        <w:t>Kryerja e një rishikimi të plotë të burimeve të nevojshme për zbatimin e tij;</w:t>
      </w:r>
    </w:p>
    <w:p w14:paraId="7BA9B9D0" w14:textId="220E8619" w:rsidR="004719D2" w:rsidRPr="004A47DC" w:rsidRDefault="00E37C83" w:rsidP="00E37C83">
      <w:pPr>
        <w:pStyle w:val="TEKSTIII"/>
      </w:pPr>
      <w:r w:rsidRPr="004A47DC">
        <w:t xml:space="preserve">- </w:t>
      </w:r>
      <w:r w:rsidR="004719D2" w:rsidRPr="004A47DC">
        <w:t>Marrja në konsideratë e një qasjeje të zbatimit me faza nëse është e nevojshme;</w:t>
      </w:r>
    </w:p>
    <w:p w14:paraId="394A6A48" w14:textId="3A2E6CBE" w:rsidR="004719D2" w:rsidRPr="004A47DC" w:rsidRDefault="00E37C83" w:rsidP="00E37C83">
      <w:pPr>
        <w:pStyle w:val="TEKSTIII"/>
      </w:pPr>
      <w:r w:rsidRPr="004A47DC">
        <w:t xml:space="preserve">- </w:t>
      </w:r>
      <w:r w:rsidR="004719D2" w:rsidRPr="004A47DC">
        <w:t>Eksplorimi i burimeve alternative të financimit, duke përfshirë financimin e donatorëve ndërkombëtarë.</w:t>
      </w:r>
    </w:p>
    <w:p w14:paraId="75DB829E" w14:textId="77777777" w:rsidR="004719D2" w:rsidRPr="004A47DC" w:rsidRDefault="004719D2" w:rsidP="00E37C83">
      <w:pPr>
        <w:pStyle w:val="TEKSTIII"/>
      </w:pPr>
      <w:r w:rsidRPr="004A47DC">
        <w:rPr>
          <w:b/>
          <w:bCs/>
        </w:rPr>
        <w:t>Risku teknologjik</w:t>
      </w:r>
      <w:r w:rsidRPr="004A47DC">
        <w:t xml:space="preserve"> - Ndërsa reformat e MFP-së mbështeten gjithnjë e më shumë në teknologji, risku i kërcënimeve të sigurisë kibernetike rritet. Për të zbutur këtë risk:</w:t>
      </w:r>
    </w:p>
    <w:p w14:paraId="012EDD1D" w14:textId="3639EFB3" w:rsidR="004719D2" w:rsidRPr="004A47DC" w:rsidRDefault="00E37C83" w:rsidP="00E37C83">
      <w:pPr>
        <w:pStyle w:val="TEKSTIII"/>
        <w:rPr>
          <w:rFonts w:eastAsia="Times New Roman"/>
        </w:rPr>
      </w:pPr>
      <w:r w:rsidRPr="004A47DC">
        <w:t xml:space="preserve">- </w:t>
      </w:r>
      <w:r w:rsidR="004719D2" w:rsidRPr="004A47DC">
        <w:t>Formulimi i një politike gjithëpërfshirëse të sigurisë kibernetike që përshkruan standardet, protokollet dhe udhëzimet për mbrojtjen e sistemeve të informacionit;</w:t>
      </w:r>
    </w:p>
    <w:p w14:paraId="7DE562CB" w14:textId="585816A5" w:rsidR="004719D2" w:rsidRPr="004A47DC" w:rsidRDefault="00E37C83" w:rsidP="00E37C83">
      <w:pPr>
        <w:pStyle w:val="TEKSTIII"/>
      </w:pPr>
      <w:r w:rsidRPr="004A47DC">
        <w:t xml:space="preserve">- </w:t>
      </w:r>
      <w:r w:rsidR="004719D2" w:rsidRPr="004A47DC">
        <w:t>Theksimi i monitorimit të vazhdueshëm dhe përshtatshmërinë ndaj kërcënimeve në zhvillim</w:t>
      </w:r>
      <w:r w:rsidR="00352178">
        <w:t>,</w:t>
      </w:r>
      <w:r w:rsidR="004719D2" w:rsidRPr="004A47DC">
        <w:t xml:space="preserve"> si komponentë thelbësorë të një plani të suksesshëm të sigurisë kibernetike.</w:t>
      </w:r>
    </w:p>
    <w:p w14:paraId="3D80AAA7" w14:textId="77777777" w:rsidR="004719D2" w:rsidRPr="004A47DC" w:rsidRDefault="004719D2" w:rsidP="00E37C83">
      <w:pPr>
        <w:pStyle w:val="TEKSTIII"/>
      </w:pPr>
      <w:r w:rsidRPr="004A47DC">
        <w:rPr>
          <w:b/>
          <w:bCs/>
        </w:rPr>
        <w:t>Risqet sociale</w:t>
      </w:r>
      <w:r w:rsidRPr="004A47DC">
        <w:t xml:space="preserve"> - Konsultimi dhe komunikimi i pamjaftueshëm me palët kryesore të interesit mund të çojë në rezistencë sociale ose keqkuptime. Për të zbutur këtë risk:</w:t>
      </w:r>
    </w:p>
    <w:p w14:paraId="0C1F8E0E" w14:textId="6F3F3761" w:rsidR="004719D2" w:rsidRPr="004A47DC" w:rsidRDefault="00E37C83" w:rsidP="00E37C83">
      <w:pPr>
        <w:pStyle w:val="TEKSTIII"/>
      </w:pPr>
      <w:r w:rsidRPr="004A47DC">
        <w:t xml:space="preserve">- </w:t>
      </w:r>
      <w:r w:rsidR="004719D2" w:rsidRPr="004A47DC">
        <w:t xml:space="preserve">Angazhimi gjerësisht i palëve të interesuara gjatë procesit të përgatitjes së </w:t>
      </w:r>
      <w:r w:rsidR="00352178">
        <w:t>s</w:t>
      </w:r>
      <w:r w:rsidR="004719D2" w:rsidRPr="004A47DC">
        <w:t>trategjisë së MFP-së dhe monitorimit të saj</w:t>
      </w:r>
      <w:r w:rsidR="00352178">
        <w:t>;</w:t>
      </w:r>
    </w:p>
    <w:p w14:paraId="31996A35" w14:textId="7AAD7C92" w:rsidR="004719D2" w:rsidRPr="004A47DC" w:rsidRDefault="00E37C83" w:rsidP="00E37C83">
      <w:pPr>
        <w:pStyle w:val="TEKSTIII"/>
      </w:pPr>
      <w:r w:rsidRPr="004A47DC">
        <w:t xml:space="preserve">- </w:t>
      </w:r>
      <w:r w:rsidR="004719D2" w:rsidRPr="004A47DC">
        <w:t xml:space="preserve">Vënia në dispozicion për publikut </w:t>
      </w:r>
      <w:r w:rsidR="00352178">
        <w:t>e</w:t>
      </w:r>
      <w:r w:rsidR="004719D2" w:rsidRPr="004A47DC">
        <w:t xml:space="preserve"> </w:t>
      </w:r>
      <w:r w:rsidR="00352178">
        <w:t xml:space="preserve">të </w:t>
      </w:r>
      <w:r w:rsidR="004719D2" w:rsidRPr="004A47DC">
        <w:t>gjitha raporte</w:t>
      </w:r>
      <w:r w:rsidR="00352178">
        <w:t>ve</w:t>
      </w:r>
      <w:r w:rsidR="004719D2" w:rsidRPr="004A47DC">
        <w:t xml:space="preserve"> </w:t>
      </w:r>
      <w:r w:rsidR="00352178">
        <w:t>të</w:t>
      </w:r>
      <w:r w:rsidR="004719D2" w:rsidRPr="004A47DC">
        <w:t xml:space="preserve"> monitorimit për të garantuar transparencë dhe për të nxitur besimin.</w:t>
      </w:r>
    </w:p>
    <w:p w14:paraId="4E8570C9" w14:textId="0E493C84" w:rsidR="004719D2" w:rsidRPr="004A47DC" w:rsidRDefault="004719D2" w:rsidP="00E37C83">
      <w:pPr>
        <w:pStyle w:val="TEKSTIII"/>
      </w:pPr>
      <w:r w:rsidRPr="004A47DC">
        <w:t xml:space="preserve">Tabela e mëposhtme thekson risqet e mundshme të parashikuara në fazën e përgatitjes së </w:t>
      </w:r>
      <w:r w:rsidR="00352178">
        <w:t>s</w:t>
      </w:r>
      <w:r w:rsidRPr="004A47DC">
        <w:t xml:space="preserve">trategjisë dhe do të përbëjë bazën për monitorimin e risqeve. </w:t>
      </w:r>
      <w:r w:rsidR="008D50DE" w:rsidRPr="004A47DC">
        <w:t>Liderët</w:t>
      </w:r>
      <w:r w:rsidRPr="004A47DC">
        <w:t xml:space="preserve"> e </w:t>
      </w:r>
      <w:r w:rsidR="008D50DE" w:rsidRPr="004A47DC">
        <w:t>s</w:t>
      </w:r>
      <w:r w:rsidRPr="004A47DC">
        <w:t>htyllave do të mbështesin KD-në për të siguruar që risqet monitorohen dhe masat zbutëse raportohen.</w:t>
      </w:r>
    </w:p>
    <w:p w14:paraId="70449D18" w14:textId="77777777" w:rsidR="004719D2" w:rsidRPr="004A47DC" w:rsidRDefault="004719D2" w:rsidP="004719D2">
      <w:pPr>
        <w:rPr>
          <w:rFonts w:ascii="Garamond" w:hAnsi="Garamond"/>
          <w:color w:val="000000" w:themeColor="text1"/>
        </w:rPr>
      </w:pPr>
    </w:p>
    <w:p w14:paraId="134B85E7" w14:textId="77777777" w:rsidR="004719D2" w:rsidRPr="00352178" w:rsidRDefault="004719D2" w:rsidP="004719D2">
      <w:pPr>
        <w:pStyle w:val="T-normal"/>
        <w:spacing w:line="240" w:lineRule="auto"/>
        <w:rPr>
          <w:rFonts w:ascii="Garamond" w:hAnsi="Garamond"/>
          <w:i/>
          <w:iCs/>
          <w:color w:val="000000" w:themeColor="text1"/>
          <w:sz w:val="20"/>
          <w:szCs w:val="20"/>
          <w:lang w:val="sq-AL"/>
        </w:rPr>
      </w:pPr>
      <w:r w:rsidRPr="00352178">
        <w:rPr>
          <w:rFonts w:ascii="Garamond" w:hAnsi="Garamond"/>
          <w:i/>
          <w:iCs/>
          <w:color w:val="000000" w:themeColor="text1"/>
          <w:sz w:val="20"/>
          <w:szCs w:val="20"/>
          <w:lang w:val="sq-AL"/>
        </w:rPr>
        <w:t>Tabela 3: Risqet kryesore të mundshme</w:t>
      </w:r>
    </w:p>
    <w:tbl>
      <w:tblPr>
        <w:tblStyle w:val="TableGrid"/>
        <w:tblW w:w="5000" w:type="pct"/>
        <w:jc w:val="center"/>
        <w:tblCellMar>
          <w:top w:w="28" w:type="dxa"/>
          <w:left w:w="85" w:type="dxa"/>
          <w:bottom w:w="28" w:type="dxa"/>
          <w:right w:w="85" w:type="dxa"/>
        </w:tblCellMar>
        <w:tblLook w:val="04A0" w:firstRow="1" w:lastRow="0" w:firstColumn="1" w:lastColumn="0" w:noHBand="0" w:noVBand="1"/>
      </w:tblPr>
      <w:tblGrid>
        <w:gridCol w:w="1120"/>
        <w:gridCol w:w="1328"/>
        <w:gridCol w:w="1115"/>
        <w:gridCol w:w="1006"/>
        <w:gridCol w:w="1257"/>
        <w:gridCol w:w="831"/>
        <w:gridCol w:w="1257"/>
        <w:gridCol w:w="1147"/>
      </w:tblGrid>
      <w:tr w:rsidR="004719D2" w:rsidRPr="004A47DC" w14:paraId="36DA1C55" w14:textId="77777777" w:rsidTr="008D50DE">
        <w:trPr>
          <w:cantSplit/>
          <w:trHeight w:val="53"/>
          <w:tblHeader/>
          <w:jc w:val="center"/>
        </w:trPr>
        <w:tc>
          <w:tcPr>
            <w:tcW w:w="2591" w:type="pct"/>
            <w:vMerge w:val="restart"/>
            <w:tcBorders>
              <w:top w:val="single" w:sz="4" w:space="0" w:color="auto"/>
              <w:left w:val="single" w:sz="4" w:space="0" w:color="auto"/>
              <w:bottom w:val="single" w:sz="4" w:space="0" w:color="auto"/>
              <w:right w:val="single" w:sz="4" w:space="0" w:color="auto"/>
            </w:tcBorders>
            <w:vAlign w:val="center"/>
          </w:tcPr>
          <w:p w14:paraId="535C9CD9"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Vlerësimi i riskut (probabiliteti dhe ndikimi):</w:t>
            </w:r>
          </w:p>
          <w:p w14:paraId="22FA17EF" w14:textId="77777777" w:rsidR="004719D2" w:rsidRPr="004A47DC" w:rsidRDefault="004719D2" w:rsidP="00CF7CEC">
            <w:pPr>
              <w:pStyle w:val="T-normal"/>
              <w:spacing w:line="240" w:lineRule="auto"/>
              <w:rPr>
                <w:rFonts w:ascii="Garamond" w:hAnsi="Garamond"/>
                <w:b/>
                <w:color w:val="000000" w:themeColor="text1"/>
                <w:lang w:val="sq-AL"/>
              </w:rPr>
            </w:pPr>
          </w:p>
          <w:p w14:paraId="6F750343"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L = Lartë</w:t>
            </w:r>
          </w:p>
          <w:p w14:paraId="770B2091" w14:textId="126FA4EE"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M= Moderuar</w:t>
            </w:r>
          </w:p>
          <w:p w14:paraId="00ED4501"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U = Ulët</w:t>
            </w:r>
          </w:p>
        </w:tc>
        <w:tc>
          <w:tcPr>
            <w:tcW w:w="2409" w:type="pct"/>
            <w:gridSpan w:val="7"/>
            <w:tcBorders>
              <w:top w:val="single" w:sz="4" w:space="0" w:color="auto"/>
              <w:left w:val="single" w:sz="4" w:space="0" w:color="auto"/>
              <w:bottom w:val="single" w:sz="4" w:space="0" w:color="auto"/>
              <w:right w:val="single" w:sz="4" w:space="0" w:color="auto"/>
            </w:tcBorders>
            <w:vAlign w:val="center"/>
          </w:tcPr>
          <w:p w14:paraId="297CE140" w14:textId="77777777" w:rsidR="004719D2" w:rsidRPr="004A47DC" w:rsidRDefault="004719D2" w:rsidP="00CF7CEC">
            <w:pPr>
              <w:pStyle w:val="T-normal"/>
              <w:spacing w:line="240" w:lineRule="auto"/>
              <w:jc w:val="center"/>
              <w:rPr>
                <w:rFonts w:ascii="Garamond" w:hAnsi="Garamond"/>
                <w:b/>
                <w:color w:val="000000" w:themeColor="text1"/>
                <w:lang w:val="sq-AL"/>
              </w:rPr>
            </w:pPr>
            <w:r w:rsidRPr="004A47DC">
              <w:rPr>
                <w:rFonts w:ascii="Garamond" w:hAnsi="Garamond"/>
                <w:b/>
                <w:color w:val="000000" w:themeColor="text1"/>
                <w:lang w:val="sq-AL"/>
              </w:rPr>
              <w:t>Faktorët kryesorë të riskut</w:t>
            </w:r>
          </w:p>
        </w:tc>
      </w:tr>
      <w:tr w:rsidR="004719D2" w:rsidRPr="004A47DC" w14:paraId="0C8ED09B" w14:textId="77777777" w:rsidTr="008D50DE">
        <w:trPr>
          <w:cantSplit/>
          <w:trHeight w:val="1982"/>
          <w:tblHeader/>
          <w:jc w:val="center"/>
        </w:trPr>
        <w:tc>
          <w:tcPr>
            <w:tcW w:w="2591" w:type="pct"/>
            <w:vMerge/>
            <w:tcBorders>
              <w:top w:val="single" w:sz="4" w:space="0" w:color="auto"/>
              <w:left w:val="single" w:sz="4" w:space="0" w:color="auto"/>
              <w:bottom w:val="single" w:sz="4" w:space="0" w:color="auto"/>
              <w:right w:val="single" w:sz="4" w:space="0" w:color="auto"/>
            </w:tcBorders>
            <w:vAlign w:val="center"/>
            <w:hideMark/>
          </w:tcPr>
          <w:p w14:paraId="687DC42D" w14:textId="77777777" w:rsidR="004719D2" w:rsidRPr="004A47DC" w:rsidRDefault="004719D2" w:rsidP="00CF7CEC">
            <w:pPr>
              <w:pStyle w:val="T-normal"/>
              <w:spacing w:line="240" w:lineRule="auto"/>
              <w:rPr>
                <w:rFonts w:ascii="Garamond" w:hAnsi="Garamond"/>
                <w:b/>
                <w:color w:val="000000" w:themeColor="text1"/>
                <w:lang w:val="sq-AL"/>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3BDBEC08"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Ndryshime të vonuara ligjore/rregullative</w:t>
            </w:r>
          </w:p>
        </w:tc>
        <w:tc>
          <w:tcPr>
            <w:tcW w:w="344" w:type="pct"/>
            <w:tcBorders>
              <w:top w:val="single" w:sz="4" w:space="0" w:color="auto"/>
              <w:left w:val="single" w:sz="4" w:space="0" w:color="auto"/>
              <w:bottom w:val="single" w:sz="4" w:space="0" w:color="auto"/>
              <w:right w:val="single" w:sz="4" w:space="0" w:color="auto"/>
            </w:tcBorders>
            <w:vAlign w:val="center"/>
            <w:hideMark/>
          </w:tcPr>
          <w:p w14:paraId="7EFAC824"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Sigurimi i pamjaftueshëm financiar</w:t>
            </w:r>
          </w:p>
        </w:tc>
        <w:tc>
          <w:tcPr>
            <w:tcW w:w="412" w:type="pct"/>
            <w:tcBorders>
              <w:top w:val="single" w:sz="4" w:space="0" w:color="auto"/>
              <w:left w:val="single" w:sz="4" w:space="0" w:color="auto"/>
              <w:bottom w:val="single" w:sz="4" w:space="0" w:color="auto"/>
              <w:right w:val="single" w:sz="4" w:space="0" w:color="auto"/>
            </w:tcBorders>
            <w:vAlign w:val="center"/>
            <w:hideMark/>
          </w:tcPr>
          <w:p w14:paraId="75DD1A17"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Zhvillimi jo i qëndrueshëm i kapaciteteve të burimeve njerëzore</w:t>
            </w:r>
          </w:p>
        </w:tc>
        <w:tc>
          <w:tcPr>
            <w:tcW w:w="400" w:type="pct"/>
            <w:tcBorders>
              <w:top w:val="single" w:sz="4" w:space="0" w:color="auto"/>
              <w:left w:val="single" w:sz="4" w:space="0" w:color="auto"/>
              <w:bottom w:val="single" w:sz="4" w:space="0" w:color="auto"/>
              <w:right w:val="single" w:sz="4" w:space="0" w:color="auto"/>
            </w:tcBorders>
            <w:vAlign w:val="center"/>
            <w:hideMark/>
          </w:tcPr>
          <w:p w14:paraId="3E3EDEDD" w14:textId="39C5371B"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 xml:space="preserve">Disponueshmëria e pamjaftueshme e </w:t>
            </w:r>
            <w:r w:rsidR="008D50DE" w:rsidRPr="004A47DC">
              <w:rPr>
                <w:rFonts w:ascii="Garamond" w:hAnsi="Garamond"/>
                <w:b/>
                <w:color w:val="000000" w:themeColor="text1"/>
                <w:lang w:val="sq-AL"/>
              </w:rPr>
              <w:t>burimeve njerëzore</w:t>
            </w:r>
          </w:p>
        </w:tc>
        <w:tc>
          <w:tcPr>
            <w:tcW w:w="300" w:type="pct"/>
            <w:tcBorders>
              <w:top w:val="single" w:sz="4" w:space="0" w:color="auto"/>
              <w:left w:val="single" w:sz="4" w:space="0" w:color="auto"/>
              <w:bottom w:val="single" w:sz="4" w:space="0" w:color="auto"/>
              <w:right w:val="single" w:sz="4" w:space="0" w:color="auto"/>
            </w:tcBorders>
            <w:vAlign w:val="center"/>
            <w:hideMark/>
          </w:tcPr>
          <w:p w14:paraId="0CF89D87" w14:textId="77777777"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Sfidat e zhvillimit të TI-së ose prokurimit</w:t>
            </w:r>
          </w:p>
        </w:tc>
        <w:tc>
          <w:tcPr>
            <w:tcW w:w="300" w:type="pct"/>
            <w:tcBorders>
              <w:top w:val="single" w:sz="4" w:space="0" w:color="auto"/>
              <w:left w:val="single" w:sz="4" w:space="0" w:color="auto"/>
              <w:bottom w:val="single" w:sz="4" w:space="0" w:color="auto"/>
              <w:right w:val="single" w:sz="4" w:space="0" w:color="auto"/>
            </w:tcBorders>
            <w:vAlign w:val="center"/>
            <w:hideMark/>
          </w:tcPr>
          <w:p w14:paraId="38C00455" w14:textId="6016F4EF"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Disponueshmëria në kohë e AT /mbështetjes</w:t>
            </w:r>
          </w:p>
        </w:tc>
        <w:tc>
          <w:tcPr>
            <w:tcW w:w="311" w:type="pct"/>
            <w:tcBorders>
              <w:top w:val="single" w:sz="4" w:space="0" w:color="auto"/>
              <w:left w:val="single" w:sz="4" w:space="0" w:color="auto"/>
              <w:bottom w:val="single" w:sz="4" w:space="0" w:color="auto"/>
              <w:right w:val="single" w:sz="4" w:space="0" w:color="auto"/>
            </w:tcBorders>
            <w:vAlign w:val="center"/>
            <w:hideMark/>
          </w:tcPr>
          <w:p w14:paraId="397304E0" w14:textId="47104BFA" w:rsidR="004719D2" w:rsidRPr="004A47DC" w:rsidRDefault="004719D2" w:rsidP="00CF7CEC">
            <w:pPr>
              <w:pStyle w:val="T-normal"/>
              <w:spacing w:line="240" w:lineRule="auto"/>
              <w:rPr>
                <w:rFonts w:ascii="Garamond" w:hAnsi="Garamond"/>
                <w:b/>
                <w:color w:val="000000" w:themeColor="text1"/>
                <w:lang w:val="sq-AL"/>
              </w:rPr>
            </w:pPr>
            <w:r w:rsidRPr="004A47DC">
              <w:rPr>
                <w:rFonts w:ascii="Garamond" w:hAnsi="Garamond"/>
                <w:b/>
                <w:color w:val="000000" w:themeColor="text1"/>
                <w:lang w:val="sq-AL"/>
              </w:rPr>
              <w:t xml:space="preserve">Koordinim </w:t>
            </w:r>
            <w:r w:rsidR="008D50DE" w:rsidRPr="004A47DC">
              <w:rPr>
                <w:rFonts w:ascii="Garamond" w:hAnsi="Garamond"/>
                <w:b/>
                <w:color w:val="000000" w:themeColor="text1"/>
                <w:lang w:val="sq-AL"/>
              </w:rPr>
              <w:t>i</w:t>
            </w:r>
            <w:r w:rsidRPr="004A47DC">
              <w:rPr>
                <w:rFonts w:ascii="Garamond" w:hAnsi="Garamond"/>
                <w:b/>
                <w:color w:val="000000" w:themeColor="text1"/>
                <w:lang w:val="sq-AL"/>
              </w:rPr>
              <w:t xml:space="preserve"> papërshtatshëm</w:t>
            </w:r>
          </w:p>
        </w:tc>
      </w:tr>
      <w:tr w:rsidR="004719D2" w:rsidRPr="004A47DC" w14:paraId="4A33C161"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DE58BDF" w14:textId="6BBF50AF"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Shtylla 1</w:t>
            </w:r>
            <w:r w:rsidR="00352178">
              <w:rPr>
                <w:rFonts w:ascii="Garamond" w:hAnsi="Garamond"/>
                <w:color w:val="000000" w:themeColor="text1"/>
                <w:lang w:val="sq-AL"/>
              </w:rPr>
              <w:t>:</w:t>
            </w:r>
            <w:r w:rsidRPr="004A47DC">
              <w:rPr>
                <w:rFonts w:ascii="Garamond" w:hAnsi="Garamond"/>
                <w:color w:val="000000" w:themeColor="text1"/>
                <w:lang w:val="sq-AL"/>
              </w:rPr>
              <w:t xml:space="preserve"> Programimi Makroekonomik dhe Monitorimi i Riskut</w:t>
            </w:r>
          </w:p>
        </w:tc>
      </w:tr>
      <w:tr w:rsidR="004719D2" w:rsidRPr="004A47DC" w14:paraId="2D3E3BB4"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3E8E7823"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1.1 Programimi makroekonomik i matur dhe realist</w:t>
            </w:r>
          </w:p>
        </w:tc>
        <w:tc>
          <w:tcPr>
            <w:tcW w:w="344" w:type="pct"/>
            <w:tcBorders>
              <w:top w:val="single" w:sz="4" w:space="0" w:color="auto"/>
              <w:left w:val="single" w:sz="4" w:space="0" w:color="auto"/>
              <w:bottom w:val="single" w:sz="4" w:space="0" w:color="auto"/>
              <w:right w:val="single" w:sz="4" w:space="0" w:color="auto"/>
            </w:tcBorders>
          </w:tcPr>
          <w:p w14:paraId="7AA39EA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720A082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412" w:type="pct"/>
            <w:tcBorders>
              <w:top w:val="single" w:sz="4" w:space="0" w:color="auto"/>
              <w:left w:val="single" w:sz="4" w:space="0" w:color="auto"/>
              <w:bottom w:val="single" w:sz="4" w:space="0" w:color="auto"/>
              <w:right w:val="single" w:sz="4" w:space="0" w:color="auto"/>
            </w:tcBorders>
          </w:tcPr>
          <w:p w14:paraId="05E8269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hideMark/>
          </w:tcPr>
          <w:p w14:paraId="361C9DD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hideMark/>
          </w:tcPr>
          <w:p w14:paraId="02E0CD3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052CF3E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289668C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761D4A88"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4785336E" w14:textId="39CDFBFA"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1.2 Krijimi i një </w:t>
            </w:r>
            <w:r w:rsidR="00352178" w:rsidRPr="004A47DC">
              <w:rPr>
                <w:rFonts w:ascii="Garamond" w:hAnsi="Garamond"/>
                <w:color w:val="000000" w:themeColor="text1"/>
                <w:lang w:val="sq-AL"/>
              </w:rPr>
              <w:t xml:space="preserve">analize gjithëpërfshirëse të qëndrueshmërisë së borxhit </w:t>
            </w:r>
          </w:p>
        </w:tc>
        <w:tc>
          <w:tcPr>
            <w:tcW w:w="344" w:type="pct"/>
            <w:tcBorders>
              <w:top w:val="single" w:sz="4" w:space="0" w:color="auto"/>
              <w:left w:val="single" w:sz="4" w:space="0" w:color="auto"/>
              <w:bottom w:val="single" w:sz="4" w:space="0" w:color="auto"/>
              <w:right w:val="single" w:sz="4" w:space="0" w:color="auto"/>
            </w:tcBorders>
          </w:tcPr>
          <w:p w14:paraId="5C12ECA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5D0D6AD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66C82EA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28B22B7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63923B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691B9D2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636A0A6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3422C912"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5CC14A0D" w14:textId="7203CB31"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1.3 Menaxhimi i </w:t>
            </w:r>
            <w:r w:rsidR="00352178" w:rsidRPr="004A47DC">
              <w:rPr>
                <w:rFonts w:ascii="Garamond" w:hAnsi="Garamond"/>
                <w:color w:val="000000" w:themeColor="text1"/>
                <w:lang w:val="sq-AL"/>
              </w:rPr>
              <w:t>risqeve fiskale</w:t>
            </w:r>
          </w:p>
        </w:tc>
        <w:tc>
          <w:tcPr>
            <w:tcW w:w="344" w:type="pct"/>
            <w:tcBorders>
              <w:top w:val="single" w:sz="4" w:space="0" w:color="auto"/>
              <w:left w:val="single" w:sz="4" w:space="0" w:color="auto"/>
              <w:bottom w:val="single" w:sz="4" w:space="0" w:color="auto"/>
              <w:right w:val="single" w:sz="4" w:space="0" w:color="auto"/>
            </w:tcBorders>
          </w:tcPr>
          <w:p w14:paraId="7E42BE4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618B40D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412" w:type="pct"/>
            <w:tcBorders>
              <w:top w:val="single" w:sz="4" w:space="0" w:color="auto"/>
              <w:left w:val="single" w:sz="4" w:space="0" w:color="auto"/>
              <w:bottom w:val="single" w:sz="4" w:space="0" w:color="auto"/>
              <w:right w:val="single" w:sz="4" w:space="0" w:color="auto"/>
            </w:tcBorders>
          </w:tcPr>
          <w:p w14:paraId="3642C8F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3B24EEF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12F16DC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530C32A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1600B4B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02D33E51"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35888E88"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1.4 Këshilli Fiskal</w:t>
            </w:r>
          </w:p>
        </w:tc>
        <w:tc>
          <w:tcPr>
            <w:tcW w:w="344" w:type="pct"/>
            <w:tcBorders>
              <w:top w:val="single" w:sz="4" w:space="0" w:color="auto"/>
              <w:left w:val="single" w:sz="4" w:space="0" w:color="auto"/>
              <w:bottom w:val="single" w:sz="4" w:space="0" w:color="auto"/>
              <w:right w:val="single" w:sz="4" w:space="0" w:color="auto"/>
            </w:tcBorders>
          </w:tcPr>
          <w:p w14:paraId="52D0CCD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44" w:type="pct"/>
            <w:tcBorders>
              <w:top w:val="single" w:sz="4" w:space="0" w:color="auto"/>
              <w:left w:val="single" w:sz="4" w:space="0" w:color="auto"/>
              <w:bottom w:val="single" w:sz="4" w:space="0" w:color="auto"/>
              <w:right w:val="single" w:sz="4" w:space="0" w:color="auto"/>
            </w:tcBorders>
          </w:tcPr>
          <w:p w14:paraId="2F4E973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750AF2C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40110DD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tcPr>
          <w:p w14:paraId="694DD96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6A9B64B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6673C82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13050B4D"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D0A6657" w14:textId="48E9F0F4"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Shtylla 2: Planifikimi i </w:t>
            </w:r>
            <w:r w:rsidR="00610D03" w:rsidRPr="004A47DC">
              <w:rPr>
                <w:rFonts w:ascii="Garamond" w:hAnsi="Garamond"/>
                <w:color w:val="000000" w:themeColor="text1"/>
                <w:lang w:val="sq-AL"/>
              </w:rPr>
              <w:t>Integruar Strategjik dhe Buxhetor, Monitorimi dhe Raportimi Transparent</w:t>
            </w:r>
          </w:p>
        </w:tc>
      </w:tr>
      <w:tr w:rsidR="004719D2" w:rsidRPr="004A47DC" w14:paraId="6144F316"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438F3E8C" w14:textId="1B801566"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2.1 Planifikimi </w:t>
            </w:r>
            <w:r w:rsidR="00352178" w:rsidRPr="004A47DC">
              <w:rPr>
                <w:rFonts w:ascii="Garamond" w:hAnsi="Garamond"/>
                <w:color w:val="000000" w:themeColor="text1"/>
                <w:lang w:val="sq-AL"/>
              </w:rPr>
              <w:t>strategjik i integru</w:t>
            </w:r>
            <w:r w:rsidRPr="004A47DC">
              <w:rPr>
                <w:rFonts w:ascii="Garamond" w:hAnsi="Garamond"/>
                <w:color w:val="000000" w:themeColor="text1"/>
                <w:lang w:val="sq-AL"/>
              </w:rPr>
              <w:t>ar</w:t>
            </w:r>
          </w:p>
        </w:tc>
        <w:tc>
          <w:tcPr>
            <w:tcW w:w="344" w:type="pct"/>
            <w:tcBorders>
              <w:top w:val="single" w:sz="4" w:space="0" w:color="auto"/>
              <w:left w:val="single" w:sz="4" w:space="0" w:color="auto"/>
              <w:bottom w:val="single" w:sz="4" w:space="0" w:color="auto"/>
              <w:right w:val="single" w:sz="4" w:space="0" w:color="auto"/>
            </w:tcBorders>
            <w:hideMark/>
          </w:tcPr>
          <w:p w14:paraId="695F55D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tcPr>
          <w:p w14:paraId="096C7F1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412" w:type="pct"/>
            <w:tcBorders>
              <w:top w:val="single" w:sz="4" w:space="0" w:color="auto"/>
              <w:left w:val="single" w:sz="4" w:space="0" w:color="auto"/>
              <w:bottom w:val="single" w:sz="4" w:space="0" w:color="auto"/>
              <w:right w:val="single" w:sz="4" w:space="0" w:color="auto"/>
            </w:tcBorders>
          </w:tcPr>
          <w:p w14:paraId="2255078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330E7BE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hideMark/>
          </w:tcPr>
          <w:p w14:paraId="4DB4B0D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tcPr>
          <w:p w14:paraId="27F163C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hideMark/>
          </w:tcPr>
          <w:p w14:paraId="728E89A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r>
      <w:tr w:rsidR="004719D2" w:rsidRPr="004A47DC" w14:paraId="01B47263"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2D2E7E37" w14:textId="17B5AA09"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2.2 Planifikimi </w:t>
            </w:r>
            <w:r w:rsidR="00352178" w:rsidRPr="004A47DC">
              <w:rPr>
                <w:rFonts w:ascii="Garamond" w:hAnsi="Garamond"/>
                <w:color w:val="000000" w:themeColor="text1"/>
                <w:lang w:val="sq-AL"/>
              </w:rPr>
              <w:t>buxhetor afatme</w:t>
            </w:r>
            <w:r w:rsidRPr="004A47DC">
              <w:rPr>
                <w:rFonts w:ascii="Garamond" w:hAnsi="Garamond"/>
                <w:color w:val="000000" w:themeColor="text1"/>
                <w:lang w:val="sq-AL"/>
              </w:rPr>
              <w:t>sëm</w:t>
            </w:r>
          </w:p>
        </w:tc>
        <w:tc>
          <w:tcPr>
            <w:tcW w:w="344" w:type="pct"/>
            <w:tcBorders>
              <w:top w:val="single" w:sz="4" w:space="0" w:color="auto"/>
              <w:left w:val="single" w:sz="4" w:space="0" w:color="auto"/>
              <w:bottom w:val="single" w:sz="4" w:space="0" w:color="auto"/>
              <w:right w:val="single" w:sz="4" w:space="0" w:color="auto"/>
            </w:tcBorders>
          </w:tcPr>
          <w:p w14:paraId="6BACDB0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615C37B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29D372E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2FEAE91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hideMark/>
          </w:tcPr>
          <w:p w14:paraId="61FC2E6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hideMark/>
          </w:tcPr>
          <w:p w14:paraId="228C2D1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76AA636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59A235D1"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0294FF22" w14:textId="798EF262"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2.3 Menaxhimi i </w:t>
            </w:r>
            <w:r w:rsidR="00352178" w:rsidRPr="004A47DC">
              <w:rPr>
                <w:rFonts w:ascii="Garamond" w:hAnsi="Garamond"/>
                <w:color w:val="000000" w:themeColor="text1"/>
                <w:lang w:val="sq-AL"/>
              </w:rPr>
              <w:t>investimeve publike</w:t>
            </w:r>
          </w:p>
        </w:tc>
        <w:tc>
          <w:tcPr>
            <w:tcW w:w="344" w:type="pct"/>
            <w:tcBorders>
              <w:top w:val="single" w:sz="4" w:space="0" w:color="auto"/>
              <w:left w:val="single" w:sz="4" w:space="0" w:color="auto"/>
              <w:bottom w:val="single" w:sz="4" w:space="0" w:color="auto"/>
              <w:right w:val="single" w:sz="4" w:space="0" w:color="auto"/>
            </w:tcBorders>
            <w:hideMark/>
          </w:tcPr>
          <w:p w14:paraId="290C738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tcPr>
          <w:p w14:paraId="5DB9BB8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12" w:type="pct"/>
            <w:tcBorders>
              <w:top w:val="single" w:sz="4" w:space="0" w:color="auto"/>
              <w:left w:val="single" w:sz="4" w:space="0" w:color="auto"/>
              <w:bottom w:val="single" w:sz="4" w:space="0" w:color="auto"/>
              <w:right w:val="single" w:sz="4" w:space="0" w:color="auto"/>
            </w:tcBorders>
          </w:tcPr>
          <w:p w14:paraId="395C6EB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00" w:type="pct"/>
            <w:tcBorders>
              <w:top w:val="single" w:sz="4" w:space="0" w:color="auto"/>
              <w:left w:val="single" w:sz="4" w:space="0" w:color="auto"/>
              <w:bottom w:val="single" w:sz="4" w:space="0" w:color="auto"/>
              <w:right w:val="single" w:sz="4" w:space="0" w:color="auto"/>
            </w:tcBorders>
          </w:tcPr>
          <w:p w14:paraId="2A10CE5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61C94B6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025EA02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0333146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52CE9E23"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3EF77C92" w14:textId="4BA70E5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2.4 Financat </w:t>
            </w:r>
            <w:r w:rsidR="00352178" w:rsidRPr="004A47DC">
              <w:rPr>
                <w:rFonts w:ascii="Garamond" w:hAnsi="Garamond"/>
                <w:color w:val="000000" w:themeColor="text1"/>
                <w:lang w:val="sq-AL"/>
              </w:rPr>
              <w:t>vendore</w:t>
            </w:r>
          </w:p>
        </w:tc>
        <w:tc>
          <w:tcPr>
            <w:tcW w:w="344" w:type="pct"/>
            <w:tcBorders>
              <w:top w:val="single" w:sz="4" w:space="0" w:color="auto"/>
              <w:left w:val="single" w:sz="4" w:space="0" w:color="auto"/>
              <w:bottom w:val="single" w:sz="4" w:space="0" w:color="auto"/>
              <w:right w:val="single" w:sz="4" w:space="0" w:color="auto"/>
            </w:tcBorders>
          </w:tcPr>
          <w:p w14:paraId="3772C39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48C5FD1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6E8B9D5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00" w:type="pct"/>
            <w:tcBorders>
              <w:top w:val="single" w:sz="4" w:space="0" w:color="auto"/>
              <w:left w:val="single" w:sz="4" w:space="0" w:color="auto"/>
              <w:bottom w:val="single" w:sz="4" w:space="0" w:color="auto"/>
              <w:right w:val="single" w:sz="4" w:space="0" w:color="auto"/>
            </w:tcBorders>
          </w:tcPr>
          <w:p w14:paraId="7D201D1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hideMark/>
          </w:tcPr>
          <w:p w14:paraId="54082F2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905CF7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4EF61D4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r>
      <w:tr w:rsidR="004719D2" w:rsidRPr="004A47DC" w14:paraId="7F2ECB0E"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5B958106" w14:textId="505FFD79"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2.5 Raportimi dhe </w:t>
            </w:r>
            <w:r w:rsidR="00352178" w:rsidRPr="004A47DC">
              <w:rPr>
                <w:rFonts w:ascii="Garamond" w:hAnsi="Garamond"/>
                <w:color w:val="000000" w:themeColor="text1"/>
                <w:lang w:val="sq-AL"/>
              </w:rPr>
              <w:t>monitorimi i zbatimit të buxhetit</w:t>
            </w:r>
          </w:p>
        </w:tc>
        <w:tc>
          <w:tcPr>
            <w:tcW w:w="344" w:type="pct"/>
            <w:tcBorders>
              <w:top w:val="single" w:sz="4" w:space="0" w:color="auto"/>
              <w:left w:val="single" w:sz="4" w:space="0" w:color="auto"/>
              <w:bottom w:val="single" w:sz="4" w:space="0" w:color="auto"/>
              <w:right w:val="single" w:sz="4" w:space="0" w:color="auto"/>
            </w:tcBorders>
          </w:tcPr>
          <w:p w14:paraId="1183BAF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05A966C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4ED7FB1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00" w:type="pct"/>
            <w:tcBorders>
              <w:top w:val="single" w:sz="4" w:space="0" w:color="auto"/>
              <w:left w:val="single" w:sz="4" w:space="0" w:color="auto"/>
              <w:bottom w:val="single" w:sz="4" w:space="0" w:color="auto"/>
              <w:right w:val="single" w:sz="4" w:space="0" w:color="auto"/>
            </w:tcBorders>
          </w:tcPr>
          <w:p w14:paraId="4EC785C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765066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9B2893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3146AB8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0803765C"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130CBB3"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Shtylla 3: Menaxhimi dhe Mobilizimi i të Ardhurave</w:t>
            </w:r>
          </w:p>
        </w:tc>
      </w:tr>
      <w:tr w:rsidR="004719D2" w:rsidRPr="004A47DC" w14:paraId="3313A2A2"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07E06338" w14:textId="3DA8DC03"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3.1 Menaxhimi i </w:t>
            </w:r>
            <w:r w:rsidR="00352178" w:rsidRPr="004A47DC">
              <w:rPr>
                <w:rFonts w:ascii="Garamond" w:hAnsi="Garamond"/>
                <w:color w:val="000000" w:themeColor="text1"/>
                <w:lang w:val="sq-AL"/>
              </w:rPr>
              <w:t>taksave</w:t>
            </w:r>
          </w:p>
        </w:tc>
        <w:tc>
          <w:tcPr>
            <w:tcW w:w="344" w:type="pct"/>
            <w:tcBorders>
              <w:top w:val="single" w:sz="4" w:space="0" w:color="auto"/>
              <w:left w:val="single" w:sz="4" w:space="0" w:color="auto"/>
              <w:bottom w:val="single" w:sz="4" w:space="0" w:color="auto"/>
              <w:right w:val="single" w:sz="4" w:space="0" w:color="auto"/>
            </w:tcBorders>
            <w:vAlign w:val="center"/>
          </w:tcPr>
          <w:p w14:paraId="464B0CD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vAlign w:val="center"/>
          </w:tcPr>
          <w:p w14:paraId="4839A35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12" w:type="pct"/>
            <w:tcBorders>
              <w:top w:val="single" w:sz="4" w:space="0" w:color="auto"/>
              <w:left w:val="single" w:sz="4" w:space="0" w:color="auto"/>
              <w:bottom w:val="single" w:sz="4" w:space="0" w:color="auto"/>
              <w:right w:val="single" w:sz="4" w:space="0" w:color="auto"/>
            </w:tcBorders>
            <w:vAlign w:val="center"/>
          </w:tcPr>
          <w:p w14:paraId="663B789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vAlign w:val="center"/>
          </w:tcPr>
          <w:p w14:paraId="128E706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7D7C068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1A1419D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vAlign w:val="center"/>
          </w:tcPr>
          <w:p w14:paraId="103096B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12B3FA2B"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1352EFC1" w14:textId="1777F506"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3.2 Menaxhimi i </w:t>
            </w:r>
            <w:r w:rsidR="00352178" w:rsidRPr="004A47DC">
              <w:rPr>
                <w:rFonts w:ascii="Garamond" w:hAnsi="Garamond"/>
                <w:color w:val="000000" w:themeColor="text1"/>
                <w:lang w:val="sq-AL"/>
              </w:rPr>
              <w:t>taksës së pasuri</w:t>
            </w:r>
            <w:r w:rsidRPr="004A47DC">
              <w:rPr>
                <w:rFonts w:ascii="Garamond" w:hAnsi="Garamond"/>
                <w:color w:val="000000" w:themeColor="text1"/>
                <w:lang w:val="sq-AL"/>
              </w:rPr>
              <w:t>së</w:t>
            </w:r>
          </w:p>
        </w:tc>
        <w:tc>
          <w:tcPr>
            <w:tcW w:w="344" w:type="pct"/>
            <w:tcBorders>
              <w:top w:val="single" w:sz="4" w:space="0" w:color="auto"/>
              <w:left w:val="single" w:sz="4" w:space="0" w:color="auto"/>
              <w:bottom w:val="single" w:sz="4" w:space="0" w:color="auto"/>
              <w:right w:val="single" w:sz="4" w:space="0" w:color="auto"/>
            </w:tcBorders>
            <w:vAlign w:val="center"/>
          </w:tcPr>
          <w:p w14:paraId="6FC47CD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vAlign w:val="center"/>
          </w:tcPr>
          <w:p w14:paraId="5FF6AAC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12" w:type="pct"/>
            <w:tcBorders>
              <w:top w:val="single" w:sz="4" w:space="0" w:color="auto"/>
              <w:left w:val="single" w:sz="4" w:space="0" w:color="auto"/>
              <w:bottom w:val="single" w:sz="4" w:space="0" w:color="auto"/>
              <w:right w:val="single" w:sz="4" w:space="0" w:color="auto"/>
            </w:tcBorders>
            <w:vAlign w:val="center"/>
          </w:tcPr>
          <w:p w14:paraId="1503AB8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vAlign w:val="center"/>
          </w:tcPr>
          <w:p w14:paraId="48D83C3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2A8A486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16090D3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vAlign w:val="center"/>
          </w:tcPr>
          <w:p w14:paraId="744B958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r>
      <w:tr w:rsidR="004719D2" w:rsidRPr="004A47DC" w14:paraId="69BF08B8"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1D90F800" w14:textId="037F65FA"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3.3 Menaxhimi </w:t>
            </w:r>
            <w:r w:rsidR="00352178" w:rsidRPr="004A47DC">
              <w:rPr>
                <w:rFonts w:ascii="Garamond" w:hAnsi="Garamond"/>
                <w:color w:val="000000" w:themeColor="text1"/>
                <w:lang w:val="sq-AL"/>
              </w:rPr>
              <w:t>doganor</w:t>
            </w:r>
          </w:p>
        </w:tc>
        <w:tc>
          <w:tcPr>
            <w:tcW w:w="344" w:type="pct"/>
            <w:tcBorders>
              <w:top w:val="single" w:sz="4" w:space="0" w:color="auto"/>
              <w:left w:val="single" w:sz="4" w:space="0" w:color="auto"/>
              <w:bottom w:val="single" w:sz="4" w:space="0" w:color="auto"/>
              <w:right w:val="single" w:sz="4" w:space="0" w:color="auto"/>
            </w:tcBorders>
            <w:vAlign w:val="center"/>
          </w:tcPr>
          <w:p w14:paraId="5D86CA3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vAlign w:val="center"/>
          </w:tcPr>
          <w:p w14:paraId="1707FB3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412" w:type="pct"/>
            <w:tcBorders>
              <w:top w:val="single" w:sz="4" w:space="0" w:color="auto"/>
              <w:left w:val="single" w:sz="4" w:space="0" w:color="auto"/>
              <w:bottom w:val="single" w:sz="4" w:space="0" w:color="auto"/>
              <w:right w:val="single" w:sz="4" w:space="0" w:color="auto"/>
            </w:tcBorders>
            <w:vAlign w:val="center"/>
          </w:tcPr>
          <w:p w14:paraId="283C598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vAlign w:val="center"/>
          </w:tcPr>
          <w:p w14:paraId="2E43318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62D0360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vAlign w:val="center"/>
          </w:tcPr>
          <w:p w14:paraId="68B57B8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vAlign w:val="center"/>
          </w:tcPr>
          <w:p w14:paraId="1551448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03E58B2B"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0BE6996"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Shtylla 4: Kontabiliteti dhe Menaxhimi i Zbatimit të Buxhetit</w:t>
            </w:r>
          </w:p>
        </w:tc>
      </w:tr>
      <w:tr w:rsidR="004719D2" w:rsidRPr="004A47DC" w14:paraId="4EF42454"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1818A4C6" w14:textId="139783E8"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4.1 Llogaritë </w:t>
            </w:r>
            <w:r w:rsidR="00352178" w:rsidRPr="004A47DC">
              <w:rPr>
                <w:rFonts w:ascii="Garamond" w:hAnsi="Garamond"/>
                <w:color w:val="000000" w:themeColor="text1"/>
                <w:lang w:val="sq-AL"/>
              </w:rPr>
              <w:t xml:space="preserve">kombëtare </w:t>
            </w:r>
            <w:r w:rsidRPr="004A47DC">
              <w:rPr>
                <w:rFonts w:ascii="Garamond" w:hAnsi="Garamond"/>
                <w:color w:val="000000" w:themeColor="text1"/>
                <w:lang w:val="sq-AL"/>
              </w:rPr>
              <w:t xml:space="preserve">të </w:t>
            </w:r>
            <w:r w:rsidR="00352178" w:rsidRPr="004A47DC">
              <w:rPr>
                <w:rFonts w:ascii="Garamond" w:hAnsi="Garamond"/>
                <w:color w:val="000000" w:themeColor="text1"/>
                <w:lang w:val="sq-AL"/>
              </w:rPr>
              <w:t xml:space="preserve">qeverisë </w:t>
            </w:r>
          </w:p>
        </w:tc>
        <w:tc>
          <w:tcPr>
            <w:tcW w:w="344" w:type="pct"/>
            <w:tcBorders>
              <w:top w:val="single" w:sz="4" w:space="0" w:color="auto"/>
              <w:left w:val="single" w:sz="4" w:space="0" w:color="auto"/>
              <w:bottom w:val="single" w:sz="4" w:space="0" w:color="auto"/>
              <w:right w:val="single" w:sz="4" w:space="0" w:color="auto"/>
            </w:tcBorders>
          </w:tcPr>
          <w:p w14:paraId="0476039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3E74928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412" w:type="pct"/>
            <w:tcBorders>
              <w:top w:val="single" w:sz="4" w:space="0" w:color="auto"/>
              <w:left w:val="single" w:sz="4" w:space="0" w:color="auto"/>
              <w:bottom w:val="single" w:sz="4" w:space="0" w:color="auto"/>
              <w:right w:val="single" w:sz="4" w:space="0" w:color="auto"/>
            </w:tcBorders>
          </w:tcPr>
          <w:p w14:paraId="1925C9E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59BFE86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3244964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0C47201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1FA66EC4"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70399D10"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07227D2A"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4.2 Kontabiliteti</w:t>
            </w:r>
          </w:p>
        </w:tc>
        <w:tc>
          <w:tcPr>
            <w:tcW w:w="344" w:type="pct"/>
            <w:tcBorders>
              <w:top w:val="single" w:sz="4" w:space="0" w:color="auto"/>
              <w:left w:val="single" w:sz="4" w:space="0" w:color="auto"/>
              <w:bottom w:val="single" w:sz="4" w:space="0" w:color="auto"/>
              <w:right w:val="single" w:sz="4" w:space="0" w:color="auto"/>
            </w:tcBorders>
          </w:tcPr>
          <w:p w14:paraId="5128752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tcPr>
          <w:p w14:paraId="1822F1D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0FA3D5E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1B52369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3C043A3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tcPr>
          <w:p w14:paraId="093AD64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313C454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2D5F69F6"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6D4B4F78" w14:textId="41FAD6DE"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4.3 Prokurimi </w:t>
            </w:r>
            <w:r w:rsidR="00352178" w:rsidRPr="004A47DC">
              <w:rPr>
                <w:rFonts w:ascii="Garamond" w:hAnsi="Garamond"/>
                <w:color w:val="000000" w:themeColor="text1"/>
                <w:lang w:val="sq-AL"/>
              </w:rPr>
              <w:t>publik</w:t>
            </w:r>
          </w:p>
        </w:tc>
        <w:tc>
          <w:tcPr>
            <w:tcW w:w="344" w:type="pct"/>
            <w:tcBorders>
              <w:top w:val="single" w:sz="4" w:space="0" w:color="auto"/>
              <w:left w:val="single" w:sz="4" w:space="0" w:color="auto"/>
              <w:bottom w:val="single" w:sz="4" w:space="0" w:color="auto"/>
              <w:right w:val="single" w:sz="4" w:space="0" w:color="auto"/>
            </w:tcBorders>
          </w:tcPr>
          <w:p w14:paraId="7D3494B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tcPr>
          <w:p w14:paraId="653A46D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07BD550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057448C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9190CE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3111CBF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12CBBEB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21AE5081"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4070DE28" w14:textId="0D530FC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4.4 Menaxhimi i </w:t>
            </w:r>
            <w:r w:rsidR="00352178" w:rsidRPr="004A47DC">
              <w:rPr>
                <w:rFonts w:ascii="Garamond" w:hAnsi="Garamond"/>
                <w:color w:val="000000" w:themeColor="text1"/>
                <w:lang w:val="sq-AL"/>
              </w:rPr>
              <w:t>borxhit</w:t>
            </w:r>
          </w:p>
        </w:tc>
        <w:tc>
          <w:tcPr>
            <w:tcW w:w="344" w:type="pct"/>
            <w:tcBorders>
              <w:top w:val="single" w:sz="4" w:space="0" w:color="auto"/>
              <w:left w:val="single" w:sz="4" w:space="0" w:color="auto"/>
              <w:bottom w:val="single" w:sz="4" w:space="0" w:color="auto"/>
              <w:right w:val="single" w:sz="4" w:space="0" w:color="auto"/>
            </w:tcBorders>
          </w:tcPr>
          <w:p w14:paraId="45076B9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48B654A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15DA15E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6A87488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62F789A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4D681D7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2E3E28C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06306D0F"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375316EB" w14:textId="72FF021D"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4.5 Menaxhimi i </w:t>
            </w:r>
            <w:r w:rsidR="00352178" w:rsidRPr="004A47DC">
              <w:rPr>
                <w:rFonts w:ascii="Garamond" w:hAnsi="Garamond"/>
                <w:color w:val="000000" w:themeColor="text1"/>
                <w:lang w:val="sq-AL"/>
              </w:rPr>
              <w:t>likuiditetit</w:t>
            </w:r>
          </w:p>
        </w:tc>
        <w:tc>
          <w:tcPr>
            <w:tcW w:w="344" w:type="pct"/>
            <w:tcBorders>
              <w:top w:val="single" w:sz="4" w:space="0" w:color="auto"/>
              <w:left w:val="single" w:sz="4" w:space="0" w:color="auto"/>
              <w:bottom w:val="single" w:sz="4" w:space="0" w:color="auto"/>
              <w:right w:val="single" w:sz="4" w:space="0" w:color="auto"/>
            </w:tcBorders>
          </w:tcPr>
          <w:p w14:paraId="09A2F5B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4BBA084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3ADBB97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1A6632B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DB46A5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6D5FD5C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109A300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2190722D"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hideMark/>
          </w:tcPr>
          <w:p w14:paraId="0AD491FF" w14:textId="3764A7BC"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4.6 Menaxhimi i </w:t>
            </w:r>
            <w:r w:rsidR="00352178" w:rsidRPr="004A47DC">
              <w:rPr>
                <w:rFonts w:ascii="Garamond" w:hAnsi="Garamond"/>
                <w:color w:val="000000" w:themeColor="text1"/>
                <w:lang w:val="sq-AL"/>
              </w:rPr>
              <w:t>aseteve</w:t>
            </w:r>
          </w:p>
        </w:tc>
        <w:tc>
          <w:tcPr>
            <w:tcW w:w="344" w:type="pct"/>
            <w:tcBorders>
              <w:top w:val="single" w:sz="4" w:space="0" w:color="auto"/>
              <w:left w:val="single" w:sz="4" w:space="0" w:color="auto"/>
              <w:bottom w:val="single" w:sz="4" w:space="0" w:color="auto"/>
              <w:right w:val="single" w:sz="4" w:space="0" w:color="auto"/>
            </w:tcBorders>
          </w:tcPr>
          <w:p w14:paraId="17F1AA4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bottom w:val="single" w:sz="4" w:space="0" w:color="auto"/>
              <w:right w:val="single" w:sz="4" w:space="0" w:color="auto"/>
            </w:tcBorders>
          </w:tcPr>
          <w:p w14:paraId="2D1EE41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15217FA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412B0B13"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2B54B6D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6BF70EE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tcPr>
          <w:p w14:paraId="0003819F"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63E04741"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D78F1C7" w14:textId="77777777"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Shtylla 5: Kontrolli i Brendshëm Financiar Publik</w:t>
            </w:r>
          </w:p>
        </w:tc>
      </w:tr>
      <w:tr w:rsidR="004719D2" w:rsidRPr="004A47DC" w14:paraId="0FA606FF"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2E1A769C" w14:textId="7FD731BF"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5.1 Menaxhimi </w:t>
            </w:r>
            <w:r w:rsidR="00352178" w:rsidRPr="004A47DC">
              <w:rPr>
                <w:rFonts w:ascii="Garamond" w:hAnsi="Garamond"/>
                <w:color w:val="000000" w:themeColor="text1"/>
                <w:lang w:val="sq-AL"/>
              </w:rPr>
              <w:t>financiar dhe kontro</w:t>
            </w:r>
            <w:r w:rsidRPr="004A47DC">
              <w:rPr>
                <w:rFonts w:ascii="Garamond" w:hAnsi="Garamond"/>
                <w:color w:val="000000" w:themeColor="text1"/>
                <w:lang w:val="sq-AL"/>
              </w:rPr>
              <w:t>lli</w:t>
            </w:r>
          </w:p>
        </w:tc>
        <w:tc>
          <w:tcPr>
            <w:tcW w:w="344" w:type="pct"/>
            <w:tcBorders>
              <w:top w:val="single" w:sz="4" w:space="0" w:color="auto"/>
              <w:left w:val="single" w:sz="4" w:space="0" w:color="auto"/>
              <w:bottom w:val="single" w:sz="4" w:space="0" w:color="auto"/>
              <w:right w:val="single" w:sz="4" w:space="0" w:color="auto"/>
            </w:tcBorders>
          </w:tcPr>
          <w:p w14:paraId="48450B0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1BC4C28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66680E6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40FDA9A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5E62983A"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0776CF2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73F4C13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6B2CC10C"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6F672333" w14:textId="2C7D7E5D"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5.2 Auditimi i </w:t>
            </w:r>
            <w:r w:rsidR="00352178">
              <w:rPr>
                <w:rFonts w:ascii="Garamond" w:hAnsi="Garamond"/>
                <w:color w:val="000000" w:themeColor="text1"/>
                <w:lang w:val="sq-AL"/>
              </w:rPr>
              <w:t>b</w:t>
            </w:r>
            <w:r w:rsidR="00352178" w:rsidRPr="004A47DC">
              <w:rPr>
                <w:rFonts w:ascii="Garamond" w:hAnsi="Garamond"/>
                <w:color w:val="000000" w:themeColor="text1"/>
                <w:lang w:val="sq-AL"/>
              </w:rPr>
              <w:t>rendshëm</w:t>
            </w:r>
          </w:p>
        </w:tc>
        <w:tc>
          <w:tcPr>
            <w:tcW w:w="344" w:type="pct"/>
            <w:tcBorders>
              <w:top w:val="single" w:sz="4" w:space="0" w:color="auto"/>
              <w:left w:val="single" w:sz="4" w:space="0" w:color="auto"/>
              <w:bottom w:val="single" w:sz="4" w:space="0" w:color="auto"/>
              <w:right w:val="single" w:sz="4" w:space="0" w:color="auto"/>
            </w:tcBorders>
          </w:tcPr>
          <w:p w14:paraId="62BE4F1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39EC1C9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321279E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09DBFFC5"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tcPr>
          <w:p w14:paraId="57EFE26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28CDB8A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7732993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0B4FA24D"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tcPr>
          <w:p w14:paraId="2EF6E31F" w14:textId="4F43F3F9"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5.3 Inspektimi </w:t>
            </w:r>
            <w:r w:rsidR="00352178" w:rsidRPr="004A47DC">
              <w:rPr>
                <w:rFonts w:ascii="Garamond" w:hAnsi="Garamond"/>
                <w:color w:val="000000" w:themeColor="text1"/>
                <w:lang w:val="sq-AL"/>
              </w:rPr>
              <w:t>financiar publik dhe shërbimet e koordinimit kundër mashtrimit</w:t>
            </w:r>
          </w:p>
        </w:tc>
        <w:tc>
          <w:tcPr>
            <w:tcW w:w="344" w:type="pct"/>
            <w:tcBorders>
              <w:top w:val="single" w:sz="4" w:space="0" w:color="auto"/>
              <w:left w:val="single" w:sz="4" w:space="0" w:color="auto"/>
              <w:bottom w:val="single" w:sz="4" w:space="0" w:color="auto"/>
              <w:right w:val="single" w:sz="4" w:space="0" w:color="auto"/>
            </w:tcBorders>
          </w:tcPr>
          <w:p w14:paraId="5073D62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tcPr>
          <w:p w14:paraId="06EC8C37"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tcPr>
          <w:p w14:paraId="3BCBC3D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tcPr>
          <w:p w14:paraId="1325E3B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tcPr>
          <w:p w14:paraId="2F9E4CBC"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tcPr>
          <w:p w14:paraId="66F28CE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tcPr>
          <w:p w14:paraId="02156EF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74C2B10F"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shd w:val="clear" w:color="auto" w:fill="auto"/>
          </w:tcPr>
          <w:p w14:paraId="091214E8" w14:textId="64AAC34A"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5.4 Menaxhimi i </w:t>
            </w:r>
            <w:r w:rsidR="00352178" w:rsidRPr="004A47DC">
              <w:rPr>
                <w:rFonts w:ascii="Garamond" w:hAnsi="Garamond"/>
                <w:color w:val="000000" w:themeColor="text1"/>
                <w:lang w:val="sq-AL"/>
              </w:rPr>
              <w:t xml:space="preserve">fondeve </w:t>
            </w:r>
            <w:r w:rsidRPr="004A47DC">
              <w:rPr>
                <w:rFonts w:ascii="Garamond" w:hAnsi="Garamond"/>
                <w:color w:val="000000" w:themeColor="text1"/>
                <w:lang w:val="sq-AL"/>
              </w:rPr>
              <w:t>të BE-së</w:t>
            </w:r>
          </w:p>
        </w:tc>
        <w:tc>
          <w:tcPr>
            <w:tcW w:w="344" w:type="pct"/>
            <w:tcBorders>
              <w:top w:val="single" w:sz="4" w:space="0" w:color="auto"/>
              <w:left w:val="single" w:sz="4" w:space="0" w:color="auto"/>
              <w:right w:val="single" w:sz="4" w:space="0" w:color="auto"/>
            </w:tcBorders>
            <w:shd w:val="clear" w:color="auto" w:fill="auto"/>
          </w:tcPr>
          <w:p w14:paraId="15B8C3D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44" w:type="pct"/>
            <w:tcBorders>
              <w:top w:val="single" w:sz="4" w:space="0" w:color="auto"/>
              <w:left w:val="single" w:sz="4" w:space="0" w:color="auto"/>
              <w:right w:val="single" w:sz="4" w:space="0" w:color="auto"/>
            </w:tcBorders>
            <w:shd w:val="clear" w:color="auto" w:fill="auto"/>
          </w:tcPr>
          <w:p w14:paraId="6C3DE93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right w:val="single" w:sz="4" w:space="0" w:color="auto"/>
            </w:tcBorders>
            <w:shd w:val="clear" w:color="auto" w:fill="auto"/>
          </w:tcPr>
          <w:p w14:paraId="1E28112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right w:val="single" w:sz="4" w:space="0" w:color="auto"/>
            </w:tcBorders>
            <w:shd w:val="clear" w:color="auto" w:fill="auto"/>
          </w:tcPr>
          <w:p w14:paraId="02271E4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right w:val="single" w:sz="4" w:space="0" w:color="auto"/>
            </w:tcBorders>
            <w:shd w:val="clear" w:color="auto" w:fill="auto"/>
          </w:tcPr>
          <w:p w14:paraId="31C03440"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right w:val="single" w:sz="4" w:space="0" w:color="auto"/>
            </w:tcBorders>
            <w:shd w:val="clear" w:color="auto" w:fill="auto"/>
          </w:tcPr>
          <w:p w14:paraId="35A13B2B"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right w:val="single" w:sz="4" w:space="0" w:color="auto"/>
            </w:tcBorders>
            <w:shd w:val="clear" w:color="auto" w:fill="auto"/>
          </w:tcPr>
          <w:p w14:paraId="0567A8C8"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r>
      <w:tr w:rsidR="004719D2" w:rsidRPr="004A47DC" w14:paraId="27C82021" w14:textId="77777777" w:rsidTr="008D50DE">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C0F7353" w14:textId="1BAF9CEC"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Shtylla 6: Mbikëqyrja e </w:t>
            </w:r>
            <w:r w:rsidR="00352178" w:rsidRPr="00352178">
              <w:rPr>
                <w:rFonts w:ascii="Garamond" w:hAnsi="Garamond"/>
                <w:color w:val="000000" w:themeColor="text1"/>
                <w:lang w:val="sq-AL"/>
              </w:rPr>
              <w:t>Jashtme</w:t>
            </w:r>
          </w:p>
        </w:tc>
      </w:tr>
      <w:tr w:rsidR="004719D2" w:rsidRPr="004A47DC" w14:paraId="1881F170"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shd w:val="clear" w:color="auto" w:fill="auto"/>
            <w:hideMark/>
          </w:tcPr>
          <w:p w14:paraId="438557E6" w14:textId="1181BCD5"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6.1 Auditimi i </w:t>
            </w:r>
            <w:r w:rsidR="00352178" w:rsidRPr="004A47DC">
              <w:rPr>
                <w:rFonts w:ascii="Garamond" w:hAnsi="Garamond"/>
                <w:color w:val="000000" w:themeColor="text1"/>
                <w:lang w:val="sq-AL"/>
              </w:rPr>
              <w:t>jashtëm</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6D89D81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5C33B36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4676A0E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006BA7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2D2D5D0D"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4057771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767F9B9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r w:rsidR="004719D2" w:rsidRPr="004A47DC" w14:paraId="3D7BE4A2" w14:textId="77777777" w:rsidTr="008D50DE">
        <w:trPr>
          <w:jc w:val="center"/>
        </w:trPr>
        <w:tc>
          <w:tcPr>
            <w:tcW w:w="2591" w:type="pct"/>
            <w:tcBorders>
              <w:top w:val="single" w:sz="4" w:space="0" w:color="auto"/>
              <w:left w:val="single" w:sz="4" w:space="0" w:color="auto"/>
              <w:bottom w:val="single" w:sz="4" w:space="0" w:color="auto"/>
              <w:right w:val="single" w:sz="4" w:space="0" w:color="auto"/>
            </w:tcBorders>
            <w:shd w:val="clear" w:color="auto" w:fill="auto"/>
            <w:hideMark/>
          </w:tcPr>
          <w:p w14:paraId="4C182509" w14:textId="76CA99E8" w:rsidR="004719D2" w:rsidRPr="004A47DC" w:rsidRDefault="004719D2" w:rsidP="00CF7CEC">
            <w:pPr>
              <w:pStyle w:val="T-normal"/>
              <w:spacing w:line="240" w:lineRule="auto"/>
              <w:rPr>
                <w:rFonts w:ascii="Garamond" w:hAnsi="Garamond"/>
                <w:color w:val="000000" w:themeColor="text1"/>
                <w:lang w:val="sq-AL"/>
              </w:rPr>
            </w:pPr>
            <w:r w:rsidRPr="004A47DC">
              <w:rPr>
                <w:rFonts w:ascii="Garamond" w:hAnsi="Garamond"/>
                <w:color w:val="000000" w:themeColor="text1"/>
                <w:lang w:val="sq-AL"/>
              </w:rPr>
              <w:t xml:space="preserve">6.2 Mbikëqyrja </w:t>
            </w:r>
            <w:r w:rsidR="00352178" w:rsidRPr="004A47DC">
              <w:rPr>
                <w:rFonts w:ascii="Garamond" w:hAnsi="Garamond"/>
                <w:color w:val="000000" w:themeColor="text1"/>
                <w:lang w:val="sq-AL"/>
              </w:rPr>
              <w:t>parlamentare</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5551B1D2"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44" w:type="pct"/>
            <w:tcBorders>
              <w:top w:val="single" w:sz="4" w:space="0" w:color="auto"/>
              <w:left w:val="single" w:sz="4" w:space="0" w:color="auto"/>
              <w:bottom w:val="single" w:sz="4" w:space="0" w:color="auto"/>
              <w:right w:val="single" w:sz="4" w:space="0" w:color="auto"/>
            </w:tcBorders>
            <w:shd w:val="clear" w:color="auto" w:fill="auto"/>
          </w:tcPr>
          <w:p w14:paraId="3A1FA02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12" w:type="pct"/>
            <w:tcBorders>
              <w:top w:val="single" w:sz="4" w:space="0" w:color="auto"/>
              <w:left w:val="single" w:sz="4" w:space="0" w:color="auto"/>
              <w:bottom w:val="single" w:sz="4" w:space="0" w:color="auto"/>
              <w:right w:val="single" w:sz="4" w:space="0" w:color="auto"/>
            </w:tcBorders>
            <w:shd w:val="clear" w:color="auto" w:fill="auto"/>
          </w:tcPr>
          <w:p w14:paraId="6A50C4D9"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79CA541"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L</w:t>
            </w: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0F7C8216"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c>
          <w:tcPr>
            <w:tcW w:w="300" w:type="pct"/>
            <w:tcBorders>
              <w:top w:val="single" w:sz="4" w:space="0" w:color="auto"/>
              <w:left w:val="single" w:sz="4" w:space="0" w:color="auto"/>
              <w:bottom w:val="single" w:sz="4" w:space="0" w:color="auto"/>
              <w:right w:val="single" w:sz="4" w:space="0" w:color="auto"/>
            </w:tcBorders>
            <w:shd w:val="clear" w:color="auto" w:fill="auto"/>
          </w:tcPr>
          <w:p w14:paraId="369746C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M</w:t>
            </w:r>
          </w:p>
        </w:tc>
        <w:tc>
          <w:tcPr>
            <w:tcW w:w="311" w:type="pct"/>
            <w:tcBorders>
              <w:top w:val="single" w:sz="4" w:space="0" w:color="auto"/>
              <w:left w:val="single" w:sz="4" w:space="0" w:color="auto"/>
              <w:bottom w:val="single" w:sz="4" w:space="0" w:color="auto"/>
              <w:right w:val="single" w:sz="4" w:space="0" w:color="auto"/>
            </w:tcBorders>
            <w:shd w:val="clear" w:color="auto" w:fill="auto"/>
          </w:tcPr>
          <w:p w14:paraId="64842B3E" w14:textId="77777777" w:rsidR="004719D2" w:rsidRPr="004A47DC" w:rsidRDefault="004719D2" w:rsidP="00CF7CEC">
            <w:pPr>
              <w:pStyle w:val="T-normal"/>
              <w:spacing w:line="240" w:lineRule="auto"/>
              <w:jc w:val="center"/>
              <w:rPr>
                <w:rFonts w:ascii="Garamond" w:hAnsi="Garamond"/>
                <w:color w:val="000000" w:themeColor="text1"/>
                <w:lang w:val="sq-AL"/>
              </w:rPr>
            </w:pPr>
            <w:r w:rsidRPr="004A47DC">
              <w:rPr>
                <w:rFonts w:ascii="Garamond" w:hAnsi="Garamond"/>
                <w:color w:val="000000" w:themeColor="text1"/>
                <w:lang w:val="sq-AL"/>
              </w:rPr>
              <w:t>U</w:t>
            </w:r>
          </w:p>
        </w:tc>
      </w:tr>
    </w:tbl>
    <w:p w14:paraId="5ECDFD2F" w14:textId="5CD63EF6" w:rsidR="004719D2" w:rsidRPr="004A47DC" w:rsidRDefault="004719D2" w:rsidP="004719D2">
      <w:pPr>
        <w:pStyle w:val="TEKSTIII"/>
        <w:rPr>
          <w:color w:val="000000" w:themeColor="text1"/>
          <w:highlight w:val="yellow"/>
        </w:rPr>
      </w:pPr>
    </w:p>
    <w:p w14:paraId="0CBC57F1" w14:textId="594742A7" w:rsidR="000944CB" w:rsidRPr="004A47DC" w:rsidRDefault="000944CB" w:rsidP="000944CB">
      <w:pPr>
        <w:pStyle w:val="TEKSTIII"/>
        <w:rPr>
          <w:rStyle w:val="rynqvb"/>
          <w:b/>
          <w:iCs/>
        </w:rPr>
      </w:pPr>
      <w:bookmarkStart w:id="55" w:name="_Toc168918708"/>
      <w:r w:rsidRPr="004A47DC">
        <w:rPr>
          <w:rStyle w:val="rynqvb"/>
          <w:b/>
          <w:iCs/>
        </w:rPr>
        <w:t>10</w:t>
      </w:r>
      <w:r w:rsidR="00B05964" w:rsidRPr="004A47DC">
        <w:rPr>
          <w:rStyle w:val="rynqvb"/>
          <w:b/>
          <w:iCs/>
        </w:rPr>
        <w:t>.</w:t>
      </w:r>
      <w:r w:rsidRPr="004A47DC">
        <w:rPr>
          <w:rStyle w:val="rynqvb"/>
          <w:b/>
          <w:iCs/>
        </w:rPr>
        <w:t xml:space="preserve"> Vlerësimi i kostove dhe financimi</w:t>
      </w:r>
      <w:bookmarkEnd w:id="55"/>
    </w:p>
    <w:p w14:paraId="32B6DA04" w14:textId="3B23C707" w:rsidR="000944CB" w:rsidRPr="004A47DC" w:rsidRDefault="000944CB" w:rsidP="000944CB">
      <w:pPr>
        <w:pStyle w:val="TEKSTIII"/>
      </w:pPr>
      <w:r w:rsidRPr="004A47DC">
        <w:t>Shumica e reformave të përfshira në këtë strategji janë reforma të politikave. Puna e formalizimit të këtyre reformave në formën e legjislacionit dhe rregulloreve të reja dhe/ose të ndryshuara nuk do të kërkojë burime financimi shtesë. Stafi ekzistues i institucioneve të përfshira në zbatimin e reformave do të jetë përgjegjës për marrjen e masave të nevojshme për realizimin e masave të nevojshme për realizimin e masave të parashikuara në këtë dokument strategjik.</w:t>
      </w:r>
    </w:p>
    <w:p w14:paraId="725ACC4A" w14:textId="66972158" w:rsidR="000944CB" w:rsidRPr="004A47DC" w:rsidRDefault="000944CB" w:rsidP="008D50DE">
      <w:pPr>
        <w:pStyle w:val="TEKSTIII"/>
      </w:pPr>
      <w:r w:rsidRPr="004A47DC">
        <w:t xml:space="preserve">Qasja e përdorur për të matur fushëveprimin e burimeve të përdorura për zbatimin e strategjisë së MFP-së është vetëm kostot shtesë, duke mos përfshirë kostot administrative në tabelën e kostimit. Në strategjinë e MFP-së janë të përfshira disa aktivitete për të cilat dihet burimi i financimit, por mbetet për </w:t>
      </w:r>
      <w:r w:rsidR="00D70BDE" w:rsidRPr="004A47DC">
        <w:t>t</w:t>
      </w:r>
      <w:r w:rsidR="00CE6AE5" w:rsidRPr="004A47DC">
        <w:t>’</w:t>
      </w:r>
      <w:r w:rsidR="00D70BDE" w:rsidRPr="004A47DC">
        <w:t>u</w:t>
      </w:r>
      <w:r w:rsidR="00B2411C" w:rsidRPr="004A47DC">
        <w:t xml:space="preserve"> </w:t>
      </w:r>
      <w:r w:rsidRPr="004A47DC">
        <w:t>vendosur shuma që do të financohet për të mbuluar shpenzimet apo dhe aktivitetet për të cilat nuk është dakordësuar akoma burimi i financimit.</w:t>
      </w:r>
    </w:p>
    <w:p w14:paraId="205C2F31" w14:textId="4CB8B6D4" w:rsidR="000944CB" w:rsidRPr="004A47DC" w:rsidRDefault="000944CB" w:rsidP="000944CB">
      <w:pPr>
        <w:pStyle w:val="TEKSTIII"/>
      </w:pPr>
      <w:r w:rsidRPr="004A47DC">
        <w:t xml:space="preserve">Qeveria do të kërkojë financim nga </w:t>
      </w:r>
      <w:r w:rsidR="00352178" w:rsidRPr="004A47DC">
        <w:t>partnerët e jashtëm për zhvillim dhe integrim</w:t>
      </w:r>
      <w:r w:rsidR="00352178">
        <w:t>,</w:t>
      </w:r>
      <w:r w:rsidR="00352178" w:rsidRPr="004A47DC">
        <w:t xml:space="preserve"> </w:t>
      </w:r>
      <w:r w:rsidRPr="004A47DC">
        <w:t xml:space="preserve">për të financuar aktivitetet dhe për të mbuluar shpenzimet që lidhen me zbatimin dhe ngritjen e kapaciteteve. Gjithashtu, </w:t>
      </w:r>
      <w:r w:rsidR="00352178">
        <w:t>q</w:t>
      </w:r>
      <w:r w:rsidRPr="004A47DC">
        <w:t>everia mbetet e angazhuar të sigurojë financimin e aktiviteteve për të lejuar zbatimin e reformave.</w:t>
      </w:r>
    </w:p>
    <w:p w14:paraId="750F44B3" w14:textId="7EC054CA" w:rsidR="000944CB" w:rsidRPr="004A47DC" w:rsidRDefault="000944CB" w:rsidP="000944CB">
      <w:pPr>
        <w:pStyle w:val="TEKSTIII"/>
      </w:pPr>
      <w:r w:rsidRPr="004A47DC">
        <w:t xml:space="preserve">Në tabelën e mëposhtme është paraqitur informacioni mbi koston indicative në </w:t>
      </w:r>
      <w:r w:rsidR="00352178">
        <w:t>e</w:t>
      </w:r>
      <w:r w:rsidRPr="004A47DC">
        <w:t>uro të strategjisë së MFP-së në nivel shtyllash. Detaje të mëtejshme mbi kostimin sipas objektivave specifik</w:t>
      </w:r>
      <w:r w:rsidR="00056667" w:rsidRPr="004A47DC">
        <w:t>ë</w:t>
      </w:r>
      <w:r w:rsidRPr="004A47DC">
        <w:t xml:space="preserve"> (komponentëve) gjenden në shtojcën 3.</w:t>
      </w:r>
    </w:p>
    <w:p w14:paraId="223A3D82" w14:textId="2D16C0D6" w:rsidR="000944CB" w:rsidRPr="004A47DC" w:rsidRDefault="000944CB" w:rsidP="000944CB">
      <w:pPr>
        <w:pStyle w:val="TEKSTIII"/>
        <w:rPr>
          <w:highlight w:val="yellow"/>
        </w:rPr>
      </w:pPr>
    </w:p>
    <w:p w14:paraId="1530249E" w14:textId="12DD8B50" w:rsidR="00491BC9" w:rsidRPr="00352178" w:rsidRDefault="00491BC9" w:rsidP="00263F35">
      <w:pPr>
        <w:pStyle w:val="TEKSTIII"/>
        <w:jc w:val="right"/>
        <w:rPr>
          <w:b/>
        </w:rPr>
      </w:pPr>
      <w:r w:rsidRPr="00352178">
        <w:rPr>
          <w:b/>
        </w:rPr>
        <w:t xml:space="preserve">Shuma në </w:t>
      </w:r>
      <w:r w:rsidR="00352178" w:rsidRPr="00352178">
        <w:rPr>
          <w:b/>
        </w:rPr>
        <w:t>euro</w:t>
      </w:r>
    </w:p>
    <w:p w14:paraId="5CF09926" w14:textId="5BAB74DD" w:rsidR="00491BC9" w:rsidRPr="004A47DC" w:rsidRDefault="00F50DA7" w:rsidP="0053345A">
      <w:pPr>
        <w:pStyle w:val="TEKSTIII"/>
        <w:ind w:firstLine="0"/>
        <w:jc w:val="center"/>
        <w:rPr>
          <w:highlight w:val="yellow"/>
        </w:rPr>
      </w:pPr>
      <w:r w:rsidRPr="004A47DC">
        <w:rPr>
          <w:noProof/>
          <w:lang w:val="en-US"/>
        </w:rPr>
        <w:drawing>
          <wp:inline distT="0" distB="0" distL="0" distR="0" wp14:anchorId="6D381DDE" wp14:editId="1CDEB56D">
            <wp:extent cx="5731510" cy="4022036"/>
            <wp:effectExtent l="19050" t="19050" r="21590" b="171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022036"/>
                    </a:xfrm>
                    <a:prstGeom prst="rect">
                      <a:avLst/>
                    </a:prstGeom>
                    <a:noFill/>
                    <a:ln w="12700">
                      <a:solidFill>
                        <a:schemeClr val="tx1"/>
                      </a:solidFill>
                    </a:ln>
                  </pic:spPr>
                </pic:pic>
              </a:graphicData>
            </a:graphic>
          </wp:inline>
        </w:drawing>
      </w:r>
    </w:p>
    <w:p w14:paraId="5BAF33F3" w14:textId="6B68E02B" w:rsidR="004E0CC9" w:rsidRPr="004A47DC" w:rsidRDefault="004E0CC9" w:rsidP="000944CB">
      <w:pPr>
        <w:pStyle w:val="TEKSTIII"/>
        <w:rPr>
          <w:highlight w:val="yellow"/>
        </w:rPr>
      </w:pPr>
    </w:p>
    <w:p w14:paraId="3106D273" w14:textId="6DC45DD1" w:rsidR="00352178" w:rsidRDefault="004E0CC9" w:rsidP="004E0CC9">
      <w:pPr>
        <w:pStyle w:val="TEKSTIII"/>
        <w:ind w:firstLine="0"/>
        <w:rPr>
          <w:rStyle w:val="rynqvb"/>
          <w:b/>
        </w:rPr>
      </w:pPr>
      <w:bookmarkStart w:id="56" w:name="_Toc168918709"/>
      <w:r w:rsidRPr="004A47DC">
        <w:rPr>
          <w:rStyle w:val="rynqvb"/>
          <w:b/>
        </w:rPr>
        <w:t xml:space="preserve">Shtojca 1 </w:t>
      </w:r>
    </w:p>
    <w:p w14:paraId="35BD68C8" w14:textId="6ED185F1" w:rsidR="004E0CC9" w:rsidRPr="00352178" w:rsidRDefault="00352178" w:rsidP="00352178">
      <w:pPr>
        <w:pStyle w:val="TEKSTIII"/>
        <w:ind w:firstLine="0"/>
        <w:jc w:val="center"/>
      </w:pPr>
      <w:r w:rsidRPr="00352178">
        <w:rPr>
          <w:rStyle w:val="rynqvb"/>
        </w:rPr>
        <w:t>PALËT E INTERESUARA PËR REFORMËN E MFP</w:t>
      </w:r>
      <w:bookmarkEnd w:id="56"/>
      <w:r w:rsidRPr="00352178">
        <w:rPr>
          <w:color w:val="000000" w:themeColor="text1"/>
        </w:rPr>
        <w:t>-së</w:t>
      </w:r>
    </w:p>
    <w:p w14:paraId="3E698C09" w14:textId="77777777" w:rsidR="004E0CC9" w:rsidRPr="004A47DC" w:rsidRDefault="004E0CC9" w:rsidP="004E0CC9">
      <w:pPr>
        <w:pStyle w:val="TEKSTIII"/>
        <w:ind w:firstLine="0"/>
      </w:pPr>
    </w:p>
    <w:tbl>
      <w:tblPr>
        <w:tblStyle w:val="TableGrid"/>
        <w:tblW w:w="0" w:type="auto"/>
        <w:tblCellMar>
          <w:top w:w="28" w:type="dxa"/>
          <w:left w:w="57" w:type="dxa"/>
          <w:bottom w:w="28" w:type="dxa"/>
          <w:right w:w="57" w:type="dxa"/>
        </w:tblCellMar>
        <w:tblLook w:val="04A0" w:firstRow="1" w:lastRow="0" w:firstColumn="1" w:lastColumn="0" w:noHBand="0" w:noVBand="1"/>
      </w:tblPr>
      <w:tblGrid>
        <w:gridCol w:w="1271"/>
        <w:gridCol w:w="7745"/>
      </w:tblGrid>
      <w:tr w:rsidR="004E0CC9" w:rsidRPr="004A47DC" w14:paraId="6A79C8B0" w14:textId="77777777" w:rsidTr="004E0CC9">
        <w:tc>
          <w:tcPr>
            <w:tcW w:w="9016" w:type="dxa"/>
            <w:gridSpan w:val="2"/>
            <w:tcBorders>
              <w:top w:val="nil"/>
              <w:left w:val="nil"/>
              <w:bottom w:val="nil"/>
              <w:right w:val="nil"/>
            </w:tcBorders>
          </w:tcPr>
          <w:p w14:paraId="722E04C4" w14:textId="77777777" w:rsidR="004E0CC9" w:rsidRPr="004A47DC" w:rsidRDefault="004E0CC9" w:rsidP="004E0CC9">
            <w:pPr>
              <w:pStyle w:val="TEKSTIII"/>
              <w:ind w:firstLine="0"/>
              <w:rPr>
                <w:b/>
                <w:bCs/>
                <w:sz w:val="22"/>
              </w:rPr>
            </w:pPr>
            <w:r w:rsidRPr="004A47DC">
              <w:rPr>
                <w:b/>
                <w:bCs/>
                <w:sz w:val="22"/>
              </w:rPr>
              <w:t>Ministria e Financave</w:t>
            </w:r>
          </w:p>
        </w:tc>
      </w:tr>
      <w:tr w:rsidR="004E0CC9" w:rsidRPr="004A47DC" w14:paraId="5ECECFA2" w14:textId="77777777" w:rsidTr="004E0CC9">
        <w:tc>
          <w:tcPr>
            <w:tcW w:w="1271" w:type="dxa"/>
            <w:tcBorders>
              <w:top w:val="nil"/>
              <w:left w:val="nil"/>
              <w:bottom w:val="nil"/>
              <w:right w:val="nil"/>
            </w:tcBorders>
          </w:tcPr>
          <w:p w14:paraId="5D1500F2" w14:textId="77777777" w:rsidR="004E0CC9" w:rsidRPr="004A47DC" w:rsidRDefault="004E0CC9" w:rsidP="004E0CC9">
            <w:pPr>
              <w:pStyle w:val="TEKSTIII"/>
              <w:ind w:firstLine="0"/>
              <w:rPr>
                <w:sz w:val="22"/>
              </w:rPr>
            </w:pPr>
            <w:r w:rsidRPr="004A47DC">
              <w:rPr>
                <w:sz w:val="22"/>
              </w:rPr>
              <w:t>MF</w:t>
            </w:r>
          </w:p>
        </w:tc>
        <w:tc>
          <w:tcPr>
            <w:tcW w:w="7745" w:type="dxa"/>
            <w:tcBorders>
              <w:top w:val="nil"/>
              <w:left w:val="nil"/>
              <w:bottom w:val="nil"/>
              <w:right w:val="nil"/>
            </w:tcBorders>
          </w:tcPr>
          <w:p w14:paraId="09D22B2B" w14:textId="77777777" w:rsidR="004E0CC9" w:rsidRPr="004A47DC" w:rsidRDefault="004E0CC9" w:rsidP="004E0CC9">
            <w:pPr>
              <w:pStyle w:val="TEKSTIII"/>
              <w:ind w:firstLine="0"/>
              <w:rPr>
                <w:sz w:val="22"/>
              </w:rPr>
            </w:pPr>
            <w:r w:rsidRPr="004A47DC">
              <w:rPr>
                <w:sz w:val="22"/>
              </w:rPr>
              <w:t>Ministria e Financave</w:t>
            </w:r>
          </w:p>
        </w:tc>
      </w:tr>
      <w:tr w:rsidR="004E0CC9" w:rsidRPr="004A47DC" w14:paraId="01EDD752" w14:textId="77777777" w:rsidTr="004E0CC9">
        <w:tc>
          <w:tcPr>
            <w:tcW w:w="1271" w:type="dxa"/>
            <w:tcBorders>
              <w:top w:val="nil"/>
              <w:left w:val="nil"/>
              <w:bottom w:val="nil"/>
              <w:right w:val="nil"/>
            </w:tcBorders>
          </w:tcPr>
          <w:p w14:paraId="3F0070D7" w14:textId="77777777" w:rsidR="004E0CC9" w:rsidRPr="004A47DC" w:rsidRDefault="004E0CC9" w:rsidP="004E0CC9">
            <w:pPr>
              <w:pStyle w:val="TEKSTIII"/>
              <w:ind w:firstLine="0"/>
              <w:rPr>
                <w:sz w:val="22"/>
              </w:rPr>
            </w:pPr>
            <w:r w:rsidRPr="004A47DC">
              <w:rPr>
                <w:sz w:val="22"/>
              </w:rPr>
              <w:t>DPPT</w:t>
            </w:r>
          </w:p>
        </w:tc>
        <w:tc>
          <w:tcPr>
            <w:tcW w:w="7745" w:type="dxa"/>
            <w:tcBorders>
              <w:top w:val="nil"/>
              <w:left w:val="nil"/>
              <w:bottom w:val="nil"/>
              <w:right w:val="nil"/>
            </w:tcBorders>
          </w:tcPr>
          <w:p w14:paraId="0EF5ACAB" w14:textId="4574C365" w:rsidR="004E0CC9" w:rsidRPr="004A47DC" w:rsidRDefault="004E0CC9" w:rsidP="004E0CC9">
            <w:pPr>
              <w:pStyle w:val="TEKSTIII"/>
              <w:ind w:firstLine="0"/>
              <w:rPr>
                <w:sz w:val="22"/>
              </w:rPr>
            </w:pPr>
            <w:r w:rsidRPr="004A47DC">
              <w:rPr>
                <w:rFonts w:eastAsia="Times New Roman"/>
                <w:sz w:val="22"/>
              </w:rPr>
              <w:t>Drejtoria e Përgjithshme e Politikave Tatimore (në varësi të MF</w:t>
            </w:r>
            <w:r w:rsidR="00352178" w:rsidRPr="004A47DC">
              <w:rPr>
                <w:color w:val="000000" w:themeColor="text1"/>
              </w:rPr>
              <w:t>-së</w:t>
            </w:r>
            <w:r w:rsidRPr="004A47DC">
              <w:rPr>
                <w:rFonts w:eastAsia="Times New Roman"/>
                <w:sz w:val="22"/>
              </w:rPr>
              <w:t>)</w:t>
            </w:r>
          </w:p>
        </w:tc>
      </w:tr>
      <w:tr w:rsidR="004E0CC9" w:rsidRPr="004A47DC" w14:paraId="44D12D7A" w14:textId="77777777" w:rsidTr="004E0CC9">
        <w:tc>
          <w:tcPr>
            <w:tcW w:w="1271" w:type="dxa"/>
            <w:tcBorders>
              <w:top w:val="nil"/>
              <w:left w:val="nil"/>
              <w:bottom w:val="nil"/>
              <w:right w:val="nil"/>
            </w:tcBorders>
          </w:tcPr>
          <w:p w14:paraId="1C6A04F0" w14:textId="77777777" w:rsidR="004E0CC9" w:rsidRPr="004A47DC" w:rsidRDefault="004E0CC9" w:rsidP="004E0CC9">
            <w:pPr>
              <w:pStyle w:val="TEKSTIII"/>
              <w:ind w:firstLine="0"/>
              <w:rPr>
                <w:sz w:val="22"/>
              </w:rPr>
            </w:pPr>
            <w:r w:rsidRPr="004A47DC">
              <w:rPr>
                <w:sz w:val="22"/>
              </w:rPr>
              <w:t>DHF</w:t>
            </w:r>
          </w:p>
        </w:tc>
        <w:tc>
          <w:tcPr>
            <w:tcW w:w="7745" w:type="dxa"/>
            <w:tcBorders>
              <w:top w:val="nil"/>
              <w:left w:val="nil"/>
              <w:bottom w:val="nil"/>
              <w:right w:val="nil"/>
            </w:tcBorders>
          </w:tcPr>
          <w:p w14:paraId="2A4C1BBF" w14:textId="77777777" w:rsidR="004E0CC9" w:rsidRPr="004A47DC" w:rsidRDefault="004E0CC9" w:rsidP="004E0CC9">
            <w:pPr>
              <w:pStyle w:val="TEKSTIII"/>
              <w:ind w:firstLine="0"/>
              <w:rPr>
                <w:rFonts w:eastAsia="Times New Roman"/>
                <w:sz w:val="22"/>
              </w:rPr>
            </w:pPr>
            <w:r w:rsidRPr="004A47DC">
              <w:rPr>
                <w:rStyle w:val="rynqvb"/>
                <w:sz w:val="22"/>
              </w:rPr>
              <w:t>Drejtoria e Harmonizimit Fiskal (nën MF)</w:t>
            </w:r>
          </w:p>
        </w:tc>
      </w:tr>
      <w:tr w:rsidR="004E0CC9" w:rsidRPr="004A47DC" w14:paraId="55131C58" w14:textId="77777777" w:rsidTr="004E0CC9">
        <w:tc>
          <w:tcPr>
            <w:tcW w:w="1271" w:type="dxa"/>
            <w:tcBorders>
              <w:top w:val="nil"/>
              <w:left w:val="nil"/>
              <w:bottom w:val="nil"/>
              <w:right w:val="nil"/>
            </w:tcBorders>
          </w:tcPr>
          <w:p w14:paraId="27CA78EA" w14:textId="77777777" w:rsidR="004E0CC9" w:rsidRPr="004A47DC" w:rsidRDefault="004E0CC9" w:rsidP="004E0CC9">
            <w:pPr>
              <w:pStyle w:val="TEKSTIII"/>
              <w:ind w:firstLine="0"/>
              <w:rPr>
                <w:sz w:val="22"/>
              </w:rPr>
            </w:pPr>
            <w:r w:rsidRPr="004A47DC">
              <w:rPr>
                <w:sz w:val="22"/>
              </w:rPr>
              <w:t>DRF</w:t>
            </w:r>
          </w:p>
        </w:tc>
        <w:tc>
          <w:tcPr>
            <w:tcW w:w="7745" w:type="dxa"/>
            <w:tcBorders>
              <w:top w:val="nil"/>
              <w:left w:val="nil"/>
              <w:bottom w:val="nil"/>
              <w:right w:val="nil"/>
            </w:tcBorders>
          </w:tcPr>
          <w:p w14:paraId="1D8D6973" w14:textId="77777777" w:rsidR="004E0CC9" w:rsidRPr="004A47DC" w:rsidRDefault="004E0CC9" w:rsidP="004E0CC9">
            <w:pPr>
              <w:pStyle w:val="TEKSTIII"/>
              <w:ind w:firstLine="0"/>
              <w:rPr>
                <w:rFonts w:eastAsia="Times New Roman"/>
                <w:sz w:val="22"/>
              </w:rPr>
            </w:pPr>
            <w:r w:rsidRPr="004A47DC">
              <w:rPr>
                <w:rFonts w:eastAsia="Times New Roman"/>
                <w:sz w:val="22"/>
              </w:rPr>
              <w:t>Drejtoria e Risqeve Fiskale (në varësi të DPB)</w:t>
            </w:r>
          </w:p>
        </w:tc>
      </w:tr>
      <w:tr w:rsidR="004E0CC9" w:rsidRPr="004A47DC" w14:paraId="09243EC6" w14:textId="77777777" w:rsidTr="004E0CC9">
        <w:tc>
          <w:tcPr>
            <w:tcW w:w="1271" w:type="dxa"/>
            <w:tcBorders>
              <w:top w:val="nil"/>
              <w:left w:val="nil"/>
              <w:bottom w:val="nil"/>
              <w:right w:val="nil"/>
            </w:tcBorders>
          </w:tcPr>
          <w:p w14:paraId="59334551" w14:textId="77777777" w:rsidR="004E0CC9" w:rsidRPr="004A47DC" w:rsidRDefault="004E0CC9" w:rsidP="004E0CC9">
            <w:pPr>
              <w:pStyle w:val="TEKSTIII"/>
              <w:ind w:firstLine="0"/>
              <w:rPr>
                <w:sz w:val="22"/>
              </w:rPr>
            </w:pPr>
            <w:r w:rsidRPr="004A47DC">
              <w:rPr>
                <w:sz w:val="22"/>
              </w:rPr>
              <w:t>DPPM</w:t>
            </w:r>
          </w:p>
        </w:tc>
        <w:tc>
          <w:tcPr>
            <w:tcW w:w="7745" w:type="dxa"/>
            <w:tcBorders>
              <w:top w:val="nil"/>
              <w:left w:val="nil"/>
              <w:bottom w:val="nil"/>
              <w:right w:val="nil"/>
            </w:tcBorders>
          </w:tcPr>
          <w:p w14:paraId="1EF71D1A" w14:textId="77777777" w:rsidR="004E0CC9" w:rsidRPr="004A47DC" w:rsidRDefault="004E0CC9" w:rsidP="004E0CC9">
            <w:pPr>
              <w:pStyle w:val="TEKSTIII"/>
              <w:ind w:firstLine="0"/>
              <w:rPr>
                <w:rFonts w:eastAsia="Times New Roman"/>
                <w:sz w:val="22"/>
              </w:rPr>
            </w:pPr>
            <w:r w:rsidRPr="004A47DC">
              <w:rPr>
                <w:rStyle w:val="rynqvb"/>
                <w:sz w:val="22"/>
              </w:rPr>
              <w:t>Drejtoria e Përgjithshme e Programimit Makroekonomik (nën MF)</w:t>
            </w:r>
          </w:p>
        </w:tc>
      </w:tr>
      <w:tr w:rsidR="004E0CC9" w:rsidRPr="004A47DC" w14:paraId="39AAE346" w14:textId="77777777" w:rsidTr="004E0CC9">
        <w:tc>
          <w:tcPr>
            <w:tcW w:w="1271" w:type="dxa"/>
            <w:tcBorders>
              <w:top w:val="nil"/>
              <w:left w:val="nil"/>
              <w:bottom w:val="nil"/>
              <w:right w:val="nil"/>
            </w:tcBorders>
          </w:tcPr>
          <w:p w14:paraId="4E88DA9D" w14:textId="77777777" w:rsidR="004E0CC9" w:rsidRPr="004A47DC" w:rsidRDefault="004E0CC9" w:rsidP="004E0CC9">
            <w:pPr>
              <w:pStyle w:val="TEKSTIII"/>
              <w:ind w:firstLine="0"/>
              <w:rPr>
                <w:sz w:val="22"/>
              </w:rPr>
            </w:pPr>
            <w:r w:rsidRPr="004A47DC">
              <w:rPr>
                <w:sz w:val="22"/>
              </w:rPr>
              <w:t>DPHKBFP</w:t>
            </w:r>
          </w:p>
        </w:tc>
        <w:tc>
          <w:tcPr>
            <w:tcW w:w="7745" w:type="dxa"/>
            <w:tcBorders>
              <w:top w:val="nil"/>
              <w:left w:val="nil"/>
              <w:bottom w:val="nil"/>
              <w:right w:val="nil"/>
            </w:tcBorders>
          </w:tcPr>
          <w:p w14:paraId="7337AB13" w14:textId="2B78E36B" w:rsidR="004E0CC9" w:rsidRPr="004A47DC" w:rsidRDefault="004E0CC9" w:rsidP="004E0CC9">
            <w:pPr>
              <w:pStyle w:val="TEKSTIII"/>
              <w:ind w:firstLine="0"/>
              <w:rPr>
                <w:rFonts w:eastAsia="Times New Roman"/>
                <w:sz w:val="22"/>
              </w:rPr>
            </w:pPr>
            <w:r w:rsidRPr="004A47DC">
              <w:rPr>
                <w:rFonts w:eastAsia="Times New Roman"/>
                <w:sz w:val="22"/>
              </w:rPr>
              <w:t>Drejtoria e Përgjithshme e Harmonizimit të Kontrollit të Brendshëm Financiar Publik (NJQH, në varësi të MF</w:t>
            </w:r>
            <w:r w:rsidR="00352178" w:rsidRPr="004A47DC">
              <w:rPr>
                <w:color w:val="000000" w:themeColor="text1"/>
              </w:rPr>
              <w:t>-së</w:t>
            </w:r>
            <w:r w:rsidRPr="004A47DC">
              <w:rPr>
                <w:rFonts w:eastAsia="Times New Roman"/>
                <w:sz w:val="22"/>
              </w:rPr>
              <w:t>)</w:t>
            </w:r>
          </w:p>
        </w:tc>
      </w:tr>
      <w:tr w:rsidR="004E0CC9" w:rsidRPr="004A47DC" w14:paraId="24017DA7" w14:textId="77777777" w:rsidTr="004E0CC9">
        <w:tc>
          <w:tcPr>
            <w:tcW w:w="1271" w:type="dxa"/>
            <w:tcBorders>
              <w:top w:val="nil"/>
              <w:left w:val="nil"/>
              <w:bottom w:val="nil"/>
              <w:right w:val="nil"/>
            </w:tcBorders>
          </w:tcPr>
          <w:p w14:paraId="6BDDD981" w14:textId="77777777" w:rsidR="004E0CC9" w:rsidRPr="004A47DC" w:rsidRDefault="004E0CC9" w:rsidP="004E0CC9">
            <w:pPr>
              <w:pStyle w:val="TEKSTIII"/>
              <w:ind w:firstLine="0"/>
              <w:rPr>
                <w:sz w:val="22"/>
              </w:rPr>
            </w:pPr>
            <w:r w:rsidRPr="004A47DC">
              <w:rPr>
                <w:sz w:val="22"/>
              </w:rPr>
              <w:t>DHAB</w:t>
            </w:r>
          </w:p>
        </w:tc>
        <w:tc>
          <w:tcPr>
            <w:tcW w:w="7745" w:type="dxa"/>
            <w:tcBorders>
              <w:top w:val="nil"/>
              <w:left w:val="nil"/>
              <w:bottom w:val="nil"/>
              <w:right w:val="nil"/>
            </w:tcBorders>
          </w:tcPr>
          <w:p w14:paraId="38EE2B57" w14:textId="77777777" w:rsidR="004E0CC9" w:rsidRPr="004A47DC" w:rsidRDefault="004E0CC9" w:rsidP="004E0CC9">
            <w:pPr>
              <w:pStyle w:val="TEKSTIII"/>
              <w:ind w:firstLine="0"/>
              <w:rPr>
                <w:rFonts w:eastAsia="Times New Roman"/>
                <w:sz w:val="22"/>
              </w:rPr>
            </w:pPr>
            <w:r w:rsidRPr="004A47DC">
              <w:rPr>
                <w:rFonts w:eastAsia="Times New Roman"/>
                <w:sz w:val="22"/>
              </w:rPr>
              <w:t>Drejtoria e Harmonizimit të Auditimit të Brendshëm (nën MF DPHKBFP)</w:t>
            </w:r>
          </w:p>
        </w:tc>
      </w:tr>
      <w:tr w:rsidR="004E0CC9" w:rsidRPr="004A47DC" w14:paraId="40FFCADA" w14:textId="77777777" w:rsidTr="004E0CC9">
        <w:tc>
          <w:tcPr>
            <w:tcW w:w="1271" w:type="dxa"/>
            <w:tcBorders>
              <w:top w:val="nil"/>
              <w:left w:val="nil"/>
              <w:bottom w:val="nil"/>
              <w:right w:val="nil"/>
            </w:tcBorders>
          </w:tcPr>
          <w:p w14:paraId="683E295C" w14:textId="77777777" w:rsidR="004E0CC9" w:rsidRPr="004A47DC" w:rsidRDefault="004E0CC9" w:rsidP="004E0CC9">
            <w:pPr>
              <w:pStyle w:val="TEKSTIII"/>
              <w:ind w:firstLine="0"/>
              <w:rPr>
                <w:sz w:val="22"/>
              </w:rPr>
            </w:pPr>
            <w:r w:rsidRPr="004A47DC">
              <w:rPr>
                <w:sz w:val="22"/>
              </w:rPr>
              <w:t>DHMFKK</w:t>
            </w:r>
          </w:p>
        </w:tc>
        <w:tc>
          <w:tcPr>
            <w:tcW w:w="7745" w:type="dxa"/>
            <w:tcBorders>
              <w:top w:val="nil"/>
              <w:left w:val="nil"/>
              <w:bottom w:val="nil"/>
              <w:right w:val="nil"/>
            </w:tcBorders>
          </w:tcPr>
          <w:p w14:paraId="33C5A961" w14:textId="77777777" w:rsidR="004E0CC9" w:rsidRPr="004A47DC" w:rsidRDefault="004E0CC9" w:rsidP="004E0CC9">
            <w:pPr>
              <w:pStyle w:val="TEKSTIII"/>
              <w:ind w:firstLine="0"/>
              <w:rPr>
                <w:rFonts w:eastAsia="Times New Roman"/>
                <w:sz w:val="22"/>
              </w:rPr>
            </w:pPr>
            <w:r w:rsidRPr="004A47DC">
              <w:rPr>
                <w:rFonts w:eastAsia="Times New Roman"/>
                <w:sz w:val="22"/>
              </w:rPr>
              <w:t>Drejtoria e Harmonizimit të Menaxhimit Financiar, Kontrollit dhe Kontabilitetit (nën MF DPHKBFP)</w:t>
            </w:r>
          </w:p>
        </w:tc>
      </w:tr>
      <w:tr w:rsidR="004E0CC9" w:rsidRPr="004A47DC" w14:paraId="41FF5B7E" w14:textId="77777777" w:rsidTr="004E0CC9">
        <w:tc>
          <w:tcPr>
            <w:tcW w:w="1271" w:type="dxa"/>
            <w:tcBorders>
              <w:top w:val="nil"/>
              <w:left w:val="nil"/>
              <w:bottom w:val="nil"/>
              <w:right w:val="nil"/>
            </w:tcBorders>
          </w:tcPr>
          <w:p w14:paraId="3015D427" w14:textId="77777777" w:rsidR="004E0CC9" w:rsidRPr="004A47DC" w:rsidRDefault="004E0CC9" w:rsidP="004E0CC9">
            <w:pPr>
              <w:pStyle w:val="TEKSTIII"/>
              <w:ind w:firstLine="0"/>
              <w:rPr>
                <w:sz w:val="22"/>
              </w:rPr>
            </w:pPr>
            <w:r w:rsidRPr="004A47DC">
              <w:rPr>
                <w:sz w:val="22"/>
              </w:rPr>
              <w:t>DPB</w:t>
            </w:r>
          </w:p>
        </w:tc>
        <w:tc>
          <w:tcPr>
            <w:tcW w:w="7745" w:type="dxa"/>
            <w:tcBorders>
              <w:top w:val="nil"/>
              <w:left w:val="nil"/>
              <w:bottom w:val="nil"/>
              <w:right w:val="nil"/>
            </w:tcBorders>
          </w:tcPr>
          <w:p w14:paraId="5078B688" w14:textId="57B93EA9" w:rsidR="004E0CC9" w:rsidRPr="004A47DC" w:rsidRDefault="004E0CC9" w:rsidP="004E0CC9">
            <w:pPr>
              <w:pStyle w:val="TEKSTIII"/>
              <w:ind w:firstLine="0"/>
              <w:rPr>
                <w:rFonts w:eastAsia="Times New Roman"/>
                <w:sz w:val="22"/>
              </w:rPr>
            </w:pPr>
            <w:r w:rsidRPr="004A47DC">
              <w:rPr>
                <w:rFonts w:eastAsia="Times New Roman"/>
                <w:sz w:val="22"/>
              </w:rPr>
              <w:t>Drejtoria e Përgjithshme e Buxhetit (në varësi të MF</w:t>
            </w:r>
            <w:r w:rsidR="00352178" w:rsidRPr="004A47DC">
              <w:rPr>
                <w:color w:val="000000" w:themeColor="text1"/>
              </w:rPr>
              <w:t>-së</w:t>
            </w:r>
            <w:r w:rsidRPr="004A47DC">
              <w:rPr>
                <w:rFonts w:eastAsia="Times New Roman"/>
                <w:sz w:val="22"/>
              </w:rPr>
              <w:t>)</w:t>
            </w:r>
          </w:p>
        </w:tc>
      </w:tr>
      <w:tr w:rsidR="004E0CC9" w:rsidRPr="004A47DC" w14:paraId="03C197FE" w14:textId="77777777" w:rsidTr="004E0CC9">
        <w:tc>
          <w:tcPr>
            <w:tcW w:w="1271" w:type="dxa"/>
            <w:tcBorders>
              <w:top w:val="nil"/>
              <w:left w:val="nil"/>
              <w:bottom w:val="nil"/>
              <w:right w:val="nil"/>
            </w:tcBorders>
          </w:tcPr>
          <w:p w14:paraId="7C65D3AD" w14:textId="77777777" w:rsidR="004E0CC9" w:rsidRPr="004A47DC" w:rsidRDefault="004E0CC9" w:rsidP="004E0CC9">
            <w:pPr>
              <w:pStyle w:val="TEKSTIII"/>
              <w:ind w:firstLine="0"/>
              <w:rPr>
                <w:sz w:val="22"/>
              </w:rPr>
            </w:pPr>
            <w:r w:rsidRPr="004A47DC">
              <w:rPr>
                <w:sz w:val="22"/>
              </w:rPr>
              <w:t>DAPB</w:t>
            </w:r>
          </w:p>
        </w:tc>
        <w:tc>
          <w:tcPr>
            <w:tcW w:w="7745" w:type="dxa"/>
            <w:tcBorders>
              <w:top w:val="nil"/>
              <w:left w:val="nil"/>
              <w:bottom w:val="nil"/>
              <w:right w:val="nil"/>
            </w:tcBorders>
          </w:tcPr>
          <w:p w14:paraId="69768B0E" w14:textId="77777777" w:rsidR="004E0CC9" w:rsidRPr="004A47DC" w:rsidRDefault="004E0CC9" w:rsidP="004E0CC9">
            <w:pPr>
              <w:pStyle w:val="TEKSTIII"/>
              <w:ind w:firstLine="0"/>
              <w:rPr>
                <w:rFonts w:eastAsia="Times New Roman"/>
                <w:sz w:val="22"/>
              </w:rPr>
            </w:pPr>
            <w:r w:rsidRPr="004A47DC">
              <w:rPr>
                <w:rFonts w:eastAsia="Times New Roman"/>
                <w:sz w:val="22"/>
              </w:rPr>
              <w:t>Drejtoria e Analizës dhe Programimit Buxhetor (nën MF DPB)</w:t>
            </w:r>
          </w:p>
        </w:tc>
      </w:tr>
      <w:tr w:rsidR="004E0CC9" w:rsidRPr="004A47DC" w14:paraId="17BBC43D" w14:textId="77777777" w:rsidTr="004E0CC9">
        <w:tc>
          <w:tcPr>
            <w:tcW w:w="1271" w:type="dxa"/>
            <w:tcBorders>
              <w:top w:val="nil"/>
              <w:left w:val="nil"/>
              <w:bottom w:val="nil"/>
              <w:right w:val="nil"/>
            </w:tcBorders>
          </w:tcPr>
          <w:p w14:paraId="34F0A113" w14:textId="77777777" w:rsidR="004E0CC9" w:rsidRPr="004A47DC" w:rsidRDefault="004E0CC9" w:rsidP="004E0CC9">
            <w:pPr>
              <w:pStyle w:val="TEKSTIII"/>
              <w:ind w:firstLine="0"/>
              <w:rPr>
                <w:sz w:val="22"/>
              </w:rPr>
            </w:pPr>
            <w:r w:rsidRPr="004A47DC">
              <w:rPr>
                <w:sz w:val="22"/>
              </w:rPr>
              <w:t>DMB</w:t>
            </w:r>
          </w:p>
        </w:tc>
        <w:tc>
          <w:tcPr>
            <w:tcW w:w="7745" w:type="dxa"/>
            <w:tcBorders>
              <w:top w:val="nil"/>
              <w:left w:val="nil"/>
              <w:bottom w:val="nil"/>
              <w:right w:val="nil"/>
            </w:tcBorders>
          </w:tcPr>
          <w:p w14:paraId="0E60196B" w14:textId="77777777" w:rsidR="004E0CC9" w:rsidRPr="004A47DC" w:rsidRDefault="004E0CC9" w:rsidP="004E0CC9">
            <w:pPr>
              <w:pStyle w:val="TEKSTIII"/>
              <w:ind w:firstLine="0"/>
              <w:rPr>
                <w:rFonts w:eastAsia="Times New Roman"/>
                <w:sz w:val="22"/>
              </w:rPr>
            </w:pPr>
            <w:r w:rsidRPr="004A47DC">
              <w:rPr>
                <w:rFonts w:eastAsia="Times New Roman"/>
                <w:sz w:val="22"/>
              </w:rPr>
              <w:t>Drejtoria e Menaxhimit të Buxhetit (nën MF DPB)</w:t>
            </w:r>
          </w:p>
        </w:tc>
      </w:tr>
      <w:tr w:rsidR="004E0CC9" w:rsidRPr="004A47DC" w14:paraId="7F9606DA" w14:textId="77777777" w:rsidTr="004E0CC9">
        <w:tc>
          <w:tcPr>
            <w:tcW w:w="1271" w:type="dxa"/>
            <w:tcBorders>
              <w:top w:val="nil"/>
              <w:left w:val="nil"/>
              <w:bottom w:val="nil"/>
              <w:right w:val="nil"/>
            </w:tcBorders>
          </w:tcPr>
          <w:p w14:paraId="19640BA3" w14:textId="77777777" w:rsidR="004E0CC9" w:rsidRPr="004A47DC" w:rsidRDefault="004E0CC9" w:rsidP="004E0CC9">
            <w:pPr>
              <w:pStyle w:val="TEKSTIII"/>
              <w:ind w:firstLine="0"/>
              <w:rPr>
                <w:sz w:val="22"/>
              </w:rPr>
            </w:pPr>
            <w:r w:rsidRPr="004A47DC">
              <w:rPr>
                <w:sz w:val="22"/>
              </w:rPr>
              <w:t>DMIP</w:t>
            </w:r>
          </w:p>
        </w:tc>
        <w:tc>
          <w:tcPr>
            <w:tcW w:w="7745" w:type="dxa"/>
            <w:tcBorders>
              <w:top w:val="nil"/>
              <w:left w:val="nil"/>
              <w:bottom w:val="nil"/>
              <w:right w:val="nil"/>
            </w:tcBorders>
          </w:tcPr>
          <w:p w14:paraId="2E1F3DE3" w14:textId="77777777" w:rsidR="004E0CC9" w:rsidRPr="004A47DC" w:rsidRDefault="004E0CC9" w:rsidP="004E0CC9">
            <w:pPr>
              <w:pStyle w:val="TEKSTIII"/>
              <w:ind w:firstLine="0"/>
              <w:rPr>
                <w:rFonts w:eastAsia="Times New Roman"/>
                <w:sz w:val="22"/>
              </w:rPr>
            </w:pPr>
            <w:r w:rsidRPr="004A47DC">
              <w:rPr>
                <w:rFonts w:eastAsia="Times New Roman"/>
                <w:sz w:val="22"/>
              </w:rPr>
              <w:t>Drejtoria e Menaxhimit të Investimeve Publike (nën MF DPB)</w:t>
            </w:r>
          </w:p>
        </w:tc>
      </w:tr>
      <w:tr w:rsidR="004E0CC9" w:rsidRPr="004A47DC" w14:paraId="23506EE9" w14:textId="77777777" w:rsidTr="004E0CC9">
        <w:tc>
          <w:tcPr>
            <w:tcW w:w="1271" w:type="dxa"/>
            <w:tcBorders>
              <w:top w:val="nil"/>
              <w:left w:val="nil"/>
              <w:bottom w:val="nil"/>
              <w:right w:val="nil"/>
            </w:tcBorders>
          </w:tcPr>
          <w:p w14:paraId="3991CDC9" w14:textId="77777777" w:rsidR="004E0CC9" w:rsidRPr="004A47DC" w:rsidRDefault="004E0CC9" w:rsidP="004E0CC9">
            <w:pPr>
              <w:pStyle w:val="TEKSTIII"/>
              <w:ind w:firstLine="0"/>
              <w:rPr>
                <w:sz w:val="22"/>
              </w:rPr>
            </w:pPr>
            <w:r w:rsidRPr="004A47DC">
              <w:rPr>
                <w:sz w:val="22"/>
              </w:rPr>
              <w:t>DFV</w:t>
            </w:r>
          </w:p>
        </w:tc>
        <w:tc>
          <w:tcPr>
            <w:tcW w:w="7745" w:type="dxa"/>
            <w:tcBorders>
              <w:top w:val="nil"/>
              <w:left w:val="nil"/>
              <w:bottom w:val="nil"/>
              <w:right w:val="nil"/>
            </w:tcBorders>
          </w:tcPr>
          <w:p w14:paraId="299063C6" w14:textId="77777777" w:rsidR="004E0CC9" w:rsidRPr="004A47DC" w:rsidRDefault="004E0CC9" w:rsidP="004E0CC9">
            <w:pPr>
              <w:pStyle w:val="TEKSTIII"/>
              <w:ind w:firstLine="0"/>
              <w:rPr>
                <w:rFonts w:eastAsia="Times New Roman"/>
                <w:sz w:val="22"/>
              </w:rPr>
            </w:pPr>
            <w:r w:rsidRPr="004A47DC">
              <w:rPr>
                <w:rFonts w:eastAsia="Times New Roman"/>
                <w:sz w:val="22"/>
              </w:rPr>
              <w:t>Drejtoria e Financave Vendore (nën MF DPB)</w:t>
            </w:r>
          </w:p>
        </w:tc>
      </w:tr>
      <w:tr w:rsidR="004E0CC9" w:rsidRPr="004A47DC" w14:paraId="18729DF0" w14:textId="77777777" w:rsidTr="004E0CC9">
        <w:tc>
          <w:tcPr>
            <w:tcW w:w="1271" w:type="dxa"/>
            <w:tcBorders>
              <w:top w:val="nil"/>
              <w:left w:val="nil"/>
              <w:bottom w:val="nil"/>
              <w:right w:val="nil"/>
            </w:tcBorders>
          </w:tcPr>
          <w:p w14:paraId="5FBB9B29" w14:textId="77777777" w:rsidR="004E0CC9" w:rsidRPr="004A47DC" w:rsidRDefault="004E0CC9" w:rsidP="004E0CC9">
            <w:pPr>
              <w:pStyle w:val="TEKSTIII"/>
              <w:ind w:firstLine="0"/>
              <w:rPr>
                <w:sz w:val="22"/>
              </w:rPr>
            </w:pPr>
            <w:r w:rsidRPr="004A47DC">
              <w:rPr>
                <w:sz w:val="22"/>
              </w:rPr>
              <w:t>DPTH</w:t>
            </w:r>
          </w:p>
        </w:tc>
        <w:tc>
          <w:tcPr>
            <w:tcW w:w="7745" w:type="dxa"/>
            <w:tcBorders>
              <w:top w:val="nil"/>
              <w:left w:val="nil"/>
              <w:bottom w:val="nil"/>
              <w:right w:val="nil"/>
            </w:tcBorders>
          </w:tcPr>
          <w:p w14:paraId="3B3C6EC7" w14:textId="77777777" w:rsidR="004E0CC9" w:rsidRPr="004A47DC" w:rsidRDefault="004E0CC9" w:rsidP="004E0CC9">
            <w:pPr>
              <w:pStyle w:val="TEKSTIII"/>
              <w:ind w:firstLine="0"/>
              <w:rPr>
                <w:rFonts w:eastAsia="Times New Roman"/>
                <w:sz w:val="22"/>
              </w:rPr>
            </w:pPr>
            <w:r w:rsidRPr="004A47DC">
              <w:rPr>
                <w:rFonts w:eastAsia="Times New Roman"/>
                <w:sz w:val="22"/>
              </w:rPr>
              <w:t>Drejtoria e Përgjithshme e Thesarit (nën MF)</w:t>
            </w:r>
          </w:p>
        </w:tc>
      </w:tr>
      <w:tr w:rsidR="004E0CC9" w:rsidRPr="004A47DC" w14:paraId="60696AE9" w14:textId="77777777" w:rsidTr="004E0CC9">
        <w:tc>
          <w:tcPr>
            <w:tcW w:w="1271" w:type="dxa"/>
            <w:tcBorders>
              <w:top w:val="nil"/>
              <w:left w:val="nil"/>
              <w:bottom w:val="nil"/>
              <w:right w:val="nil"/>
            </w:tcBorders>
          </w:tcPr>
          <w:p w14:paraId="0021CB45" w14:textId="77777777" w:rsidR="004E0CC9" w:rsidRPr="004A47DC" w:rsidRDefault="004E0CC9" w:rsidP="004E0CC9">
            <w:pPr>
              <w:pStyle w:val="TEKSTIII"/>
              <w:ind w:firstLine="0"/>
              <w:rPr>
                <w:sz w:val="22"/>
              </w:rPr>
            </w:pPr>
            <w:r w:rsidRPr="004A47DC">
              <w:rPr>
                <w:sz w:val="22"/>
              </w:rPr>
              <w:t>DOTH</w:t>
            </w:r>
          </w:p>
        </w:tc>
        <w:tc>
          <w:tcPr>
            <w:tcW w:w="7745" w:type="dxa"/>
            <w:tcBorders>
              <w:top w:val="nil"/>
              <w:left w:val="nil"/>
              <w:bottom w:val="nil"/>
              <w:right w:val="nil"/>
            </w:tcBorders>
          </w:tcPr>
          <w:p w14:paraId="2B7FC9B2" w14:textId="77777777" w:rsidR="004E0CC9" w:rsidRPr="004A47DC" w:rsidRDefault="004E0CC9" w:rsidP="004E0CC9">
            <w:pPr>
              <w:pStyle w:val="TEKSTIII"/>
              <w:ind w:firstLine="0"/>
              <w:rPr>
                <w:rFonts w:eastAsia="Times New Roman"/>
                <w:sz w:val="22"/>
              </w:rPr>
            </w:pPr>
            <w:r w:rsidRPr="004A47DC">
              <w:rPr>
                <w:rFonts w:eastAsia="Times New Roman"/>
                <w:sz w:val="22"/>
              </w:rPr>
              <w:t>Drejtoria e Operacioneve të Thesarit (nën MF DPTH)</w:t>
            </w:r>
          </w:p>
        </w:tc>
      </w:tr>
      <w:tr w:rsidR="004E0CC9" w:rsidRPr="004A47DC" w14:paraId="4EAFDFEC" w14:textId="77777777" w:rsidTr="004E0CC9">
        <w:tc>
          <w:tcPr>
            <w:tcW w:w="1271" w:type="dxa"/>
            <w:tcBorders>
              <w:top w:val="nil"/>
              <w:left w:val="nil"/>
              <w:bottom w:val="nil"/>
              <w:right w:val="nil"/>
            </w:tcBorders>
          </w:tcPr>
          <w:p w14:paraId="47374C2E" w14:textId="77777777" w:rsidR="004E0CC9" w:rsidRPr="004A47DC" w:rsidRDefault="004E0CC9" w:rsidP="004E0CC9">
            <w:pPr>
              <w:pStyle w:val="TEKSTIII"/>
              <w:ind w:firstLine="0"/>
              <w:rPr>
                <w:sz w:val="22"/>
              </w:rPr>
            </w:pPr>
            <w:r w:rsidRPr="004A47DC">
              <w:rPr>
                <w:sz w:val="22"/>
              </w:rPr>
              <w:t>DPB</w:t>
            </w:r>
          </w:p>
        </w:tc>
        <w:tc>
          <w:tcPr>
            <w:tcW w:w="7745" w:type="dxa"/>
            <w:tcBorders>
              <w:top w:val="nil"/>
              <w:left w:val="nil"/>
              <w:bottom w:val="nil"/>
              <w:right w:val="nil"/>
            </w:tcBorders>
          </w:tcPr>
          <w:p w14:paraId="2F724AE4" w14:textId="77777777" w:rsidR="004E0CC9" w:rsidRPr="004A47DC" w:rsidRDefault="004E0CC9" w:rsidP="004E0CC9">
            <w:pPr>
              <w:pStyle w:val="TEKSTIII"/>
              <w:ind w:firstLine="0"/>
              <w:rPr>
                <w:rFonts w:eastAsia="Times New Roman"/>
                <w:sz w:val="22"/>
              </w:rPr>
            </w:pPr>
            <w:r w:rsidRPr="004A47DC">
              <w:rPr>
                <w:rFonts w:eastAsia="Times New Roman"/>
                <w:sz w:val="22"/>
              </w:rPr>
              <w:t>Drejtoria e Procesimit të Biznesit (nën MF DPTH)</w:t>
            </w:r>
          </w:p>
        </w:tc>
      </w:tr>
      <w:tr w:rsidR="004E0CC9" w:rsidRPr="004A47DC" w14:paraId="45EF22B1" w14:textId="77777777" w:rsidTr="004E0CC9">
        <w:tc>
          <w:tcPr>
            <w:tcW w:w="1271" w:type="dxa"/>
            <w:tcBorders>
              <w:top w:val="nil"/>
              <w:left w:val="nil"/>
              <w:bottom w:val="nil"/>
              <w:right w:val="nil"/>
            </w:tcBorders>
          </w:tcPr>
          <w:p w14:paraId="4C2E4B6F" w14:textId="77777777" w:rsidR="004E0CC9" w:rsidRPr="004A47DC" w:rsidRDefault="004E0CC9" w:rsidP="004E0CC9">
            <w:pPr>
              <w:pStyle w:val="TEKSTIII"/>
              <w:ind w:firstLine="0"/>
              <w:rPr>
                <w:sz w:val="22"/>
              </w:rPr>
            </w:pPr>
            <w:r w:rsidRPr="004A47DC">
              <w:rPr>
                <w:sz w:val="22"/>
              </w:rPr>
              <w:t>DPBSh</w:t>
            </w:r>
          </w:p>
        </w:tc>
        <w:tc>
          <w:tcPr>
            <w:tcW w:w="7745" w:type="dxa"/>
            <w:tcBorders>
              <w:top w:val="nil"/>
              <w:left w:val="nil"/>
              <w:bottom w:val="nil"/>
              <w:right w:val="nil"/>
            </w:tcBorders>
          </w:tcPr>
          <w:p w14:paraId="2710ADFA" w14:textId="77777777" w:rsidR="004E0CC9" w:rsidRPr="004A47DC" w:rsidRDefault="004E0CC9" w:rsidP="004E0CC9">
            <w:pPr>
              <w:pStyle w:val="TEKSTIII"/>
              <w:ind w:firstLine="0"/>
              <w:rPr>
                <w:rFonts w:eastAsia="Times New Roman"/>
                <w:sz w:val="22"/>
              </w:rPr>
            </w:pPr>
            <w:r w:rsidRPr="004A47DC">
              <w:rPr>
                <w:rFonts w:eastAsia="Times New Roman"/>
                <w:sz w:val="22"/>
              </w:rPr>
              <w:t>Drejtoria e Përgjithshme e Borxhit Shtetëror (nën MF)</w:t>
            </w:r>
          </w:p>
        </w:tc>
      </w:tr>
      <w:tr w:rsidR="004E0CC9" w:rsidRPr="004A47DC" w14:paraId="1BF6F10C" w14:textId="77777777" w:rsidTr="004E0CC9">
        <w:tc>
          <w:tcPr>
            <w:tcW w:w="1271" w:type="dxa"/>
            <w:tcBorders>
              <w:top w:val="nil"/>
              <w:left w:val="nil"/>
              <w:bottom w:val="nil"/>
              <w:right w:val="nil"/>
            </w:tcBorders>
          </w:tcPr>
          <w:p w14:paraId="0212B619" w14:textId="77777777" w:rsidR="004E0CC9" w:rsidRPr="004A47DC" w:rsidRDefault="004E0CC9" w:rsidP="004E0CC9">
            <w:pPr>
              <w:pStyle w:val="TEKSTIII"/>
              <w:ind w:firstLine="0"/>
              <w:rPr>
                <w:sz w:val="22"/>
              </w:rPr>
            </w:pPr>
            <w:r w:rsidRPr="004A47DC">
              <w:rPr>
                <w:sz w:val="22"/>
              </w:rPr>
              <w:t>DH</w:t>
            </w:r>
          </w:p>
        </w:tc>
        <w:tc>
          <w:tcPr>
            <w:tcW w:w="7745" w:type="dxa"/>
            <w:tcBorders>
              <w:top w:val="nil"/>
              <w:left w:val="nil"/>
              <w:bottom w:val="nil"/>
              <w:right w:val="nil"/>
            </w:tcBorders>
          </w:tcPr>
          <w:p w14:paraId="22E08FBC" w14:textId="77777777" w:rsidR="004E0CC9" w:rsidRPr="004A47DC" w:rsidRDefault="004E0CC9" w:rsidP="004E0CC9">
            <w:pPr>
              <w:pStyle w:val="TEKSTIII"/>
              <w:ind w:firstLine="0"/>
              <w:rPr>
                <w:rFonts w:eastAsia="Times New Roman"/>
                <w:sz w:val="22"/>
              </w:rPr>
            </w:pPr>
            <w:r w:rsidRPr="004A47DC">
              <w:rPr>
                <w:rFonts w:eastAsia="Times New Roman"/>
                <w:sz w:val="22"/>
              </w:rPr>
              <w:t xml:space="preserve">Drejtoria e Huamarrjes (nën MF </w:t>
            </w:r>
            <w:r w:rsidRPr="004A47DC">
              <w:rPr>
                <w:sz w:val="22"/>
              </w:rPr>
              <w:t>DPBSh</w:t>
            </w:r>
            <w:r w:rsidRPr="004A47DC">
              <w:rPr>
                <w:rFonts w:eastAsia="Times New Roman"/>
                <w:sz w:val="22"/>
              </w:rPr>
              <w:t>)</w:t>
            </w:r>
          </w:p>
        </w:tc>
      </w:tr>
      <w:tr w:rsidR="004E0CC9" w:rsidRPr="004A47DC" w14:paraId="2ABB97D2" w14:textId="77777777" w:rsidTr="004E0CC9">
        <w:tc>
          <w:tcPr>
            <w:tcW w:w="1271" w:type="dxa"/>
            <w:tcBorders>
              <w:top w:val="nil"/>
              <w:left w:val="nil"/>
              <w:bottom w:val="nil"/>
              <w:right w:val="nil"/>
            </w:tcBorders>
          </w:tcPr>
          <w:p w14:paraId="6B8A2A5B" w14:textId="77777777" w:rsidR="004E0CC9" w:rsidRPr="004A47DC" w:rsidRDefault="004E0CC9" w:rsidP="004E0CC9">
            <w:pPr>
              <w:pStyle w:val="TEKSTIII"/>
              <w:ind w:firstLine="0"/>
              <w:rPr>
                <w:sz w:val="22"/>
              </w:rPr>
            </w:pPr>
            <w:r w:rsidRPr="004A47DC">
              <w:rPr>
                <w:sz w:val="22"/>
              </w:rPr>
              <w:t>DSMB</w:t>
            </w:r>
          </w:p>
        </w:tc>
        <w:tc>
          <w:tcPr>
            <w:tcW w:w="7745" w:type="dxa"/>
            <w:tcBorders>
              <w:top w:val="nil"/>
              <w:left w:val="nil"/>
              <w:bottom w:val="nil"/>
              <w:right w:val="nil"/>
            </w:tcBorders>
          </w:tcPr>
          <w:p w14:paraId="2E87CC76" w14:textId="77777777" w:rsidR="004E0CC9" w:rsidRPr="004A47DC" w:rsidRDefault="004E0CC9" w:rsidP="004E0CC9">
            <w:pPr>
              <w:pStyle w:val="TEKSTIII"/>
              <w:ind w:firstLine="0"/>
              <w:rPr>
                <w:rFonts w:eastAsia="Times New Roman"/>
                <w:sz w:val="22"/>
              </w:rPr>
            </w:pPr>
            <w:r w:rsidRPr="004A47DC">
              <w:rPr>
                <w:rFonts w:eastAsia="Times New Roman"/>
                <w:sz w:val="22"/>
              </w:rPr>
              <w:t xml:space="preserve">Drejtoria e Strategjisë dhe Monitorimit të Borxhit (nën MF </w:t>
            </w:r>
            <w:r w:rsidRPr="004A47DC">
              <w:rPr>
                <w:sz w:val="22"/>
              </w:rPr>
              <w:t>DPBSh</w:t>
            </w:r>
            <w:r w:rsidRPr="004A47DC">
              <w:rPr>
                <w:rFonts w:eastAsia="Times New Roman"/>
                <w:sz w:val="22"/>
              </w:rPr>
              <w:t>)</w:t>
            </w:r>
          </w:p>
        </w:tc>
      </w:tr>
      <w:tr w:rsidR="004E0CC9" w:rsidRPr="004A47DC" w14:paraId="4A6DF856" w14:textId="77777777" w:rsidTr="004E0CC9">
        <w:tc>
          <w:tcPr>
            <w:tcW w:w="1271" w:type="dxa"/>
            <w:tcBorders>
              <w:top w:val="nil"/>
              <w:left w:val="nil"/>
              <w:bottom w:val="nil"/>
              <w:right w:val="nil"/>
            </w:tcBorders>
          </w:tcPr>
          <w:p w14:paraId="79BC1BAB" w14:textId="77777777" w:rsidR="004E0CC9" w:rsidRPr="004A47DC" w:rsidRDefault="004E0CC9" w:rsidP="004E0CC9">
            <w:pPr>
              <w:pStyle w:val="TEKSTIII"/>
              <w:ind w:firstLine="0"/>
              <w:rPr>
                <w:sz w:val="22"/>
              </w:rPr>
            </w:pPr>
            <w:r w:rsidRPr="004A47DC">
              <w:rPr>
                <w:sz w:val="22"/>
              </w:rPr>
              <w:t>DPTP</w:t>
            </w:r>
          </w:p>
        </w:tc>
        <w:tc>
          <w:tcPr>
            <w:tcW w:w="7745" w:type="dxa"/>
            <w:tcBorders>
              <w:top w:val="nil"/>
              <w:left w:val="nil"/>
              <w:bottom w:val="nil"/>
              <w:right w:val="nil"/>
            </w:tcBorders>
            <w:vAlign w:val="center"/>
          </w:tcPr>
          <w:p w14:paraId="407E5ACB" w14:textId="77777777" w:rsidR="004E0CC9" w:rsidRPr="004A47DC" w:rsidRDefault="004E0CC9" w:rsidP="004E0CC9">
            <w:pPr>
              <w:pStyle w:val="TEKSTIII"/>
              <w:ind w:firstLine="0"/>
              <w:rPr>
                <w:rFonts w:eastAsia="Times New Roman"/>
                <w:sz w:val="22"/>
              </w:rPr>
            </w:pPr>
            <w:r w:rsidRPr="004A47DC">
              <w:rPr>
                <w:rFonts w:eastAsia="Times New Roman"/>
                <w:sz w:val="22"/>
              </w:rPr>
              <w:t>Drejtoria e Përgjithshme e Taksës së Pasurisë (nën MF)</w:t>
            </w:r>
          </w:p>
        </w:tc>
      </w:tr>
      <w:tr w:rsidR="004E0CC9" w:rsidRPr="004A47DC" w14:paraId="6D5D63A1" w14:textId="77777777" w:rsidTr="004E0CC9">
        <w:trPr>
          <w:trHeight w:val="17"/>
        </w:trPr>
        <w:tc>
          <w:tcPr>
            <w:tcW w:w="1271" w:type="dxa"/>
            <w:tcBorders>
              <w:top w:val="nil"/>
              <w:left w:val="nil"/>
              <w:bottom w:val="nil"/>
              <w:right w:val="nil"/>
            </w:tcBorders>
          </w:tcPr>
          <w:p w14:paraId="77DCC5DE" w14:textId="77777777" w:rsidR="004E0CC9" w:rsidRPr="004A47DC" w:rsidRDefault="004E0CC9" w:rsidP="004E0CC9">
            <w:pPr>
              <w:pStyle w:val="TEKSTIII"/>
              <w:ind w:firstLine="0"/>
              <w:rPr>
                <w:sz w:val="22"/>
              </w:rPr>
            </w:pPr>
            <w:r w:rsidRPr="004A47DC">
              <w:rPr>
                <w:sz w:val="22"/>
              </w:rPr>
              <w:t>DIFP</w:t>
            </w:r>
          </w:p>
        </w:tc>
        <w:tc>
          <w:tcPr>
            <w:tcW w:w="7745" w:type="dxa"/>
            <w:tcBorders>
              <w:top w:val="nil"/>
              <w:left w:val="nil"/>
              <w:bottom w:val="nil"/>
              <w:right w:val="nil"/>
            </w:tcBorders>
            <w:vAlign w:val="center"/>
          </w:tcPr>
          <w:p w14:paraId="6B9FD28D" w14:textId="77777777" w:rsidR="004E0CC9" w:rsidRPr="004A47DC" w:rsidRDefault="004E0CC9" w:rsidP="004E0CC9">
            <w:pPr>
              <w:pStyle w:val="TEKSTIII"/>
              <w:ind w:firstLine="0"/>
              <w:rPr>
                <w:rFonts w:eastAsia="Times New Roman"/>
                <w:sz w:val="22"/>
              </w:rPr>
            </w:pPr>
            <w:r w:rsidRPr="004A47DC">
              <w:rPr>
                <w:rFonts w:eastAsia="Times New Roman"/>
                <w:sz w:val="22"/>
              </w:rPr>
              <w:t>Drejtoria e Inspektimit Financiar Publik (nën MF)</w:t>
            </w:r>
          </w:p>
        </w:tc>
      </w:tr>
      <w:tr w:rsidR="004E0CC9" w:rsidRPr="004A47DC" w14:paraId="330D3167" w14:textId="77777777" w:rsidTr="004E0CC9">
        <w:tc>
          <w:tcPr>
            <w:tcW w:w="1271" w:type="dxa"/>
            <w:tcBorders>
              <w:top w:val="nil"/>
              <w:left w:val="nil"/>
              <w:bottom w:val="nil"/>
              <w:right w:val="nil"/>
            </w:tcBorders>
          </w:tcPr>
          <w:p w14:paraId="32C413CC" w14:textId="77777777" w:rsidR="004E0CC9" w:rsidRPr="004A47DC" w:rsidRDefault="004E0CC9" w:rsidP="004E0CC9">
            <w:pPr>
              <w:pStyle w:val="TEKSTIII"/>
              <w:ind w:firstLine="0"/>
              <w:rPr>
                <w:sz w:val="22"/>
              </w:rPr>
            </w:pPr>
            <w:r w:rsidRPr="004A47DC">
              <w:rPr>
                <w:sz w:val="22"/>
              </w:rPr>
              <w:t>DK</w:t>
            </w:r>
          </w:p>
        </w:tc>
        <w:tc>
          <w:tcPr>
            <w:tcW w:w="7745" w:type="dxa"/>
            <w:tcBorders>
              <w:top w:val="nil"/>
              <w:left w:val="nil"/>
              <w:bottom w:val="nil"/>
              <w:right w:val="nil"/>
            </w:tcBorders>
            <w:vAlign w:val="center"/>
          </w:tcPr>
          <w:p w14:paraId="273839C6" w14:textId="77777777" w:rsidR="004E0CC9" w:rsidRPr="004A47DC" w:rsidRDefault="004E0CC9" w:rsidP="004E0CC9">
            <w:pPr>
              <w:pStyle w:val="TEKSTIII"/>
              <w:ind w:firstLine="0"/>
              <w:rPr>
                <w:rFonts w:eastAsia="Times New Roman"/>
                <w:sz w:val="22"/>
              </w:rPr>
            </w:pPr>
            <w:r w:rsidRPr="004A47DC">
              <w:rPr>
                <w:rFonts w:eastAsia="Times New Roman"/>
                <w:sz w:val="22"/>
              </w:rPr>
              <w:t>Drejtoria e Koncesioneve (nën MF)</w:t>
            </w:r>
          </w:p>
        </w:tc>
      </w:tr>
      <w:tr w:rsidR="004E0CC9" w:rsidRPr="004A47DC" w14:paraId="3B75201A" w14:textId="77777777" w:rsidTr="004E0CC9">
        <w:tc>
          <w:tcPr>
            <w:tcW w:w="1271" w:type="dxa"/>
            <w:tcBorders>
              <w:top w:val="nil"/>
              <w:left w:val="nil"/>
              <w:bottom w:val="nil"/>
              <w:right w:val="nil"/>
            </w:tcBorders>
          </w:tcPr>
          <w:p w14:paraId="1C2D1968" w14:textId="77777777" w:rsidR="004E0CC9" w:rsidRPr="004A47DC" w:rsidRDefault="004E0CC9" w:rsidP="004E0CC9">
            <w:pPr>
              <w:pStyle w:val="TEKSTIII"/>
              <w:ind w:firstLine="0"/>
              <w:rPr>
                <w:sz w:val="22"/>
              </w:rPr>
            </w:pPr>
            <w:r w:rsidRPr="004A47DC">
              <w:rPr>
                <w:sz w:val="22"/>
              </w:rPr>
              <w:t>DPT</w:t>
            </w:r>
          </w:p>
        </w:tc>
        <w:tc>
          <w:tcPr>
            <w:tcW w:w="7745" w:type="dxa"/>
            <w:tcBorders>
              <w:top w:val="nil"/>
              <w:left w:val="nil"/>
              <w:bottom w:val="nil"/>
              <w:right w:val="nil"/>
            </w:tcBorders>
            <w:vAlign w:val="center"/>
          </w:tcPr>
          <w:p w14:paraId="09346E38" w14:textId="77777777" w:rsidR="004E0CC9" w:rsidRPr="004A47DC" w:rsidRDefault="004E0CC9" w:rsidP="004E0CC9">
            <w:pPr>
              <w:pStyle w:val="TEKSTIII"/>
              <w:ind w:firstLine="0"/>
              <w:rPr>
                <w:sz w:val="22"/>
              </w:rPr>
            </w:pPr>
            <w:r w:rsidRPr="004A47DC">
              <w:rPr>
                <w:sz w:val="22"/>
              </w:rPr>
              <w:t xml:space="preserve">Drejtoria e Përgjithshme e Tatimeve </w:t>
            </w:r>
            <w:r w:rsidRPr="004A47DC">
              <w:rPr>
                <w:rFonts w:eastAsia="Times New Roman"/>
                <w:sz w:val="22"/>
              </w:rPr>
              <w:t>(nën MF)</w:t>
            </w:r>
          </w:p>
        </w:tc>
      </w:tr>
      <w:tr w:rsidR="004E0CC9" w:rsidRPr="004A47DC" w14:paraId="5315022D" w14:textId="77777777" w:rsidTr="004E0CC9">
        <w:tc>
          <w:tcPr>
            <w:tcW w:w="1271" w:type="dxa"/>
            <w:tcBorders>
              <w:top w:val="nil"/>
              <w:left w:val="nil"/>
              <w:bottom w:val="nil"/>
              <w:right w:val="nil"/>
            </w:tcBorders>
          </w:tcPr>
          <w:p w14:paraId="175D6368" w14:textId="77777777" w:rsidR="004E0CC9" w:rsidRPr="004A47DC" w:rsidRDefault="004E0CC9" w:rsidP="004E0CC9">
            <w:pPr>
              <w:pStyle w:val="TEKSTIII"/>
              <w:ind w:firstLine="0"/>
              <w:rPr>
                <w:sz w:val="22"/>
              </w:rPr>
            </w:pPr>
            <w:r w:rsidRPr="004A47DC">
              <w:rPr>
                <w:sz w:val="22"/>
              </w:rPr>
              <w:t>DPD</w:t>
            </w:r>
          </w:p>
        </w:tc>
        <w:tc>
          <w:tcPr>
            <w:tcW w:w="7745" w:type="dxa"/>
            <w:tcBorders>
              <w:top w:val="nil"/>
              <w:left w:val="nil"/>
              <w:bottom w:val="nil"/>
              <w:right w:val="nil"/>
            </w:tcBorders>
            <w:vAlign w:val="center"/>
          </w:tcPr>
          <w:p w14:paraId="74BB5E13" w14:textId="77777777" w:rsidR="004E0CC9" w:rsidRPr="004A47DC" w:rsidRDefault="004E0CC9" w:rsidP="004E0CC9">
            <w:pPr>
              <w:pStyle w:val="TEKSTIII"/>
              <w:ind w:firstLine="0"/>
              <w:rPr>
                <w:sz w:val="22"/>
              </w:rPr>
            </w:pPr>
            <w:r w:rsidRPr="004A47DC">
              <w:rPr>
                <w:rFonts w:eastAsia="Times New Roman"/>
                <w:sz w:val="22"/>
              </w:rPr>
              <w:t>Drejtoria e Përgjithshme e Doganave (nën MF)</w:t>
            </w:r>
          </w:p>
        </w:tc>
      </w:tr>
      <w:tr w:rsidR="004E0CC9" w:rsidRPr="004A47DC" w14:paraId="6B5D2770" w14:textId="77777777" w:rsidTr="004E0CC9">
        <w:tc>
          <w:tcPr>
            <w:tcW w:w="1271" w:type="dxa"/>
            <w:tcBorders>
              <w:top w:val="nil"/>
              <w:left w:val="nil"/>
              <w:bottom w:val="nil"/>
              <w:right w:val="nil"/>
            </w:tcBorders>
          </w:tcPr>
          <w:p w14:paraId="68015B2D" w14:textId="77777777" w:rsidR="004E0CC9" w:rsidRPr="004A47DC" w:rsidRDefault="004E0CC9" w:rsidP="004E0CC9">
            <w:pPr>
              <w:pStyle w:val="TEKSTIII"/>
              <w:ind w:firstLine="0"/>
              <w:rPr>
                <w:sz w:val="22"/>
              </w:rPr>
            </w:pPr>
            <w:r w:rsidRPr="004A47DC">
              <w:rPr>
                <w:sz w:val="22"/>
              </w:rPr>
              <w:t>ZKA</w:t>
            </w:r>
          </w:p>
        </w:tc>
        <w:tc>
          <w:tcPr>
            <w:tcW w:w="7745" w:type="dxa"/>
            <w:tcBorders>
              <w:top w:val="nil"/>
              <w:left w:val="nil"/>
              <w:bottom w:val="nil"/>
              <w:right w:val="nil"/>
            </w:tcBorders>
            <w:vAlign w:val="center"/>
          </w:tcPr>
          <w:p w14:paraId="1713BD98" w14:textId="77777777" w:rsidR="004E0CC9" w:rsidRPr="004A47DC" w:rsidRDefault="004E0CC9" w:rsidP="004E0CC9">
            <w:pPr>
              <w:pStyle w:val="TEKSTIII"/>
              <w:ind w:firstLine="0"/>
              <w:rPr>
                <w:sz w:val="22"/>
              </w:rPr>
            </w:pPr>
            <w:r w:rsidRPr="004A47DC">
              <w:rPr>
                <w:sz w:val="22"/>
              </w:rPr>
              <w:t xml:space="preserve">Zyrtari Kombëtar Autorizues </w:t>
            </w:r>
            <w:r w:rsidRPr="004A47DC">
              <w:rPr>
                <w:rFonts w:eastAsia="Times New Roman"/>
                <w:sz w:val="22"/>
              </w:rPr>
              <w:t>(nën MF)</w:t>
            </w:r>
          </w:p>
        </w:tc>
      </w:tr>
      <w:tr w:rsidR="004E0CC9" w:rsidRPr="004A47DC" w14:paraId="1B7FA84B" w14:textId="77777777" w:rsidTr="004E0CC9">
        <w:tc>
          <w:tcPr>
            <w:tcW w:w="1271" w:type="dxa"/>
            <w:tcBorders>
              <w:top w:val="nil"/>
              <w:left w:val="nil"/>
              <w:bottom w:val="nil"/>
              <w:right w:val="nil"/>
            </w:tcBorders>
          </w:tcPr>
          <w:p w14:paraId="6FBEEEDE" w14:textId="77777777" w:rsidR="004E0CC9" w:rsidRPr="004A47DC" w:rsidRDefault="004E0CC9" w:rsidP="004E0CC9">
            <w:pPr>
              <w:pStyle w:val="TEKSTIII"/>
              <w:ind w:firstLine="0"/>
              <w:rPr>
                <w:sz w:val="22"/>
              </w:rPr>
            </w:pPr>
            <w:r w:rsidRPr="004A47DC">
              <w:rPr>
                <w:sz w:val="22"/>
              </w:rPr>
              <w:t>DPFK</w:t>
            </w:r>
          </w:p>
        </w:tc>
        <w:tc>
          <w:tcPr>
            <w:tcW w:w="7745" w:type="dxa"/>
            <w:tcBorders>
              <w:top w:val="nil"/>
              <w:left w:val="nil"/>
              <w:bottom w:val="nil"/>
              <w:right w:val="nil"/>
            </w:tcBorders>
            <w:vAlign w:val="center"/>
          </w:tcPr>
          <w:p w14:paraId="0ADEAC2B" w14:textId="77777777" w:rsidR="004E0CC9" w:rsidRPr="004A47DC" w:rsidRDefault="004E0CC9" w:rsidP="004E0CC9">
            <w:pPr>
              <w:pStyle w:val="TEKSTIII"/>
              <w:ind w:firstLine="0"/>
              <w:rPr>
                <w:sz w:val="22"/>
              </w:rPr>
            </w:pPr>
            <w:r w:rsidRPr="004A47DC">
              <w:rPr>
                <w:rFonts w:eastAsia="Times New Roman"/>
                <w:sz w:val="22"/>
              </w:rPr>
              <w:t>Drejtoria e Përgjithshme e Financimeve dhe Kontraktimeve (nën MF)</w:t>
            </w:r>
          </w:p>
        </w:tc>
      </w:tr>
      <w:tr w:rsidR="004E0CC9" w:rsidRPr="004A47DC" w14:paraId="45BFFC8E" w14:textId="77777777" w:rsidTr="004E0CC9">
        <w:tc>
          <w:tcPr>
            <w:tcW w:w="1271" w:type="dxa"/>
            <w:tcBorders>
              <w:top w:val="nil"/>
              <w:left w:val="nil"/>
              <w:bottom w:val="nil"/>
              <w:right w:val="nil"/>
            </w:tcBorders>
          </w:tcPr>
          <w:p w14:paraId="0B680158" w14:textId="77777777" w:rsidR="004E0CC9" w:rsidRPr="004A47DC" w:rsidRDefault="004E0CC9" w:rsidP="004E0CC9">
            <w:pPr>
              <w:pStyle w:val="TEKSTIII"/>
              <w:ind w:firstLine="0"/>
              <w:rPr>
                <w:sz w:val="22"/>
              </w:rPr>
            </w:pPr>
            <w:r w:rsidRPr="004A47DC">
              <w:rPr>
                <w:sz w:val="22"/>
              </w:rPr>
              <w:t>AA</w:t>
            </w:r>
          </w:p>
        </w:tc>
        <w:tc>
          <w:tcPr>
            <w:tcW w:w="7745" w:type="dxa"/>
            <w:tcBorders>
              <w:top w:val="nil"/>
              <w:left w:val="nil"/>
              <w:bottom w:val="nil"/>
              <w:right w:val="nil"/>
            </w:tcBorders>
            <w:vAlign w:val="center"/>
          </w:tcPr>
          <w:p w14:paraId="30083402" w14:textId="77777777" w:rsidR="004E0CC9" w:rsidRPr="004A47DC" w:rsidRDefault="004E0CC9" w:rsidP="004E0CC9">
            <w:pPr>
              <w:pStyle w:val="TEKSTIII"/>
              <w:ind w:firstLine="0"/>
              <w:rPr>
                <w:sz w:val="22"/>
              </w:rPr>
            </w:pPr>
            <w:r w:rsidRPr="004A47DC">
              <w:rPr>
                <w:sz w:val="22"/>
              </w:rPr>
              <w:t>Autoriteti i Auditimit</w:t>
            </w:r>
          </w:p>
        </w:tc>
      </w:tr>
      <w:tr w:rsidR="004E0CC9" w:rsidRPr="004A47DC" w14:paraId="53F322AA" w14:textId="77777777" w:rsidTr="004E0CC9">
        <w:tc>
          <w:tcPr>
            <w:tcW w:w="9016" w:type="dxa"/>
            <w:gridSpan w:val="2"/>
            <w:tcBorders>
              <w:top w:val="nil"/>
              <w:left w:val="nil"/>
              <w:bottom w:val="nil"/>
              <w:right w:val="nil"/>
            </w:tcBorders>
          </w:tcPr>
          <w:p w14:paraId="7148A687" w14:textId="77777777" w:rsidR="004E0CC9" w:rsidRPr="004A47DC" w:rsidRDefault="004E0CC9" w:rsidP="004E0CC9">
            <w:pPr>
              <w:pStyle w:val="TEKSTIII"/>
              <w:ind w:firstLine="0"/>
              <w:rPr>
                <w:b/>
                <w:bCs/>
                <w:sz w:val="22"/>
              </w:rPr>
            </w:pPr>
          </w:p>
          <w:p w14:paraId="0B298C2C" w14:textId="77777777" w:rsidR="004E0CC9" w:rsidRPr="004A47DC" w:rsidRDefault="004E0CC9" w:rsidP="004E0CC9">
            <w:pPr>
              <w:pStyle w:val="TEKSTIII"/>
              <w:ind w:firstLine="0"/>
              <w:rPr>
                <w:b/>
                <w:bCs/>
                <w:sz w:val="22"/>
              </w:rPr>
            </w:pPr>
            <w:r w:rsidRPr="004A47DC">
              <w:rPr>
                <w:b/>
                <w:bCs/>
                <w:sz w:val="22"/>
              </w:rPr>
              <w:t>Ministria e Ekonomisë, Kulturës dhe Inovacionit</w:t>
            </w:r>
          </w:p>
        </w:tc>
      </w:tr>
      <w:tr w:rsidR="004E0CC9" w:rsidRPr="004A47DC" w14:paraId="2BEF23EE" w14:textId="77777777" w:rsidTr="004E0CC9">
        <w:tc>
          <w:tcPr>
            <w:tcW w:w="1271" w:type="dxa"/>
            <w:tcBorders>
              <w:top w:val="nil"/>
              <w:left w:val="nil"/>
              <w:bottom w:val="nil"/>
              <w:right w:val="nil"/>
            </w:tcBorders>
          </w:tcPr>
          <w:p w14:paraId="3185B3D1" w14:textId="77777777" w:rsidR="004E0CC9" w:rsidRPr="004A47DC" w:rsidRDefault="004E0CC9" w:rsidP="004E0CC9">
            <w:pPr>
              <w:pStyle w:val="TEKSTIII"/>
              <w:ind w:firstLine="0"/>
              <w:rPr>
                <w:sz w:val="22"/>
              </w:rPr>
            </w:pPr>
            <w:r w:rsidRPr="004A47DC">
              <w:rPr>
                <w:sz w:val="22"/>
              </w:rPr>
              <w:t>ATRAKO</w:t>
            </w:r>
          </w:p>
        </w:tc>
        <w:tc>
          <w:tcPr>
            <w:tcW w:w="7745" w:type="dxa"/>
            <w:tcBorders>
              <w:top w:val="nil"/>
              <w:left w:val="nil"/>
              <w:bottom w:val="nil"/>
              <w:right w:val="nil"/>
            </w:tcBorders>
          </w:tcPr>
          <w:p w14:paraId="71502D84" w14:textId="77777777" w:rsidR="004E0CC9" w:rsidRPr="004A47DC" w:rsidRDefault="004E0CC9" w:rsidP="004E0CC9">
            <w:pPr>
              <w:pStyle w:val="TEKSTIII"/>
              <w:ind w:firstLine="0"/>
              <w:rPr>
                <w:sz w:val="22"/>
              </w:rPr>
            </w:pPr>
            <w:r w:rsidRPr="004A47DC">
              <w:rPr>
                <w:sz w:val="22"/>
              </w:rPr>
              <w:t>Agjencia e Trajtimit të Koncesioneve</w:t>
            </w:r>
          </w:p>
        </w:tc>
      </w:tr>
      <w:tr w:rsidR="004E0CC9" w:rsidRPr="004A47DC" w14:paraId="31BFB8E3" w14:textId="77777777" w:rsidTr="004E0CC9">
        <w:tc>
          <w:tcPr>
            <w:tcW w:w="9016" w:type="dxa"/>
            <w:gridSpan w:val="2"/>
            <w:tcBorders>
              <w:top w:val="nil"/>
              <w:left w:val="nil"/>
              <w:bottom w:val="nil"/>
              <w:right w:val="nil"/>
            </w:tcBorders>
          </w:tcPr>
          <w:p w14:paraId="1042286C" w14:textId="77777777" w:rsidR="004E0CC9" w:rsidRPr="004A47DC" w:rsidRDefault="004E0CC9" w:rsidP="004E0CC9">
            <w:pPr>
              <w:pStyle w:val="TEKSTIII"/>
              <w:ind w:firstLine="0"/>
              <w:rPr>
                <w:b/>
                <w:bCs/>
                <w:sz w:val="22"/>
              </w:rPr>
            </w:pPr>
          </w:p>
          <w:p w14:paraId="55156B3C" w14:textId="77777777" w:rsidR="004E0CC9" w:rsidRPr="004A47DC" w:rsidRDefault="004E0CC9" w:rsidP="004E0CC9">
            <w:pPr>
              <w:pStyle w:val="TEKSTIII"/>
              <w:ind w:firstLine="0"/>
              <w:rPr>
                <w:b/>
                <w:bCs/>
                <w:sz w:val="22"/>
              </w:rPr>
            </w:pPr>
            <w:r w:rsidRPr="004A47DC">
              <w:rPr>
                <w:b/>
                <w:bCs/>
                <w:sz w:val="22"/>
              </w:rPr>
              <w:t>Zyra e Kryeministrit</w:t>
            </w:r>
          </w:p>
        </w:tc>
      </w:tr>
      <w:tr w:rsidR="004E0CC9" w:rsidRPr="004A47DC" w14:paraId="24E58ADE" w14:textId="77777777" w:rsidTr="004E0CC9">
        <w:tc>
          <w:tcPr>
            <w:tcW w:w="1271" w:type="dxa"/>
            <w:tcBorders>
              <w:top w:val="nil"/>
              <w:left w:val="nil"/>
              <w:bottom w:val="nil"/>
              <w:right w:val="nil"/>
            </w:tcBorders>
          </w:tcPr>
          <w:p w14:paraId="23249902" w14:textId="77777777" w:rsidR="004E0CC9" w:rsidRPr="004A47DC" w:rsidRDefault="004E0CC9" w:rsidP="004E0CC9">
            <w:pPr>
              <w:pStyle w:val="TEKSTIII"/>
              <w:ind w:firstLine="0"/>
              <w:rPr>
                <w:sz w:val="22"/>
              </w:rPr>
            </w:pPr>
            <w:r w:rsidRPr="004A47DC">
              <w:rPr>
                <w:sz w:val="22"/>
              </w:rPr>
              <w:t>KM</w:t>
            </w:r>
          </w:p>
        </w:tc>
        <w:tc>
          <w:tcPr>
            <w:tcW w:w="7745" w:type="dxa"/>
            <w:tcBorders>
              <w:top w:val="nil"/>
              <w:left w:val="nil"/>
              <w:bottom w:val="nil"/>
              <w:right w:val="nil"/>
            </w:tcBorders>
            <w:vAlign w:val="center"/>
          </w:tcPr>
          <w:p w14:paraId="4E0EB293" w14:textId="77777777" w:rsidR="004E0CC9" w:rsidRPr="004A47DC" w:rsidRDefault="004E0CC9" w:rsidP="004E0CC9">
            <w:pPr>
              <w:pStyle w:val="TEKSTIII"/>
              <w:ind w:firstLine="0"/>
              <w:rPr>
                <w:sz w:val="22"/>
              </w:rPr>
            </w:pPr>
            <w:r w:rsidRPr="004A47DC">
              <w:rPr>
                <w:sz w:val="22"/>
              </w:rPr>
              <w:t>Kryeministria</w:t>
            </w:r>
          </w:p>
        </w:tc>
      </w:tr>
      <w:tr w:rsidR="004E0CC9" w:rsidRPr="004A47DC" w14:paraId="7F0DD2CB" w14:textId="77777777" w:rsidTr="004E0CC9">
        <w:tc>
          <w:tcPr>
            <w:tcW w:w="1271" w:type="dxa"/>
            <w:tcBorders>
              <w:top w:val="nil"/>
              <w:left w:val="nil"/>
              <w:bottom w:val="nil"/>
              <w:right w:val="nil"/>
            </w:tcBorders>
          </w:tcPr>
          <w:p w14:paraId="150D3BD8" w14:textId="77777777" w:rsidR="004E0CC9" w:rsidRPr="004A47DC" w:rsidRDefault="004E0CC9" w:rsidP="004E0CC9">
            <w:pPr>
              <w:pStyle w:val="TEKSTIII"/>
              <w:ind w:firstLine="0"/>
              <w:rPr>
                <w:sz w:val="22"/>
              </w:rPr>
            </w:pPr>
            <w:r w:rsidRPr="004A47DC">
              <w:rPr>
                <w:sz w:val="22"/>
              </w:rPr>
              <w:t>SASPAC</w:t>
            </w:r>
          </w:p>
        </w:tc>
        <w:tc>
          <w:tcPr>
            <w:tcW w:w="7745" w:type="dxa"/>
            <w:tcBorders>
              <w:top w:val="nil"/>
              <w:left w:val="nil"/>
              <w:bottom w:val="nil"/>
              <w:right w:val="nil"/>
            </w:tcBorders>
            <w:vAlign w:val="center"/>
          </w:tcPr>
          <w:p w14:paraId="37BD951A" w14:textId="77777777" w:rsidR="004E0CC9" w:rsidRPr="004A47DC" w:rsidRDefault="004E0CC9" w:rsidP="004E0CC9">
            <w:pPr>
              <w:pStyle w:val="TEKSTIII"/>
              <w:ind w:firstLine="0"/>
              <w:rPr>
                <w:rFonts w:eastAsia="Times New Roman"/>
                <w:sz w:val="22"/>
              </w:rPr>
            </w:pPr>
            <w:r w:rsidRPr="004A47DC">
              <w:rPr>
                <w:rFonts w:eastAsia="Times New Roman"/>
                <w:sz w:val="22"/>
              </w:rPr>
              <w:t>Agjencia Shtetërore për Programimin Strategjik dhe Koordinimin e Ndihmës (nën KM)</w:t>
            </w:r>
          </w:p>
        </w:tc>
      </w:tr>
      <w:tr w:rsidR="004E0CC9" w:rsidRPr="004A47DC" w14:paraId="1F340046" w14:textId="77777777" w:rsidTr="004E0CC9">
        <w:tc>
          <w:tcPr>
            <w:tcW w:w="1271" w:type="dxa"/>
            <w:tcBorders>
              <w:top w:val="nil"/>
              <w:left w:val="nil"/>
              <w:bottom w:val="nil"/>
              <w:right w:val="nil"/>
            </w:tcBorders>
          </w:tcPr>
          <w:p w14:paraId="505CB978" w14:textId="77777777" w:rsidR="004E0CC9" w:rsidRPr="004A47DC" w:rsidRDefault="004E0CC9" w:rsidP="004E0CC9">
            <w:pPr>
              <w:pStyle w:val="TEKSTIII"/>
              <w:ind w:firstLine="0"/>
              <w:rPr>
                <w:sz w:val="22"/>
              </w:rPr>
            </w:pPr>
            <w:r w:rsidRPr="004A47DC">
              <w:rPr>
                <w:sz w:val="22"/>
              </w:rPr>
              <w:t>DAP</w:t>
            </w:r>
          </w:p>
        </w:tc>
        <w:tc>
          <w:tcPr>
            <w:tcW w:w="7745" w:type="dxa"/>
            <w:tcBorders>
              <w:top w:val="nil"/>
              <w:left w:val="nil"/>
              <w:bottom w:val="nil"/>
              <w:right w:val="nil"/>
            </w:tcBorders>
            <w:vAlign w:val="center"/>
          </w:tcPr>
          <w:p w14:paraId="10441706" w14:textId="77777777" w:rsidR="004E0CC9" w:rsidRPr="004A47DC" w:rsidRDefault="004E0CC9" w:rsidP="004E0CC9">
            <w:pPr>
              <w:pStyle w:val="TEKSTIII"/>
              <w:ind w:firstLine="0"/>
              <w:rPr>
                <w:rFonts w:eastAsia="Times New Roman"/>
                <w:sz w:val="22"/>
              </w:rPr>
            </w:pPr>
            <w:r w:rsidRPr="004A47DC">
              <w:rPr>
                <w:rFonts w:eastAsia="Times New Roman"/>
                <w:sz w:val="22"/>
              </w:rPr>
              <w:t>Departamenti i Administratës Publike (nën KM)</w:t>
            </w:r>
          </w:p>
        </w:tc>
      </w:tr>
      <w:tr w:rsidR="004E0CC9" w:rsidRPr="004A47DC" w14:paraId="0F00D250" w14:textId="77777777" w:rsidTr="004E0CC9">
        <w:tc>
          <w:tcPr>
            <w:tcW w:w="1271" w:type="dxa"/>
            <w:tcBorders>
              <w:top w:val="nil"/>
              <w:left w:val="nil"/>
              <w:bottom w:val="nil"/>
              <w:right w:val="nil"/>
            </w:tcBorders>
          </w:tcPr>
          <w:p w14:paraId="28FB2EA9" w14:textId="77777777" w:rsidR="004E0CC9" w:rsidRPr="004A47DC" w:rsidRDefault="004E0CC9" w:rsidP="004E0CC9">
            <w:pPr>
              <w:pStyle w:val="TEKSTIII"/>
              <w:ind w:firstLine="0"/>
              <w:rPr>
                <w:sz w:val="22"/>
              </w:rPr>
            </w:pPr>
            <w:r w:rsidRPr="004A47DC">
              <w:rPr>
                <w:sz w:val="22"/>
              </w:rPr>
              <w:t>AKSHI</w:t>
            </w:r>
          </w:p>
        </w:tc>
        <w:tc>
          <w:tcPr>
            <w:tcW w:w="7745" w:type="dxa"/>
            <w:tcBorders>
              <w:top w:val="nil"/>
              <w:left w:val="nil"/>
              <w:bottom w:val="nil"/>
              <w:right w:val="nil"/>
            </w:tcBorders>
            <w:vAlign w:val="center"/>
          </w:tcPr>
          <w:p w14:paraId="4739C9D5" w14:textId="77777777" w:rsidR="004E0CC9" w:rsidRPr="004A47DC" w:rsidRDefault="004E0CC9" w:rsidP="004E0CC9">
            <w:pPr>
              <w:pStyle w:val="TEKSTIII"/>
              <w:ind w:firstLine="0"/>
              <w:rPr>
                <w:rFonts w:eastAsia="Times New Roman"/>
                <w:sz w:val="22"/>
              </w:rPr>
            </w:pPr>
            <w:r w:rsidRPr="004A47DC">
              <w:rPr>
                <w:rFonts w:eastAsia="Times New Roman"/>
                <w:sz w:val="22"/>
              </w:rPr>
              <w:t>Agjencia Kombëtare e Shoqërisë së Informacionit (nën KM, i referuar edhe si AKSHI)</w:t>
            </w:r>
          </w:p>
        </w:tc>
      </w:tr>
      <w:tr w:rsidR="004E0CC9" w:rsidRPr="004A47DC" w14:paraId="6F86C497" w14:textId="77777777" w:rsidTr="004E0CC9">
        <w:tc>
          <w:tcPr>
            <w:tcW w:w="1271" w:type="dxa"/>
            <w:tcBorders>
              <w:top w:val="nil"/>
              <w:left w:val="nil"/>
              <w:bottom w:val="nil"/>
              <w:right w:val="nil"/>
            </w:tcBorders>
          </w:tcPr>
          <w:p w14:paraId="2D910A0D" w14:textId="77777777" w:rsidR="004E0CC9" w:rsidRPr="004A47DC" w:rsidRDefault="004E0CC9" w:rsidP="004E0CC9">
            <w:pPr>
              <w:pStyle w:val="TEKSTIII"/>
              <w:ind w:firstLine="0"/>
              <w:rPr>
                <w:sz w:val="22"/>
              </w:rPr>
            </w:pPr>
            <w:r w:rsidRPr="004A47DC">
              <w:rPr>
                <w:rFonts w:eastAsia="Times New Roman"/>
                <w:sz w:val="22"/>
              </w:rPr>
              <w:t>APP</w:t>
            </w:r>
          </w:p>
        </w:tc>
        <w:tc>
          <w:tcPr>
            <w:tcW w:w="7745" w:type="dxa"/>
            <w:tcBorders>
              <w:top w:val="nil"/>
              <w:left w:val="nil"/>
              <w:bottom w:val="nil"/>
              <w:right w:val="nil"/>
            </w:tcBorders>
            <w:vAlign w:val="center"/>
          </w:tcPr>
          <w:p w14:paraId="303B5709" w14:textId="77777777" w:rsidR="004E0CC9" w:rsidRPr="004A47DC" w:rsidRDefault="004E0CC9" w:rsidP="004E0CC9">
            <w:pPr>
              <w:pStyle w:val="TEKSTIII"/>
              <w:ind w:firstLine="0"/>
              <w:rPr>
                <w:rFonts w:eastAsia="Times New Roman"/>
                <w:sz w:val="22"/>
              </w:rPr>
            </w:pPr>
            <w:r w:rsidRPr="004A47DC">
              <w:rPr>
                <w:rFonts w:eastAsia="Times New Roman"/>
                <w:sz w:val="22"/>
              </w:rPr>
              <w:t>Agjencia e Prokurimit Publik (nën KM)</w:t>
            </w:r>
          </w:p>
        </w:tc>
      </w:tr>
      <w:tr w:rsidR="004E0CC9" w:rsidRPr="004A47DC" w14:paraId="63103844" w14:textId="77777777" w:rsidTr="004E0CC9">
        <w:tc>
          <w:tcPr>
            <w:tcW w:w="1271" w:type="dxa"/>
            <w:tcBorders>
              <w:top w:val="nil"/>
              <w:left w:val="nil"/>
              <w:bottom w:val="nil"/>
              <w:right w:val="nil"/>
            </w:tcBorders>
          </w:tcPr>
          <w:p w14:paraId="2030CA45" w14:textId="77777777" w:rsidR="004E0CC9" w:rsidRPr="004A47DC" w:rsidRDefault="004E0CC9" w:rsidP="004E0CC9">
            <w:pPr>
              <w:pStyle w:val="TEKSTIII"/>
              <w:ind w:firstLine="0"/>
              <w:rPr>
                <w:rFonts w:eastAsia="Times New Roman"/>
                <w:sz w:val="22"/>
              </w:rPr>
            </w:pPr>
          </w:p>
        </w:tc>
        <w:tc>
          <w:tcPr>
            <w:tcW w:w="7745" w:type="dxa"/>
            <w:tcBorders>
              <w:top w:val="nil"/>
              <w:left w:val="nil"/>
              <w:bottom w:val="nil"/>
              <w:right w:val="nil"/>
            </w:tcBorders>
            <w:vAlign w:val="center"/>
          </w:tcPr>
          <w:p w14:paraId="0ACC84D3" w14:textId="77777777" w:rsidR="004E0CC9" w:rsidRPr="004A47DC" w:rsidRDefault="004E0CC9" w:rsidP="004E0CC9">
            <w:pPr>
              <w:pStyle w:val="TEKSTIII"/>
              <w:ind w:firstLine="0"/>
              <w:rPr>
                <w:rFonts w:eastAsia="Times New Roman"/>
                <w:sz w:val="22"/>
              </w:rPr>
            </w:pPr>
            <w:r w:rsidRPr="004A47DC">
              <w:rPr>
                <w:rFonts w:eastAsia="Times New Roman"/>
                <w:sz w:val="22"/>
              </w:rPr>
              <w:t>Agjencia e Auditimit të Fondeve të BE-së</w:t>
            </w:r>
          </w:p>
        </w:tc>
      </w:tr>
      <w:tr w:rsidR="004E0CC9" w:rsidRPr="004A47DC" w14:paraId="429CAB2F" w14:textId="77777777" w:rsidTr="004E0CC9">
        <w:tc>
          <w:tcPr>
            <w:tcW w:w="9016" w:type="dxa"/>
            <w:gridSpan w:val="2"/>
            <w:tcBorders>
              <w:top w:val="nil"/>
              <w:left w:val="nil"/>
              <w:bottom w:val="nil"/>
              <w:right w:val="nil"/>
            </w:tcBorders>
          </w:tcPr>
          <w:p w14:paraId="004B6997" w14:textId="77777777" w:rsidR="004E0CC9" w:rsidRPr="004A47DC" w:rsidRDefault="004E0CC9" w:rsidP="004E0CC9">
            <w:pPr>
              <w:pStyle w:val="TEKSTIII"/>
              <w:ind w:firstLine="0"/>
              <w:rPr>
                <w:rFonts w:eastAsia="Times New Roman"/>
                <w:b/>
                <w:bCs/>
                <w:sz w:val="22"/>
              </w:rPr>
            </w:pPr>
          </w:p>
          <w:p w14:paraId="2F3941C3" w14:textId="0916083F" w:rsidR="004E0CC9" w:rsidRPr="004A47DC" w:rsidRDefault="004E0CC9" w:rsidP="004E0CC9">
            <w:pPr>
              <w:pStyle w:val="TEKSTIII"/>
              <w:ind w:firstLine="0"/>
              <w:rPr>
                <w:rFonts w:eastAsia="Times New Roman"/>
                <w:b/>
                <w:bCs/>
                <w:sz w:val="22"/>
              </w:rPr>
            </w:pPr>
            <w:r w:rsidRPr="004A47DC">
              <w:rPr>
                <w:rFonts w:eastAsia="Times New Roman"/>
                <w:b/>
                <w:bCs/>
                <w:sz w:val="22"/>
              </w:rPr>
              <w:t xml:space="preserve">Institucionet e </w:t>
            </w:r>
            <w:r w:rsidR="00352178">
              <w:rPr>
                <w:rFonts w:eastAsia="Times New Roman"/>
                <w:b/>
                <w:bCs/>
                <w:sz w:val="22"/>
              </w:rPr>
              <w:t>p</w:t>
            </w:r>
            <w:r w:rsidRPr="004A47DC">
              <w:rPr>
                <w:rFonts w:eastAsia="Times New Roman"/>
                <w:b/>
                <w:bCs/>
                <w:sz w:val="22"/>
              </w:rPr>
              <w:t>avarura</w:t>
            </w:r>
          </w:p>
        </w:tc>
      </w:tr>
      <w:tr w:rsidR="004E0CC9" w:rsidRPr="004A47DC" w14:paraId="3B03CDD5" w14:textId="77777777" w:rsidTr="004E0CC9">
        <w:tc>
          <w:tcPr>
            <w:tcW w:w="1271" w:type="dxa"/>
            <w:tcBorders>
              <w:top w:val="nil"/>
              <w:left w:val="nil"/>
              <w:bottom w:val="nil"/>
              <w:right w:val="nil"/>
            </w:tcBorders>
          </w:tcPr>
          <w:p w14:paraId="0F5FFFA5" w14:textId="77777777" w:rsidR="004E0CC9" w:rsidRPr="004A47DC" w:rsidRDefault="004E0CC9" w:rsidP="004E0CC9">
            <w:pPr>
              <w:pStyle w:val="TEKSTIII"/>
              <w:ind w:firstLine="0"/>
              <w:rPr>
                <w:sz w:val="22"/>
              </w:rPr>
            </w:pPr>
            <w:r w:rsidRPr="004A47DC">
              <w:rPr>
                <w:sz w:val="22"/>
              </w:rPr>
              <w:t>KLSH</w:t>
            </w:r>
          </w:p>
        </w:tc>
        <w:tc>
          <w:tcPr>
            <w:tcW w:w="7745" w:type="dxa"/>
            <w:tcBorders>
              <w:top w:val="nil"/>
              <w:left w:val="nil"/>
              <w:bottom w:val="nil"/>
              <w:right w:val="nil"/>
            </w:tcBorders>
            <w:vAlign w:val="center"/>
          </w:tcPr>
          <w:p w14:paraId="70DF210C" w14:textId="77777777" w:rsidR="004E0CC9" w:rsidRPr="004A47DC" w:rsidRDefault="004E0CC9" w:rsidP="004E0CC9">
            <w:pPr>
              <w:pStyle w:val="TEKSTIII"/>
              <w:ind w:firstLine="0"/>
              <w:rPr>
                <w:rFonts w:eastAsia="Times New Roman"/>
                <w:sz w:val="22"/>
              </w:rPr>
            </w:pPr>
            <w:r w:rsidRPr="004A47DC">
              <w:rPr>
                <w:rFonts w:eastAsia="Times New Roman"/>
                <w:sz w:val="22"/>
              </w:rPr>
              <w:t>Institucioni i Lartë i Kontrollit Shqiptar (institucion i pavarur, i referuar edhe si Kontrolli i Lartë i Shtetit)</w:t>
            </w:r>
          </w:p>
        </w:tc>
      </w:tr>
      <w:tr w:rsidR="004E0CC9" w:rsidRPr="004A47DC" w14:paraId="106686F9" w14:textId="77777777" w:rsidTr="004E0CC9">
        <w:tc>
          <w:tcPr>
            <w:tcW w:w="1271" w:type="dxa"/>
            <w:tcBorders>
              <w:top w:val="nil"/>
              <w:left w:val="nil"/>
              <w:bottom w:val="nil"/>
              <w:right w:val="nil"/>
            </w:tcBorders>
          </w:tcPr>
          <w:p w14:paraId="1BFC439E" w14:textId="77777777" w:rsidR="004E0CC9" w:rsidRPr="004A47DC" w:rsidRDefault="004E0CC9" w:rsidP="004E0CC9">
            <w:pPr>
              <w:pStyle w:val="TEKSTIII"/>
              <w:ind w:firstLine="0"/>
              <w:rPr>
                <w:sz w:val="22"/>
              </w:rPr>
            </w:pPr>
            <w:r w:rsidRPr="004A47DC">
              <w:rPr>
                <w:sz w:val="22"/>
              </w:rPr>
              <w:t>INSTAT</w:t>
            </w:r>
          </w:p>
        </w:tc>
        <w:tc>
          <w:tcPr>
            <w:tcW w:w="7745" w:type="dxa"/>
            <w:tcBorders>
              <w:top w:val="nil"/>
              <w:left w:val="nil"/>
              <w:bottom w:val="nil"/>
              <w:right w:val="nil"/>
            </w:tcBorders>
            <w:vAlign w:val="center"/>
          </w:tcPr>
          <w:p w14:paraId="37BAB2B4" w14:textId="77777777" w:rsidR="004E0CC9" w:rsidRPr="004A47DC" w:rsidRDefault="004E0CC9" w:rsidP="004E0CC9">
            <w:pPr>
              <w:pStyle w:val="TEKSTIII"/>
              <w:ind w:firstLine="0"/>
              <w:rPr>
                <w:rFonts w:eastAsia="Times New Roman"/>
                <w:sz w:val="22"/>
              </w:rPr>
            </w:pPr>
            <w:r w:rsidRPr="004A47DC">
              <w:rPr>
                <w:rFonts w:eastAsia="Times New Roman"/>
                <w:sz w:val="22"/>
              </w:rPr>
              <w:t>Instituti i Statistikave (institucion i pavarur)</w:t>
            </w:r>
          </w:p>
        </w:tc>
      </w:tr>
      <w:tr w:rsidR="004E0CC9" w:rsidRPr="004A47DC" w14:paraId="6265801C" w14:textId="77777777" w:rsidTr="004E0CC9">
        <w:tc>
          <w:tcPr>
            <w:tcW w:w="1271" w:type="dxa"/>
            <w:tcBorders>
              <w:top w:val="nil"/>
              <w:left w:val="nil"/>
              <w:bottom w:val="nil"/>
              <w:right w:val="nil"/>
            </w:tcBorders>
          </w:tcPr>
          <w:p w14:paraId="4854C14B" w14:textId="77777777" w:rsidR="004E0CC9" w:rsidRPr="004A47DC" w:rsidRDefault="004E0CC9" w:rsidP="004E0CC9">
            <w:pPr>
              <w:pStyle w:val="TEKSTIII"/>
              <w:ind w:firstLine="0"/>
              <w:rPr>
                <w:rFonts w:eastAsia="Times New Roman"/>
                <w:sz w:val="22"/>
              </w:rPr>
            </w:pPr>
            <w:r w:rsidRPr="004A47DC">
              <w:rPr>
                <w:rFonts w:eastAsia="Times New Roman"/>
                <w:sz w:val="22"/>
              </w:rPr>
              <w:t>KPP</w:t>
            </w:r>
          </w:p>
        </w:tc>
        <w:tc>
          <w:tcPr>
            <w:tcW w:w="7745" w:type="dxa"/>
            <w:tcBorders>
              <w:top w:val="nil"/>
              <w:left w:val="nil"/>
              <w:bottom w:val="nil"/>
              <w:right w:val="nil"/>
            </w:tcBorders>
            <w:vAlign w:val="center"/>
          </w:tcPr>
          <w:p w14:paraId="768834FB" w14:textId="77777777" w:rsidR="004E0CC9" w:rsidRPr="004A47DC" w:rsidRDefault="004E0CC9" w:rsidP="004E0CC9">
            <w:pPr>
              <w:pStyle w:val="TEKSTIII"/>
              <w:ind w:firstLine="0"/>
              <w:rPr>
                <w:rFonts w:eastAsia="Times New Roman"/>
                <w:sz w:val="22"/>
              </w:rPr>
            </w:pPr>
            <w:r w:rsidRPr="004A47DC">
              <w:rPr>
                <w:rFonts w:eastAsia="Times New Roman"/>
                <w:sz w:val="22"/>
              </w:rPr>
              <w:t>Komisioni për Prokurimet Publike (institucion i pavarur)</w:t>
            </w:r>
          </w:p>
        </w:tc>
      </w:tr>
      <w:tr w:rsidR="004E0CC9" w:rsidRPr="004A47DC" w14:paraId="7C529B04" w14:textId="77777777" w:rsidTr="004E0CC9">
        <w:tc>
          <w:tcPr>
            <w:tcW w:w="9016" w:type="dxa"/>
            <w:gridSpan w:val="2"/>
            <w:tcBorders>
              <w:top w:val="nil"/>
              <w:left w:val="nil"/>
              <w:bottom w:val="nil"/>
              <w:right w:val="nil"/>
            </w:tcBorders>
          </w:tcPr>
          <w:p w14:paraId="6AF0A6FC" w14:textId="77777777" w:rsidR="004E0CC9" w:rsidRPr="004A47DC" w:rsidRDefault="004E0CC9" w:rsidP="004E0CC9">
            <w:pPr>
              <w:pStyle w:val="TEKSTIII"/>
              <w:ind w:firstLine="0"/>
              <w:rPr>
                <w:rFonts w:eastAsia="Times New Roman"/>
                <w:b/>
                <w:bCs/>
                <w:sz w:val="22"/>
              </w:rPr>
            </w:pPr>
          </w:p>
          <w:p w14:paraId="2D42F235" w14:textId="77777777" w:rsidR="004E0CC9" w:rsidRPr="004A47DC" w:rsidRDefault="004E0CC9" w:rsidP="004E0CC9">
            <w:pPr>
              <w:pStyle w:val="TEKSTIII"/>
              <w:ind w:firstLine="0"/>
              <w:rPr>
                <w:rFonts w:eastAsia="Times New Roman"/>
                <w:b/>
                <w:bCs/>
                <w:sz w:val="22"/>
              </w:rPr>
            </w:pPr>
            <w:r w:rsidRPr="004A47DC">
              <w:rPr>
                <w:rFonts w:eastAsia="Times New Roman"/>
                <w:b/>
                <w:bCs/>
                <w:sz w:val="22"/>
              </w:rPr>
              <w:t>Parlamenti</w:t>
            </w:r>
          </w:p>
        </w:tc>
      </w:tr>
      <w:tr w:rsidR="004E0CC9" w:rsidRPr="004A47DC" w14:paraId="48563E3F" w14:textId="77777777" w:rsidTr="004E0CC9">
        <w:tc>
          <w:tcPr>
            <w:tcW w:w="1271" w:type="dxa"/>
            <w:tcBorders>
              <w:top w:val="nil"/>
              <w:left w:val="nil"/>
              <w:bottom w:val="nil"/>
              <w:right w:val="nil"/>
            </w:tcBorders>
          </w:tcPr>
          <w:p w14:paraId="0811D866" w14:textId="77777777" w:rsidR="004E0CC9" w:rsidRPr="004A47DC" w:rsidRDefault="004E0CC9" w:rsidP="004E0CC9">
            <w:pPr>
              <w:pStyle w:val="TEKSTIII"/>
              <w:ind w:firstLine="0"/>
              <w:rPr>
                <w:rFonts w:ascii="Calibri" w:eastAsia="Times New Roman" w:hAnsi="Calibri" w:cs="Calibri"/>
                <w:sz w:val="22"/>
              </w:rPr>
            </w:pPr>
            <w:r w:rsidRPr="004A47DC">
              <w:rPr>
                <w:rFonts w:eastAsia="Times New Roman"/>
                <w:sz w:val="22"/>
              </w:rPr>
              <w:t>KPFE</w:t>
            </w:r>
          </w:p>
        </w:tc>
        <w:tc>
          <w:tcPr>
            <w:tcW w:w="7745" w:type="dxa"/>
            <w:tcBorders>
              <w:top w:val="nil"/>
              <w:left w:val="nil"/>
              <w:bottom w:val="nil"/>
              <w:right w:val="nil"/>
            </w:tcBorders>
            <w:vAlign w:val="center"/>
          </w:tcPr>
          <w:p w14:paraId="2FA782EB" w14:textId="77777777" w:rsidR="004E0CC9" w:rsidRPr="004A47DC" w:rsidRDefault="004E0CC9" w:rsidP="004E0CC9">
            <w:pPr>
              <w:pStyle w:val="TEKSTIII"/>
              <w:ind w:firstLine="0"/>
              <w:rPr>
                <w:rFonts w:eastAsia="Times New Roman"/>
                <w:sz w:val="22"/>
              </w:rPr>
            </w:pPr>
            <w:r w:rsidRPr="004A47DC">
              <w:rPr>
                <w:rFonts w:eastAsia="Times New Roman"/>
                <w:sz w:val="22"/>
              </w:rPr>
              <w:t>Komisioni Parlamentar për Financat dhe Ekonominë</w:t>
            </w:r>
          </w:p>
        </w:tc>
      </w:tr>
      <w:tr w:rsidR="004E0CC9" w:rsidRPr="004A47DC" w14:paraId="758EB093" w14:textId="77777777" w:rsidTr="004E0CC9">
        <w:tc>
          <w:tcPr>
            <w:tcW w:w="9016" w:type="dxa"/>
            <w:gridSpan w:val="2"/>
            <w:tcBorders>
              <w:top w:val="nil"/>
              <w:left w:val="nil"/>
              <w:bottom w:val="nil"/>
              <w:right w:val="nil"/>
            </w:tcBorders>
          </w:tcPr>
          <w:p w14:paraId="2F9EDEAA" w14:textId="77777777" w:rsidR="004E0CC9" w:rsidRPr="004A47DC" w:rsidRDefault="004E0CC9" w:rsidP="004E0CC9">
            <w:pPr>
              <w:pStyle w:val="TEKSTIII"/>
              <w:ind w:firstLine="0"/>
              <w:rPr>
                <w:rFonts w:eastAsia="Times New Roman"/>
                <w:b/>
                <w:bCs/>
                <w:sz w:val="22"/>
              </w:rPr>
            </w:pPr>
          </w:p>
          <w:p w14:paraId="7CD0E92F" w14:textId="77777777" w:rsidR="004E0CC9" w:rsidRPr="004A47DC" w:rsidRDefault="004E0CC9" w:rsidP="004E0CC9">
            <w:pPr>
              <w:pStyle w:val="TEKSTIII"/>
              <w:ind w:firstLine="0"/>
              <w:rPr>
                <w:rFonts w:eastAsia="Times New Roman"/>
                <w:b/>
                <w:bCs/>
                <w:sz w:val="22"/>
              </w:rPr>
            </w:pPr>
            <w:r w:rsidRPr="004A47DC">
              <w:rPr>
                <w:rFonts w:eastAsia="Times New Roman"/>
                <w:b/>
                <w:bCs/>
                <w:sz w:val="22"/>
              </w:rPr>
              <w:t>Institucione të tjera të qeverisjes qendrore</w:t>
            </w:r>
          </w:p>
        </w:tc>
      </w:tr>
      <w:tr w:rsidR="004E0CC9" w:rsidRPr="004A47DC" w14:paraId="35ADAFA3" w14:textId="77777777" w:rsidTr="004E0CC9">
        <w:tc>
          <w:tcPr>
            <w:tcW w:w="1271" w:type="dxa"/>
            <w:tcBorders>
              <w:top w:val="nil"/>
              <w:left w:val="nil"/>
              <w:bottom w:val="nil"/>
              <w:right w:val="nil"/>
            </w:tcBorders>
          </w:tcPr>
          <w:p w14:paraId="7E18E505" w14:textId="77777777" w:rsidR="004E0CC9" w:rsidRPr="004A47DC" w:rsidRDefault="004E0CC9" w:rsidP="004E0CC9">
            <w:pPr>
              <w:pStyle w:val="TEKSTIII"/>
              <w:ind w:firstLine="0"/>
              <w:rPr>
                <w:rFonts w:eastAsia="Times New Roman"/>
                <w:sz w:val="22"/>
              </w:rPr>
            </w:pPr>
            <w:r w:rsidRPr="004A47DC">
              <w:rPr>
                <w:rFonts w:eastAsia="Times New Roman"/>
                <w:sz w:val="22"/>
              </w:rPr>
              <w:t>IB</w:t>
            </w:r>
          </w:p>
        </w:tc>
        <w:tc>
          <w:tcPr>
            <w:tcW w:w="7745" w:type="dxa"/>
            <w:tcBorders>
              <w:top w:val="nil"/>
              <w:left w:val="nil"/>
              <w:bottom w:val="nil"/>
              <w:right w:val="nil"/>
            </w:tcBorders>
            <w:vAlign w:val="center"/>
          </w:tcPr>
          <w:p w14:paraId="1C16E721" w14:textId="1AAF1214" w:rsidR="004E0CC9" w:rsidRPr="004A47DC" w:rsidRDefault="004E0CC9" w:rsidP="004E0CC9">
            <w:pPr>
              <w:pStyle w:val="TEKSTIII"/>
              <w:ind w:firstLine="0"/>
              <w:rPr>
                <w:rFonts w:eastAsia="Times New Roman"/>
                <w:sz w:val="22"/>
              </w:rPr>
            </w:pPr>
            <w:r w:rsidRPr="004A47DC">
              <w:rPr>
                <w:rFonts w:eastAsia="Times New Roman"/>
                <w:sz w:val="22"/>
              </w:rPr>
              <w:t xml:space="preserve">Institucionet </w:t>
            </w:r>
            <w:r w:rsidR="00352178">
              <w:rPr>
                <w:rFonts w:eastAsia="Times New Roman"/>
                <w:sz w:val="22"/>
              </w:rPr>
              <w:t>b</w:t>
            </w:r>
            <w:r w:rsidRPr="004A47DC">
              <w:rPr>
                <w:rFonts w:eastAsia="Times New Roman"/>
                <w:sz w:val="22"/>
              </w:rPr>
              <w:t>uxhetore</w:t>
            </w:r>
          </w:p>
        </w:tc>
      </w:tr>
      <w:tr w:rsidR="004E0CC9" w:rsidRPr="004A47DC" w14:paraId="7D855A46" w14:textId="77777777" w:rsidTr="004E0CC9">
        <w:tc>
          <w:tcPr>
            <w:tcW w:w="9016" w:type="dxa"/>
            <w:gridSpan w:val="2"/>
            <w:tcBorders>
              <w:top w:val="nil"/>
              <w:left w:val="nil"/>
              <w:bottom w:val="nil"/>
              <w:right w:val="nil"/>
            </w:tcBorders>
          </w:tcPr>
          <w:p w14:paraId="6337C11A" w14:textId="77777777" w:rsidR="004E0CC9" w:rsidRPr="004A47DC" w:rsidRDefault="004E0CC9" w:rsidP="004E0CC9">
            <w:pPr>
              <w:pStyle w:val="TEKSTIII"/>
              <w:ind w:firstLine="0"/>
              <w:rPr>
                <w:rFonts w:eastAsia="Times New Roman"/>
                <w:b/>
                <w:bCs/>
                <w:sz w:val="22"/>
              </w:rPr>
            </w:pPr>
          </w:p>
          <w:p w14:paraId="6CF7E7D2" w14:textId="77777777" w:rsidR="004E0CC9" w:rsidRPr="004A47DC" w:rsidRDefault="004E0CC9" w:rsidP="004E0CC9">
            <w:pPr>
              <w:pStyle w:val="TEKSTIII"/>
              <w:ind w:firstLine="0"/>
              <w:rPr>
                <w:rFonts w:eastAsia="Times New Roman"/>
                <w:b/>
                <w:bCs/>
                <w:sz w:val="22"/>
              </w:rPr>
            </w:pPr>
            <w:r w:rsidRPr="004A47DC">
              <w:rPr>
                <w:rFonts w:eastAsia="Times New Roman"/>
                <w:b/>
                <w:bCs/>
                <w:sz w:val="22"/>
              </w:rPr>
              <w:t>Pushteti vendor</w:t>
            </w:r>
          </w:p>
        </w:tc>
      </w:tr>
      <w:tr w:rsidR="004E0CC9" w:rsidRPr="004A47DC" w14:paraId="52B4F411" w14:textId="77777777" w:rsidTr="004E0CC9">
        <w:tc>
          <w:tcPr>
            <w:tcW w:w="1271" w:type="dxa"/>
            <w:tcBorders>
              <w:top w:val="nil"/>
              <w:left w:val="nil"/>
              <w:bottom w:val="nil"/>
              <w:right w:val="nil"/>
            </w:tcBorders>
          </w:tcPr>
          <w:p w14:paraId="7FE51A59" w14:textId="77777777" w:rsidR="004E0CC9" w:rsidRPr="004A47DC" w:rsidRDefault="004E0CC9" w:rsidP="004E0CC9">
            <w:pPr>
              <w:pStyle w:val="TEKSTIII"/>
              <w:ind w:firstLine="0"/>
              <w:rPr>
                <w:rFonts w:eastAsia="Times New Roman"/>
                <w:sz w:val="22"/>
              </w:rPr>
            </w:pPr>
            <w:r w:rsidRPr="004A47DC">
              <w:rPr>
                <w:rFonts w:eastAsia="Times New Roman"/>
                <w:sz w:val="22"/>
              </w:rPr>
              <w:t>NjVV</w:t>
            </w:r>
          </w:p>
        </w:tc>
        <w:tc>
          <w:tcPr>
            <w:tcW w:w="7745" w:type="dxa"/>
            <w:tcBorders>
              <w:top w:val="nil"/>
              <w:left w:val="nil"/>
              <w:bottom w:val="nil"/>
              <w:right w:val="nil"/>
            </w:tcBorders>
            <w:vAlign w:val="center"/>
          </w:tcPr>
          <w:p w14:paraId="1330D054" w14:textId="5C93B2DE" w:rsidR="004E0CC9" w:rsidRPr="004A47DC" w:rsidRDefault="004E0CC9" w:rsidP="004E0CC9">
            <w:pPr>
              <w:pStyle w:val="TEKSTIII"/>
              <w:ind w:firstLine="0"/>
              <w:rPr>
                <w:rFonts w:eastAsia="Times New Roman"/>
                <w:sz w:val="22"/>
              </w:rPr>
            </w:pPr>
            <w:r w:rsidRPr="004A47DC">
              <w:rPr>
                <w:rFonts w:eastAsia="Times New Roman"/>
                <w:sz w:val="22"/>
              </w:rPr>
              <w:t xml:space="preserve">Njësitë e </w:t>
            </w:r>
            <w:r w:rsidR="00352178" w:rsidRPr="004A47DC">
              <w:rPr>
                <w:rFonts w:eastAsia="Times New Roman"/>
                <w:sz w:val="22"/>
              </w:rPr>
              <w:t xml:space="preserve">vetëqeverisjes vendore </w:t>
            </w:r>
            <w:r w:rsidRPr="004A47DC">
              <w:rPr>
                <w:rFonts w:eastAsia="Times New Roman"/>
                <w:sz w:val="22"/>
              </w:rPr>
              <w:t>(</w:t>
            </w:r>
            <w:r w:rsidR="00352178">
              <w:rPr>
                <w:rFonts w:eastAsia="Times New Roman"/>
                <w:sz w:val="22"/>
              </w:rPr>
              <w:t>b</w:t>
            </w:r>
            <w:r w:rsidRPr="004A47DC">
              <w:rPr>
                <w:rFonts w:eastAsia="Times New Roman"/>
                <w:sz w:val="22"/>
              </w:rPr>
              <w:t>ashkitë)</w:t>
            </w:r>
          </w:p>
        </w:tc>
      </w:tr>
      <w:tr w:rsidR="004E0CC9" w:rsidRPr="004A47DC" w14:paraId="4E1AF420" w14:textId="77777777" w:rsidTr="004E0CC9">
        <w:tc>
          <w:tcPr>
            <w:tcW w:w="9016" w:type="dxa"/>
            <w:gridSpan w:val="2"/>
            <w:tcBorders>
              <w:top w:val="nil"/>
              <w:left w:val="nil"/>
              <w:bottom w:val="nil"/>
              <w:right w:val="nil"/>
            </w:tcBorders>
          </w:tcPr>
          <w:p w14:paraId="030409F2" w14:textId="77777777" w:rsidR="004E0CC9" w:rsidRPr="004A47DC" w:rsidRDefault="004E0CC9" w:rsidP="004E0CC9">
            <w:pPr>
              <w:pStyle w:val="TEKSTIII"/>
              <w:ind w:firstLine="0"/>
              <w:rPr>
                <w:rFonts w:eastAsia="Times New Roman"/>
                <w:b/>
                <w:bCs/>
                <w:sz w:val="22"/>
              </w:rPr>
            </w:pPr>
          </w:p>
          <w:p w14:paraId="4CFE2D41" w14:textId="77777777" w:rsidR="004E0CC9" w:rsidRPr="004A47DC" w:rsidRDefault="004E0CC9" w:rsidP="004E0CC9">
            <w:pPr>
              <w:pStyle w:val="TEKSTIII"/>
              <w:ind w:firstLine="0"/>
              <w:rPr>
                <w:rFonts w:eastAsia="Times New Roman"/>
                <w:b/>
                <w:bCs/>
                <w:sz w:val="22"/>
              </w:rPr>
            </w:pPr>
            <w:r w:rsidRPr="004A47DC">
              <w:rPr>
                <w:rFonts w:eastAsia="Times New Roman"/>
                <w:b/>
                <w:bCs/>
                <w:sz w:val="22"/>
              </w:rPr>
              <w:t>Partnerët për Zhvillimit</w:t>
            </w:r>
          </w:p>
        </w:tc>
      </w:tr>
      <w:tr w:rsidR="004E0CC9" w:rsidRPr="004A47DC" w14:paraId="6836E44F" w14:textId="77777777" w:rsidTr="004E0CC9">
        <w:tc>
          <w:tcPr>
            <w:tcW w:w="1271" w:type="dxa"/>
            <w:tcBorders>
              <w:top w:val="nil"/>
              <w:left w:val="nil"/>
              <w:bottom w:val="nil"/>
              <w:right w:val="nil"/>
            </w:tcBorders>
          </w:tcPr>
          <w:p w14:paraId="7B14547A" w14:textId="77777777" w:rsidR="004E0CC9" w:rsidRPr="004A47DC" w:rsidRDefault="004E0CC9" w:rsidP="004E0CC9">
            <w:pPr>
              <w:pStyle w:val="TEKSTIII"/>
              <w:ind w:firstLine="0"/>
              <w:rPr>
                <w:rFonts w:eastAsia="Times New Roman"/>
                <w:sz w:val="22"/>
              </w:rPr>
            </w:pPr>
            <w:r w:rsidRPr="004A47DC">
              <w:rPr>
                <w:rFonts w:eastAsia="Times New Roman"/>
                <w:sz w:val="22"/>
              </w:rPr>
              <w:t>BE</w:t>
            </w:r>
          </w:p>
        </w:tc>
        <w:tc>
          <w:tcPr>
            <w:tcW w:w="7745" w:type="dxa"/>
            <w:tcBorders>
              <w:top w:val="nil"/>
              <w:left w:val="nil"/>
              <w:bottom w:val="nil"/>
              <w:right w:val="nil"/>
            </w:tcBorders>
            <w:vAlign w:val="center"/>
          </w:tcPr>
          <w:p w14:paraId="55F9B8E4" w14:textId="24D9F98C" w:rsidR="004E0CC9" w:rsidRPr="004A47DC" w:rsidRDefault="004E0CC9" w:rsidP="004E0CC9">
            <w:pPr>
              <w:pStyle w:val="TEKSTIII"/>
              <w:ind w:firstLine="0"/>
              <w:rPr>
                <w:rFonts w:eastAsia="Times New Roman"/>
                <w:sz w:val="22"/>
              </w:rPr>
            </w:pPr>
            <w:r w:rsidRPr="004A47DC">
              <w:rPr>
                <w:rFonts w:eastAsia="Times New Roman"/>
                <w:sz w:val="22"/>
              </w:rPr>
              <w:t xml:space="preserve">Bashkimi </w:t>
            </w:r>
            <w:r w:rsidR="00B05964" w:rsidRPr="004A47DC">
              <w:rPr>
                <w:rFonts w:eastAsia="Times New Roman"/>
                <w:sz w:val="22"/>
              </w:rPr>
              <w:t>Evropian</w:t>
            </w:r>
          </w:p>
        </w:tc>
      </w:tr>
      <w:tr w:rsidR="004E0CC9" w:rsidRPr="004A47DC" w14:paraId="70FE179F" w14:textId="77777777" w:rsidTr="004E0CC9">
        <w:tc>
          <w:tcPr>
            <w:tcW w:w="1271" w:type="dxa"/>
            <w:tcBorders>
              <w:top w:val="nil"/>
              <w:left w:val="nil"/>
              <w:bottom w:val="nil"/>
              <w:right w:val="nil"/>
            </w:tcBorders>
          </w:tcPr>
          <w:p w14:paraId="1CE1909B" w14:textId="77777777" w:rsidR="004E0CC9" w:rsidRPr="004A47DC" w:rsidRDefault="004E0CC9" w:rsidP="004E0CC9">
            <w:pPr>
              <w:pStyle w:val="TEKSTIII"/>
              <w:ind w:firstLine="0"/>
              <w:rPr>
                <w:rFonts w:eastAsia="Times New Roman"/>
                <w:sz w:val="22"/>
              </w:rPr>
            </w:pPr>
            <w:r w:rsidRPr="004A47DC">
              <w:rPr>
                <w:rFonts w:eastAsia="Times New Roman"/>
                <w:sz w:val="22"/>
              </w:rPr>
              <w:t>FMN</w:t>
            </w:r>
          </w:p>
        </w:tc>
        <w:tc>
          <w:tcPr>
            <w:tcW w:w="7745" w:type="dxa"/>
            <w:tcBorders>
              <w:top w:val="nil"/>
              <w:left w:val="nil"/>
              <w:bottom w:val="nil"/>
              <w:right w:val="nil"/>
            </w:tcBorders>
            <w:vAlign w:val="center"/>
          </w:tcPr>
          <w:p w14:paraId="14753EFC" w14:textId="77777777" w:rsidR="004E0CC9" w:rsidRPr="004A47DC" w:rsidRDefault="004E0CC9" w:rsidP="004E0CC9">
            <w:pPr>
              <w:pStyle w:val="TEKSTIII"/>
              <w:ind w:firstLine="0"/>
              <w:rPr>
                <w:rFonts w:eastAsia="Times New Roman"/>
                <w:sz w:val="22"/>
              </w:rPr>
            </w:pPr>
            <w:r w:rsidRPr="004A47DC">
              <w:rPr>
                <w:rFonts w:eastAsia="Times New Roman"/>
                <w:sz w:val="22"/>
              </w:rPr>
              <w:t>Fondi Monetar Ndërkombëtar</w:t>
            </w:r>
          </w:p>
        </w:tc>
      </w:tr>
      <w:tr w:rsidR="004E0CC9" w:rsidRPr="004A47DC" w14:paraId="5F97F492" w14:textId="77777777" w:rsidTr="004E0CC9">
        <w:tc>
          <w:tcPr>
            <w:tcW w:w="1271" w:type="dxa"/>
            <w:tcBorders>
              <w:top w:val="nil"/>
              <w:left w:val="nil"/>
              <w:bottom w:val="nil"/>
              <w:right w:val="nil"/>
            </w:tcBorders>
          </w:tcPr>
          <w:p w14:paraId="5EDD12F0" w14:textId="77777777" w:rsidR="004E0CC9" w:rsidRPr="004A47DC" w:rsidRDefault="004E0CC9" w:rsidP="004E0CC9">
            <w:pPr>
              <w:pStyle w:val="TEKSTIII"/>
              <w:ind w:firstLine="0"/>
              <w:rPr>
                <w:rFonts w:eastAsia="Times New Roman"/>
                <w:sz w:val="22"/>
              </w:rPr>
            </w:pPr>
            <w:r w:rsidRPr="004A47DC">
              <w:rPr>
                <w:rFonts w:eastAsia="Times New Roman"/>
                <w:sz w:val="22"/>
              </w:rPr>
              <w:t>SECO</w:t>
            </w:r>
          </w:p>
        </w:tc>
        <w:tc>
          <w:tcPr>
            <w:tcW w:w="7745" w:type="dxa"/>
            <w:tcBorders>
              <w:top w:val="nil"/>
              <w:left w:val="nil"/>
              <w:bottom w:val="nil"/>
              <w:right w:val="nil"/>
            </w:tcBorders>
            <w:vAlign w:val="center"/>
          </w:tcPr>
          <w:p w14:paraId="622C7BD8" w14:textId="77777777" w:rsidR="004E0CC9" w:rsidRPr="004A47DC" w:rsidRDefault="004E0CC9" w:rsidP="004E0CC9">
            <w:pPr>
              <w:pStyle w:val="TEKSTIII"/>
              <w:ind w:firstLine="0"/>
              <w:rPr>
                <w:rFonts w:eastAsia="Times New Roman"/>
                <w:sz w:val="22"/>
              </w:rPr>
            </w:pPr>
            <w:r w:rsidRPr="004A47DC">
              <w:rPr>
                <w:rFonts w:eastAsia="Times New Roman"/>
                <w:sz w:val="22"/>
              </w:rPr>
              <w:t>Sekretariati Shtetëror për Çështjet Ekonomike (Zvicër)</w:t>
            </w:r>
          </w:p>
        </w:tc>
      </w:tr>
      <w:tr w:rsidR="004E0CC9" w:rsidRPr="004A47DC" w14:paraId="02BAEC09" w14:textId="77777777" w:rsidTr="004E0CC9">
        <w:tc>
          <w:tcPr>
            <w:tcW w:w="1271" w:type="dxa"/>
            <w:tcBorders>
              <w:top w:val="nil"/>
              <w:left w:val="nil"/>
              <w:bottom w:val="nil"/>
              <w:right w:val="nil"/>
            </w:tcBorders>
          </w:tcPr>
          <w:p w14:paraId="638E5C7B" w14:textId="77777777" w:rsidR="004E0CC9" w:rsidRPr="004A47DC" w:rsidRDefault="004E0CC9" w:rsidP="004E0CC9">
            <w:pPr>
              <w:pStyle w:val="TEKSTIII"/>
              <w:ind w:firstLine="0"/>
              <w:rPr>
                <w:rFonts w:eastAsia="Times New Roman"/>
                <w:sz w:val="22"/>
              </w:rPr>
            </w:pPr>
            <w:r w:rsidRPr="004A47DC">
              <w:rPr>
                <w:rFonts w:eastAsia="Times New Roman"/>
                <w:sz w:val="22"/>
              </w:rPr>
              <w:t>SIGMA</w:t>
            </w:r>
          </w:p>
        </w:tc>
        <w:tc>
          <w:tcPr>
            <w:tcW w:w="7745" w:type="dxa"/>
            <w:tcBorders>
              <w:top w:val="nil"/>
              <w:left w:val="nil"/>
              <w:bottom w:val="nil"/>
              <w:right w:val="nil"/>
            </w:tcBorders>
            <w:vAlign w:val="center"/>
          </w:tcPr>
          <w:p w14:paraId="677EB38C" w14:textId="77777777" w:rsidR="004E0CC9" w:rsidRPr="004A47DC" w:rsidRDefault="004E0CC9" w:rsidP="004E0CC9">
            <w:pPr>
              <w:pStyle w:val="TEKSTIII"/>
              <w:ind w:firstLine="0"/>
              <w:rPr>
                <w:rFonts w:eastAsia="Times New Roman"/>
                <w:color w:val="111111"/>
                <w:sz w:val="22"/>
                <w:szCs w:val="29"/>
              </w:rPr>
            </w:pPr>
            <w:r w:rsidRPr="004A47DC">
              <w:rPr>
                <w:rFonts w:eastAsia="Times New Roman"/>
                <w:sz w:val="22"/>
              </w:rPr>
              <w:t>Mbështetje për Përmirësim në Qeverisje dhe Menaxhim (OBZhE - BE)</w:t>
            </w:r>
          </w:p>
        </w:tc>
      </w:tr>
      <w:tr w:rsidR="004E0CC9" w:rsidRPr="004A47DC" w14:paraId="26FCC14E" w14:textId="77777777" w:rsidTr="004E0CC9">
        <w:tc>
          <w:tcPr>
            <w:tcW w:w="1271" w:type="dxa"/>
            <w:tcBorders>
              <w:top w:val="nil"/>
              <w:left w:val="nil"/>
              <w:bottom w:val="nil"/>
              <w:right w:val="nil"/>
            </w:tcBorders>
          </w:tcPr>
          <w:p w14:paraId="57FDD781" w14:textId="77777777" w:rsidR="004E0CC9" w:rsidRPr="004A47DC" w:rsidRDefault="004E0CC9" w:rsidP="004E0CC9">
            <w:pPr>
              <w:pStyle w:val="TEKSTIII"/>
              <w:ind w:firstLine="0"/>
              <w:rPr>
                <w:rFonts w:eastAsia="Times New Roman"/>
                <w:sz w:val="22"/>
              </w:rPr>
            </w:pPr>
            <w:r w:rsidRPr="004A47DC">
              <w:rPr>
                <w:rFonts w:eastAsia="Times New Roman"/>
                <w:sz w:val="22"/>
              </w:rPr>
              <w:t>BB</w:t>
            </w:r>
          </w:p>
        </w:tc>
        <w:tc>
          <w:tcPr>
            <w:tcW w:w="7745" w:type="dxa"/>
            <w:tcBorders>
              <w:top w:val="nil"/>
              <w:left w:val="nil"/>
              <w:bottom w:val="nil"/>
              <w:right w:val="nil"/>
            </w:tcBorders>
            <w:vAlign w:val="center"/>
          </w:tcPr>
          <w:p w14:paraId="40415F96" w14:textId="77777777" w:rsidR="004E0CC9" w:rsidRPr="004A47DC" w:rsidRDefault="004E0CC9" w:rsidP="004E0CC9">
            <w:pPr>
              <w:pStyle w:val="TEKSTIII"/>
              <w:ind w:firstLine="0"/>
              <w:rPr>
                <w:rFonts w:eastAsia="Times New Roman"/>
                <w:sz w:val="22"/>
              </w:rPr>
            </w:pPr>
            <w:r w:rsidRPr="004A47DC">
              <w:rPr>
                <w:rFonts w:eastAsia="Times New Roman"/>
                <w:sz w:val="22"/>
              </w:rPr>
              <w:t>Banka Botërore</w:t>
            </w:r>
          </w:p>
        </w:tc>
      </w:tr>
      <w:tr w:rsidR="004E0CC9" w:rsidRPr="004A47DC" w14:paraId="4EC2BCA5" w14:textId="77777777" w:rsidTr="004E0CC9">
        <w:tc>
          <w:tcPr>
            <w:tcW w:w="1271" w:type="dxa"/>
            <w:tcBorders>
              <w:top w:val="nil"/>
              <w:left w:val="nil"/>
              <w:bottom w:val="nil"/>
              <w:right w:val="nil"/>
            </w:tcBorders>
          </w:tcPr>
          <w:p w14:paraId="49908F93" w14:textId="77777777" w:rsidR="004E0CC9" w:rsidRPr="004A47DC" w:rsidRDefault="004E0CC9" w:rsidP="004E0CC9">
            <w:pPr>
              <w:pStyle w:val="TEKSTIII"/>
              <w:ind w:firstLine="0"/>
              <w:rPr>
                <w:rFonts w:eastAsia="Times New Roman"/>
                <w:sz w:val="22"/>
              </w:rPr>
            </w:pPr>
            <w:r w:rsidRPr="004A47DC">
              <w:rPr>
                <w:rFonts w:eastAsia="Times New Roman"/>
                <w:sz w:val="22"/>
              </w:rPr>
              <w:t>UN</w:t>
            </w:r>
          </w:p>
        </w:tc>
        <w:tc>
          <w:tcPr>
            <w:tcW w:w="7745" w:type="dxa"/>
            <w:tcBorders>
              <w:top w:val="nil"/>
              <w:left w:val="nil"/>
              <w:bottom w:val="nil"/>
              <w:right w:val="nil"/>
            </w:tcBorders>
            <w:vAlign w:val="center"/>
          </w:tcPr>
          <w:p w14:paraId="49E0C3C2" w14:textId="77777777" w:rsidR="004E0CC9" w:rsidRPr="004A47DC" w:rsidRDefault="004E0CC9" w:rsidP="004E0CC9">
            <w:pPr>
              <w:pStyle w:val="TEKSTIII"/>
              <w:ind w:firstLine="0"/>
              <w:rPr>
                <w:rFonts w:eastAsia="Times New Roman"/>
                <w:sz w:val="22"/>
              </w:rPr>
            </w:pPr>
            <w:r w:rsidRPr="004A47DC">
              <w:rPr>
                <w:rFonts w:eastAsia="Times New Roman"/>
                <w:sz w:val="22"/>
              </w:rPr>
              <w:t>United Nations</w:t>
            </w:r>
          </w:p>
        </w:tc>
      </w:tr>
    </w:tbl>
    <w:p w14:paraId="316CCB3B" w14:textId="52621868" w:rsidR="004E0CC9" w:rsidRPr="004A47DC" w:rsidRDefault="004E0CC9" w:rsidP="004E0CC9">
      <w:pPr>
        <w:pStyle w:val="TEKSTIII"/>
        <w:ind w:firstLine="0"/>
        <w:rPr>
          <w:highlight w:val="yellow"/>
        </w:rPr>
      </w:pPr>
    </w:p>
    <w:p w14:paraId="5E785544" w14:textId="77777777" w:rsidR="00352178" w:rsidRDefault="004973B6" w:rsidP="004973B6">
      <w:pPr>
        <w:pStyle w:val="TEKSTIII"/>
        <w:rPr>
          <w:b/>
        </w:rPr>
      </w:pPr>
      <w:bookmarkStart w:id="57" w:name="_Toc168918710"/>
      <w:r w:rsidRPr="004A47DC">
        <w:rPr>
          <w:b/>
        </w:rPr>
        <w:t xml:space="preserve">Shtojca 2 </w:t>
      </w:r>
    </w:p>
    <w:p w14:paraId="4F73DFEC" w14:textId="77777777" w:rsidR="00352178" w:rsidRDefault="00352178" w:rsidP="004973B6">
      <w:pPr>
        <w:pStyle w:val="TEKSTIII"/>
        <w:rPr>
          <w:b/>
        </w:rPr>
      </w:pPr>
    </w:p>
    <w:p w14:paraId="4C9A2A81" w14:textId="3780C39B" w:rsidR="004973B6" w:rsidRPr="00352178" w:rsidRDefault="00352178" w:rsidP="00352178">
      <w:pPr>
        <w:pStyle w:val="TEKSTIII"/>
        <w:jc w:val="center"/>
      </w:pPr>
      <w:r w:rsidRPr="00352178">
        <w:t>VËSHTRIM I PËRGJITHSHËM I MBËSHTETJES SË VAZHDUESHME DHE TË PLANIFIKUAR NGA PARTNERËT E ZHVILLIMIT</w:t>
      </w:r>
      <w:bookmarkEnd w:id="57"/>
    </w:p>
    <w:p w14:paraId="515D77E5" w14:textId="77777777" w:rsidR="004973B6" w:rsidRPr="004A47DC" w:rsidRDefault="004973B6" w:rsidP="004973B6"/>
    <w:tbl>
      <w:tblPr>
        <w:tblStyle w:val="TableGrid"/>
        <w:tblW w:w="0" w:type="auto"/>
        <w:tblBorders>
          <w:left w:val="none" w:sz="0" w:space="0" w:color="auto"/>
          <w:right w:val="none" w:sz="0" w:space="0" w:color="auto"/>
          <w:insideV w:val="none" w:sz="0" w:space="0" w:color="auto"/>
        </w:tblBorders>
        <w:tblCellMar>
          <w:top w:w="57" w:type="dxa"/>
          <w:left w:w="85" w:type="dxa"/>
          <w:bottom w:w="57" w:type="dxa"/>
          <w:right w:w="85" w:type="dxa"/>
        </w:tblCellMar>
        <w:tblLook w:val="04A0" w:firstRow="1" w:lastRow="0" w:firstColumn="1" w:lastColumn="0" w:noHBand="0" w:noVBand="1"/>
      </w:tblPr>
      <w:tblGrid>
        <w:gridCol w:w="2547"/>
        <w:gridCol w:w="6469"/>
      </w:tblGrid>
      <w:tr w:rsidR="004973B6" w:rsidRPr="004A47DC" w14:paraId="72C68112" w14:textId="77777777" w:rsidTr="004C7CE8">
        <w:tc>
          <w:tcPr>
            <w:tcW w:w="2547" w:type="dxa"/>
          </w:tcPr>
          <w:p w14:paraId="09CD6EA7" w14:textId="4482295F" w:rsidR="004973B6" w:rsidRPr="004A47DC" w:rsidRDefault="004973B6" w:rsidP="004973B6">
            <w:pPr>
              <w:rPr>
                <w:rFonts w:ascii="Garamond" w:hAnsi="Garamond"/>
                <w:sz w:val="20"/>
              </w:rPr>
            </w:pPr>
            <w:r w:rsidRPr="004A47DC">
              <w:rPr>
                <w:rFonts w:ascii="Garamond" w:hAnsi="Garamond"/>
                <w:sz w:val="20"/>
              </w:rPr>
              <w:t>1. PEFA në nivel kombëtar</w:t>
            </w:r>
          </w:p>
        </w:tc>
        <w:tc>
          <w:tcPr>
            <w:tcW w:w="6469" w:type="dxa"/>
          </w:tcPr>
          <w:p w14:paraId="291AA3B5"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Partner: BE,</w:t>
            </w:r>
          </w:p>
          <w:p w14:paraId="7E072294"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Periudha e zbatimit: 2024 (i planifikuar)</w:t>
            </w:r>
          </w:p>
        </w:tc>
      </w:tr>
      <w:tr w:rsidR="004973B6" w:rsidRPr="004A47DC" w14:paraId="7FE36C4F" w14:textId="77777777" w:rsidTr="004C7CE8">
        <w:tc>
          <w:tcPr>
            <w:tcW w:w="2547" w:type="dxa"/>
          </w:tcPr>
          <w:p w14:paraId="445292BD" w14:textId="3BCCF9B7" w:rsidR="004973B6" w:rsidRPr="004A47DC" w:rsidRDefault="004973B6" w:rsidP="004973B6">
            <w:pPr>
              <w:rPr>
                <w:rFonts w:ascii="Garamond" w:hAnsi="Garamond"/>
                <w:sz w:val="20"/>
              </w:rPr>
            </w:pPr>
            <w:r w:rsidRPr="004A47DC">
              <w:rPr>
                <w:rFonts w:ascii="Garamond" w:hAnsi="Garamond"/>
                <w:sz w:val="20"/>
              </w:rPr>
              <w:t>2. PEFA vendore në pesë bashki</w:t>
            </w:r>
          </w:p>
        </w:tc>
        <w:tc>
          <w:tcPr>
            <w:tcW w:w="6469" w:type="dxa"/>
          </w:tcPr>
          <w:p w14:paraId="2ED43899"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Partner: SECO</w:t>
            </w:r>
          </w:p>
          <w:p w14:paraId="1E8C1A8E"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Periudha e zbatimit: 2024 (i planifikuar)</w:t>
            </w:r>
          </w:p>
        </w:tc>
      </w:tr>
      <w:tr w:rsidR="004973B6" w:rsidRPr="004A47DC" w14:paraId="71995F11" w14:textId="77777777" w:rsidTr="004C7CE8">
        <w:tc>
          <w:tcPr>
            <w:tcW w:w="2547" w:type="dxa"/>
          </w:tcPr>
          <w:p w14:paraId="52BF11C7" w14:textId="56D87866" w:rsidR="004973B6" w:rsidRPr="004A47DC" w:rsidRDefault="004973B6" w:rsidP="004973B6">
            <w:pPr>
              <w:rPr>
                <w:rFonts w:ascii="Garamond" w:hAnsi="Garamond"/>
                <w:sz w:val="20"/>
              </w:rPr>
            </w:pPr>
            <w:r w:rsidRPr="004A47DC">
              <w:rPr>
                <w:rFonts w:ascii="Garamond" w:hAnsi="Garamond"/>
                <w:sz w:val="20"/>
              </w:rPr>
              <w:t>3. SIGMA Parimet e Vlerësimit të Administratës Publike</w:t>
            </w:r>
          </w:p>
        </w:tc>
        <w:tc>
          <w:tcPr>
            <w:tcW w:w="6469" w:type="dxa"/>
          </w:tcPr>
          <w:p w14:paraId="0719DB89"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Partner: SIGMA</w:t>
            </w:r>
          </w:p>
          <w:p w14:paraId="0607BAE4"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Periudha e zbatimit: 2024 (i planifikuar)</w:t>
            </w:r>
          </w:p>
        </w:tc>
      </w:tr>
      <w:tr w:rsidR="004973B6" w:rsidRPr="004A47DC" w14:paraId="4E0618BC" w14:textId="77777777" w:rsidTr="004C7CE8">
        <w:tc>
          <w:tcPr>
            <w:tcW w:w="2547" w:type="dxa"/>
          </w:tcPr>
          <w:p w14:paraId="23E10FC1" w14:textId="2095221C" w:rsidR="004973B6" w:rsidRPr="004A47DC" w:rsidRDefault="004973B6" w:rsidP="004973B6">
            <w:pPr>
              <w:rPr>
                <w:rFonts w:ascii="Garamond" w:hAnsi="Garamond"/>
                <w:sz w:val="20"/>
              </w:rPr>
            </w:pPr>
            <w:r w:rsidRPr="004A47DC">
              <w:rPr>
                <w:rFonts w:ascii="Garamond" w:hAnsi="Garamond"/>
                <w:sz w:val="20"/>
              </w:rPr>
              <w:t>4. Asistencë Teknike e BE-së për Qeverisjen e Mirë</w:t>
            </w:r>
          </w:p>
        </w:tc>
        <w:tc>
          <w:tcPr>
            <w:tcW w:w="6469" w:type="dxa"/>
          </w:tcPr>
          <w:p w14:paraId="0C262D44"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Partner: BE</w:t>
            </w:r>
          </w:p>
          <w:p w14:paraId="2FA34E7D"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Periudha e zbatimit: 2023-2027 (në vazhdimësi)</w:t>
            </w:r>
          </w:p>
          <w:p w14:paraId="2706E183" w14:textId="71EE3138"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 xml:space="preserve">Fushëveprimi: Mbështetja e </w:t>
            </w:r>
            <w:r w:rsidR="00352178">
              <w:rPr>
                <w:rFonts w:ascii="Garamond" w:hAnsi="Garamond"/>
                <w:sz w:val="20"/>
                <w:szCs w:val="20"/>
                <w:lang w:val="sq-AL"/>
              </w:rPr>
              <w:t>q</w:t>
            </w:r>
            <w:r w:rsidRPr="004A47DC">
              <w:rPr>
                <w:rFonts w:ascii="Garamond" w:hAnsi="Garamond"/>
                <w:sz w:val="20"/>
                <w:szCs w:val="20"/>
                <w:lang w:val="sq-AL"/>
              </w:rPr>
              <w:t>everisë me reformat në Administratën Publike, Kundër Korrupsionit, Qeverisjen Vendore dhe Menaxhimin e Financave Publike.</w:t>
            </w:r>
          </w:p>
        </w:tc>
      </w:tr>
      <w:tr w:rsidR="004973B6" w:rsidRPr="004A47DC" w14:paraId="525A6D6A" w14:textId="77777777" w:rsidTr="004C7CE8">
        <w:trPr>
          <w:trHeight w:val="1805"/>
        </w:trPr>
        <w:tc>
          <w:tcPr>
            <w:tcW w:w="2547" w:type="dxa"/>
          </w:tcPr>
          <w:p w14:paraId="5AEFBC56" w14:textId="781EE27A" w:rsidR="004973B6" w:rsidRPr="004A47DC" w:rsidRDefault="004973B6" w:rsidP="004973B6">
            <w:pPr>
              <w:rPr>
                <w:rFonts w:ascii="Garamond" w:hAnsi="Garamond"/>
                <w:sz w:val="20"/>
              </w:rPr>
            </w:pPr>
            <w:r w:rsidRPr="004A47DC">
              <w:rPr>
                <w:rFonts w:ascii="Garamond" w:hAnsi="Garamond"/>
                <w:sz w:val="20"/>
              </w:rPr>
              <w:t>5. Forcimi i qeverisjes fiskale në Ballkanin Perëndimor</w:t>
            </w:r>
          </w:p>
        </w:tc>
        <w:tc>
          <w:tcPr>
            <w:tcW w:w="6469" w:type="dxa"/>
          </w:tcPr>
          <w:p w14:paraId="3A19197E"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 Banka Botërore (fondi i mirëbesimit), BE (financimi)</w:t>
            </w:r>
          </w:p>
          <w:p w14:paraId="6FF3BFFA"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Periudha e zbatimit:</w:t>
            </w:r>
          </w:p>
          <w:p w14:paraId="7518C56A" w14:textId="2CD5BB50"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Fushëveprimi: Komponenti I fokusohet në forcimin e kuadrit të përgjegjësisë fiskale përmes</w:t>
            </w:r>
            <w:r w:rsidR="00B05964" w:rsidRPr="004A47DC">
              <w:rPr>
                <w:rFonts w:ascii="Garamond" w:hAnsi="Garamond"/>
                <w:sz w:val="20"/>
                <w:szCs w:val="20"/>
                <w:lang w:val="sq-AL"/>
              </w:rPr>
              <w:t>:</w:t>
            </w:r>
            <w:r w:rsidRPr="004A47DC">
              <w:rPr>
                <w:rFonts w:ascii="Garamond" w:hAnsi="Garamond"/>
                <w:sz w:val="20"/>
                <w:szCs w:val="20"/>
                <w:lang w:val="sq-AL"/>
              </w:rPr>
              <w:t xml:space="preserve"> i</w:t>
            </w:r>
            <w:r w:rsidR="00B05964" w:rsidRPr="004A47DC">
              <w:rPr>
                <w:rFonts w:ascii="Garamond" w:hAnsi="Garamond"/>
                <w:sz w:val="20"/>
                <w:szCs w:val="20"/>
                <w:lang w:val="sq-AL"/>
              </w:rPr>
              <w:t>.</w:t>
            </w:r>
            <w:r w:rsidRPr="004A47DC">
              <w:rPr>
                <w:rFonts w:ascii="Garamond" w:hAnsi="Garamond"/>
                <w:sz w:val="20"/>
                <w:szCs w:val="20"/>
                <w:lang w:val="sq-AL"/>
              </w:rPr>
              <w:t xml:space="preserve"> përmirësimit të kuadrit të përgjegjësisë fiskale (rregullat dhe institucionet)</w:t>
            </w:r>
            <w:r w:rsidR="00B05964" w:rsidRPr="004A47DC">
              <w:rPr>
                <w:rFonts w:ascii="Garamond" w:hAnsi="Garamond"/>
                <w:sz w:val="20"/>
                <w:szCs w:val="20"/>
                <w:lang w:val="sq-AL"/>
              </w:rPr>
              <w:t>;</w:t>
            </w:r>
            <w:r w:rsidRPr="004A47DC">
              <w:rPr>
                <w:rFonts w:ascii="Garamond" w:hAnsi="Garamond"/>
                <w:sz w:val="20"/>
                <w:szCs w:val="20"/>
                <w:lang w:val="sq-AL"/>
              </w:rPr>
              <w:t xml:space="preserve"> dhe ii</w:t>
            </w:r>
            <w:r w:rsidR="00B05964" w:rsidRPr="004A47DC">
              <w:rPr>
                <w:rFonts w:ascii="Garamond" w:hAnsi="Garamond"/>
                <w:sz w:val="20"/>
                <w:szCs w:val="20"/>
                <w:lang w:val="sq-AL"/>
              </w:rPr>
              <w:t xml:space="preserve">. </w:t>
            </w:r>
            <w:r w:rsidR="00352178">
              <w:rPr>
                <w:rFonts w:ascii="Garamond" w:hAnsi="Garamond"/>
                <w:sz w:val="20"/>
                <w:szCs w:val="20"/>
                <w:lang w:val="sq-AL"/>
              </w:rPr>
              <w:t>m</w:t>
            </w:r>
            <w:r w:rsidRPr="004A47DC">
              <w:rPr>
                <w:rFonts w:ascii="Garamond" w:hAnsi="Garamond"/>
                <w:sz w:val="20"/>
                <w:szCs w:val="20"/>
                <w:lang w:val="sq-AL"/>
              </w:rPr>
              <w:t>odelimi dhe parashikimi makroekonomik. Komponenti II fokusohet në rritjen e qeverisjes së infrastrukturës përmes forcimit të menaxhimit të investimeve publike (MIP) dhe menaxhimit të aseteve publike (MAP) me fokus sektorial dhe institucional përmes</w:t>
            </w:r>
            <w:r w:rsidR="00B05964" w:rsidRPr="004A47DC">
              <w:rPr>
                <w:rFonts w:ascii="Garamond" w:hAnsi="Garamond"/>
                <w:sz w:val="20"/>
                <w:szCs w:val="20"/>
                <w:lang w:val="sq-AL"/>
              </w:rPr>
              <w:t xml:space="preserve">: </w:t>
            </w:r>
            <w:r w:rsidRPr="004A47DC">
              <w:rPr>
                <w:rFonts w:ascii="Garamond" w:hAnsi="Garamond"/>
                <w:sz w:val="20"/>
                <w:szCs w:val="20"/>
                <w:lang w:val="sq-AL"/>
              </w:rPr>
              <w:t>i</w:t>
            </w:r>
            <w:r w:rsidR="00B05964" w:rsidRPr="004A47DC">
              <w:rPr>
                <w:rFonts w:ascii="Garamond" w:hAnsi="Garamond"/>
                <w:sz w:val="20"/>
                <w:szCs w:val="20"/>
                <w:lang w:val="sq-AL"/>
              </w:rPr>
              <w:t>.</w:t>
            </w:r>
            <w:r w:rsidRPr="004A47DC">
              <w:rPr>
                <w:rFonts w:ascii="Garamond" w:hAnsi="Garamond"/>
                <w:sz w:val="20"/>
                <w:szCs w:val="20"/>
                <w:lang w:val="sq-AL"/>
              </w:rPr>
              <w:t xml:space="preserve"> </w:t>
            </w:r>
            <w:r w:rsidR="00352178">
              <w:rPr>
                <w:rFonts w:ascii="Garamond" w:hAnsi="Garamond"/>
                <w:sz w:val="20"/>
                <w:szCs w:val="20"/>
                <w:lang w:val="sq-AL"/>
              </w:rPr>
              <w:t>m</w:t>
            </w:r>
            <w:r w:rsidRPr="004A47DC">
              <w:rPr>
                <w:rFonts w:ascii="Garamond" w:hAnsi="Garamond"/>
                <w:sz w:val="20"/>
                <w:szCs w:val="20"/>
                <w:lang w:val="sq-AL"/>
              </w:rPr>
              <w:t>bështetjes së reformave të qeverisjes së infrastrukturës të bazuara në prova dhe rezistente ndaj klimës</w:t>
            </w:r>
            <w:r w:rsidR="00B05964" w:rsidRPr="004A47DC">
              <w:rPr>
                <w:rFonts w:ascii="Garamond" w:hAnsi="Garamond"/>
                <w:sz w:val="20"/>
                <w:szCs w:val="20"/>
                <w:lang w:val="sq-AL"/>
              </w:rPr>
              <w:t>;</w:t>
            </w:r>
            <w:r w:rsidRPr="004A47DC">
              <w:rPr>
                <w:rFonts w:ascii="Garamond" w:hAnsi="Garamond"/>
                <w:sz w:val="20"/>
                <w:szCs w:val="20"/>
                <w:lang w:val="sq-AL"/>
              </w:rPr>
              <w:t xml:space="preserve"> dhe ii</w:t>
            </w:r>
            <w:r w:rsidR="00B05964" w:rsidRPr="004A47DC">
              <w:rPr>
                <w:rFonts w:ascii="Garamond" w:hAnsi="Garamond"/>
                <w:sz w:val="20"/>
                <w:szCs w:val="20"/>
                <w:lang w:val="sq-AL"/>
              </w:rPr>
              <w:t>.</w:t>
            </w:r>
            <w:r w:rsidRPr="004A47DC">
              <w:rPr>
                <w:rFonts w:ascii="Garamond" w:hAnsi="Garamond"/>
                <w:sz w:val="20"/>
                <w:szCs w:val="20"/>
                <w:lang w:val="sq-AL"/>
              </w:rPr>
              <w:t xml:space="preserve"> </w:t>
            </w:r>
            <w:r w:rsidR="00352178">
              <w:rPr>
                <w:rFonts w:ascii="Garamond" w:hAnsi="Garamond"/>
                <w:sz w:val="20"/>
                <w:szCs w:val="20"/>
                <w:lang w:val="sq-AL"/>
              </w:rPr>
              <w:t>f</w:t>
            </w:r>
            <w:r w:rsidRPr="004A47DC">
              <w:rPr>
                <w:rFonts w:ascii="Garamond" w:hAnsi="Garamond"/>
                <w:sz w:val="20"/>
                <w:szCs w:val="20"/>
                <w:lang w:val="sq-AL"/>
              </w:rPr>
              <w:t>orcimit institucional i MAIP me fokus në infrastrukturë, ndërmarrjet shtetërore (NSH) dhe qeveritë vendore (QV).</w:t>
            </w:r>
          </w:p>
        </w:tc>
      </w:tr>
      <w:tr w:rsidR="004973B6" w:rsidRPr="004A47DC" w14:paraId="05695361" w14:textId="77777777" w:rsidTr="004C7CE8">
        <w:tc>
          <w:tcPr>
            <w:tcW w:w="2547" w:type="dxa"/>
          </w:tcPr>
          <w:p w14:paraId="722469B9" w14:textId="1BF4224F" w:rsidR="004973B6" w:rsidRPr="004A47DC" w:rsidRDefault="004973B6" w:rsidP="004973B6">
            <w:pPr>
              <w:rPr>
                <w:rFonts w:ascii="Garamond" w:hAnsi="Garamond"/>
                <w:sz w:val="20"/>
              </w:rPr>
            </w:pPr>
            <w:r w:rsidRPr="004A47DC">
              <w:rPr>
                <w:rFonts w:ascii="Garamond" w:hAnsi="Garamond"/>
                <w:sz w:val="20"/>
              </w:rPr>
              <w:t>6. Reforma fiskale në Evropën Juglindore</w:t>
            </w:r>
          </w:p>
        </w:tc>
        <w:tc>
          <w:tcPr>
            <w:tcW w:w="6469" w:type="dxa"/>
          </w:tcPr>
          <w:p w14:paraId="79F8E5D3"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 FMN (udhëheqës), BE, SECO</w:t>
            </w:r>
          </w:p>
          <w:p w14:paraId="5C95C729"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 xml:space="preserve">Periudha e </w:t>
            </w:r>
            <w:r w:rsidRPr="00132285">
              <w:rPr>
                <w:rFonts w:ascii="Garamond" w:hAnsi="Garamond"/>
                <w:sz w:val="20"/>
                <w:szCs w:val="20"/>
                <w:lang w:val="sq-AL"/>
              </w:rPr>
              <w:t>zbatimit: -2026 (faza</w:t>
            </w:r>
            <w:r w:rsidRPr="004A47DC">
              <w:rPr>
                <w:rFonts w:ascii="Garamond" w:hAnsi="Garamond"/>
                <w:sz w:val="20"/>
                <w:szCs w:val="20"/>
                <w:lang w:val="sq-AL"/>
              </w:rPr>
              <w:t xml:space="preserve"> e dytë, në vazhdim)</w:t>
            </w:r>
          </w:p>
          <w:p w14:paraId="7906654E" w14:textId="5ABE6745"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Fushëveprimi: Mbështetje për pesë vendet e Ballkanit Perëndimor në të ardhura, MFP. Komponenti i MFP</w:t>
            </w:r>
            <w:r w:rsidR="00352178">
              <w:rPr>
                <w:rFonts w:ascii="Garamond" w:hAnsi="Garamond"/>
                <w:sz w:val="20"/>
                <w:szCs w:val="20"/>
                <w:lang w:val="sq-AL"/>
              </w:rPr>
              <w:t>-</w:t>
            </w:r>
            <w:r w:rsidR="00352178">
              <w:rPr>
                <w:rFonts w:ascii="Garamond" w:hAnsi="Garamond"/>
                <w:sz w:val="20"/>
                <w:szCs w:val="20"/>
              </w:rPr>
              <w:t>së</w:t>
            </w:r>
            <w:r w:rsidRPr="004A47DC">
              <w:rPr>
                <w:rFonts w:ascii="Garamond" w:hAnsi="Garamond"/>
                <w:sz w:val="20"/>
                <w:szCs w:val="20"/>
                <w:lang w:val="sq-AL"/>
              </w:rPr>
              <w:t>: Menaxhimi i Riskut Fiskal, Ndërmarrjet Shtetërore dhe Parashikimi i Parasë së gatshme.</w:t>
            </w:r>
          </w:p>
        </w:tc>
      </w:tr>
      <w:tr w:rsidR="004973B6" w:rsidRPr="004A47DC" w14:paraId="331DC30E" w14:textId="77777777" w:rsidTr="004C7CE8">
        <w:tc>
          <w:tcPr>
            <w:tcW w:w="2547" w:type="dxa"/>
          </w:tcPr>
          <w:p w14:paraId="34B07566" w14:textId="66D35079" w:rsidR="004973B6" w:rsidRPr="004A47DC" w:rsidRDefault="004973B6" w:rsidP="004973B6">
            <w:pPr>
              <w:rPr>
                <w:rFonts w:ascii="Garamond" w:hAnsi="Garamond"/>
                <w:sz w:val="20"/>
              </w:rPr>
            </w:pPr>
            <w:r w:rsidRPr="004A47DC">
              <w:rPr>
                <w:rFonts w:ascii="Garamond" w:hAnsi="Garamond"/>
                <w:sz w:val="20"/>
              </w:rPr>
              <w:t>7. Menaxhimi i riskut të borxhit të qeverisë</w:t>
            </w:r>
          </w:p>
        </w:tc>
        <w:tc>
          <w:tcPr>
            <w:tcW w:w="6469" w:type="dxa"/>
          </w:tcPr>
          <w:p w14:paraId="709496A1"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 BB (udhëheqës), SECO.</w:t>
            </w:r>
          </w:p>
          <w:p w14:paraId="0F6390C2"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Periudha e zbatimit:</w:t>
            </w:r>
          </w:p>
          <w:p w14:paraId="79B51619"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Fushëveprimi: Zhvillimi i tregut financiar/instrumenteve të borxhit, Strategjia Afatmesme e Borxhit, Ankandet.</w:t>
            </w:r>
          </w:p>
        </w:tc>
      </w:tr>
      <w:tr w:rsidR="004973B6" w:rsidRPr="004A47DC" w14:paraId="5BB0A057" w14:textId="77777777" w:rsidTr="004C7CE8">
        <w:tc>
          <w:tcPr>
            <w:tcW w:w="2547" w:type="dxa"/>
          </w:tcPr>
          <w:p w14:paraId="17D0C13C" w14:textId="5B0D25AC" w:rsidR="004973B6" w:rsidRPr="004A47DC" w:rsidRDefault="004973B6" w:rsidP="004973B6">
            <w:pPr>
              <w:rPr>
                <w:rFonts w:ascii="Garamond" w:hAnsi="Garamond"/>
                <w:sz w:val="20"/>
              </w:rPr>
            </w:pPr>
            <w:r w:rsidRPr="004A47DC">
              <w:rPr>
                <w:rFonts w:ascii="Garamond" w:hAnsi="Garamond"/>
                <w:sz w:val="20"/>
              </w:rPr>
              <w:t>8. MFP lokale</w:t>
            </w:r>
          </w:p>
        </w:tc>
        <w:tc>
          <w:tcPr>
            <w:tcW w:w="6469" w:type="dxa"/>
          </w:tcPr>
          <w:p w14:paraId="3E91E9C6"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 xml:space="preserve">Partner: SECO. </w:t>
            </w:r>
          </w:p>
          <w:p w14:paraId="7EC215A3" w14:textId="0F5418CD"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Periudha e zbatimit: 2024</w:t>
            </w:r>
            <w:r w:rsidR="00352178">
              <w:rPr>
                <w:rFonts w:ascii="Garamond" w:hAnsi="Garamond"/>
                <w:sz w:val="20"/>
                <w:szCs w:val="20"/>
                <w:lang w:val="sq-AL"/>
              </w:rPr>
              <w:t>–</w:t>
            </w:r>
            <w:r w:rsidRPr="004A47DC">
              <w:rPr>
                <w:rFonts w:ascii="Garamond" w:hAnsi="Garamond"/>
                <w:sz w:val="20"/>
                <w:szCs w:val="20"/>
                <w:lang w:val="sq-AL"/>
              </w:rPr>
              <w:t>2028 (faza e dytë, e planifikuar)</w:t>
            </w:r>
          </w:p>
          <w:p w14:paraId="76C4FDB5"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Shuma:</w:t>
            </w:r>
          </w:p>
          <w:p w14:paraId="7E45ED61"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Fushëveprimi: Mbështetja e komunave në përmirësimin e planifikimit dhe ekzekutimit të buxhetit, mobilizimin e të hyrave dhe KBFP.</w:t>
            </w:r>
          </w:p>
        </w:tc>
      </w:tr>
      <w:tr w:rsidR="004973B6" w:rsidRPr="004A47DC" w14:paraId="753925D2" w14:textId="77777777" w:rsidTr="004C7CE8">
        <w:tc>
          <w:tcPr>
            <w:tcW w:w="2547" w:type="dxa"/>
          </w:tcPr>
          <w:p w14:paraId="22041E6C" w14:textId="20864945" w:rsidR="004973B6" w:rsidRPr="004A47DC" w:rsidRDefault="004973B6" w:rsidP="004973B6">
            <w:pPr>
              <w:rPr>
                <w:rFonts w:ascii="Garamond" w:hAnsi="Garamond"/>
                <w:sz w:val="20"/>
              </w:rPr>
            </w:pPr>
            <w:r w:rsidRPr="004A47DC">
              <w:rPr>
                <w:rFonts w:ascii="Garamond" w:hAnsi="Garamond"/>
                <w:sz w:val="20"/>
              </w:rPr>
              <w:t>9. SIMFSh shtrihet në nivel vendor</w:t>
            </w:r>
          </w:p>
        </w:tc>
        <w:tc>
          <w:tcPr>
            <w:tcW w:w="6469" w:type="dxa"/>
          </w:tcPr>
          <w:p w14:paraId="130FCF88"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Partnerët: BB (udhëheqës), SECO</w:t>
            </w:r>
          </w:p>
          <w:p w14:paraId="60995405"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Periudha e zbatimit</w:t>
            </w:r>
          </w:p>
        </w:tc>
      </w:tr>
      <w:tr w:rsidR="004973B6" w:rsidRPr="004A47DC" w14:paraId="58A639F7" w14:textId="77777777" w:rsidTr="004C7CE8">
        <w:tc>
          <w:tcPr>
            <w:tcW w:w="2547" w:type="dxa"/>
          </w:tcPr>
          <w:p w14:paraId="2C6CD99C" w14:textId="2D9944E7" w:rsidR="004973B6" w:rsidRPr="004A47DC" w:rsidRDefault="004973B6" w:rsidP="004973B6">
            <w:pPr>
              <w:rPr>
                <w:rFonts w:ascii="Garamond" w:hAnsi="Garamond"/>
                <w:sz w:val="20"/>
              </w:rPr>
            </w:pPr>
            <w:r w:rsidRPr="004A47DC">
              <w:rPr>
                <w:rFonts w:ascii="Garamond" w:hAnsi="Garamond"/>
                <w:sz w:val="20"/>
              </w:rPr>
              <w:t>10. Auditimi i KLSH PPP</w:t>
            </w:r>
          </w:p>
        </w:tc>
        <w:tc>
          <w:tcPr>
            <w:tcW w:w="6469" w:type="dxa"/>
          </w:tcPr>
          <w:p w14:paraId="66E4F3EF"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 SECO</w:t>
            </w:r>
          </w:p>
          <w:p w14:paraId="786F15DA" w14:textId="77777777" w:rsidR="004973B6" w:rsidRPr="004A47DC" w:rsidRDefault="004973B6" w:rsidP="004C7CE8">
            <w:pPr>
              <w:pStyle w:val="T-normal"/>
              <w:spacing w:line="240" w:lineRule="auto"/>
              <w:jc w:val="both"/>
              <w:rPr>
                <w:rFonts w:ascii="Garamond" w:hAnsi="Garamond"/>
                <w:sz w:val="20"/>
                <w:szCs w:val="20"/>
                <w:lang w:val="sq-AL"/>
              </w:rPr>
            </w:pPr>
          </w:p>
        </w:tc>
      </w:tr>
      <w:tr w:rsidR="004973B6" w:rsidRPr="004A47DC" w14:paraId="5D531366" w14:textId="77777777" w:rsidTr="004C7CE8">
        <w:tc>
          <w:tcPr>
            <w:tcW w:w="2547" w:type="dxa"/>
          </w:tcPr>
          <w:p w14:paraId="7C0A969D" w14:textId="7EEE0B98" w:rsidR="004973B6" w:rsidRPr="004A47DC" w:rsidRDefault="004973B6" w:rsidP="004973B6">
            <w:pPr>
              <w:rPr>
                <w:rFonts w:ascii="Garamond" w:hAnsi="Garamond"/>
                <w:sz w:val="20"/>
              </w:rPr>
            </w:pPr>
            <w:r w:rsidRPr="004A47DC">
              <w:rPr>
                <w:rFonts w:ascii="Garamond" w:hAnsi="Garamond"/>
                <w:sz w:val="20"/>
              </w:rPr>
              <w:t>11. Reforma e Kontabilitetit në Sektorin Publik</w:t>
            </w:r>
          </w:p>
        </w:tc>
        <w:tc>
          <w:tcPr>
            <w:tcW w:w="6469" w:type="dxa"/>
          </w:tcPr>
          <w:p w14:paraId="3D40F5BA"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Partnerët: Banka Botërore (udhëheqës), SECO</w:t>
            </w:r>
          </w:p>
          <w:p w14:paraId="001FC19B" w14:textId="77777777" w:rsidR="004973B6" w:rsidRPr="004A47DC" w:rsidRDefault="004973B6" w:rsidP="004C7CE8">
            <w:pPr>
              <w:pStyle w:val="T-normal"/>
              <w:spacing w:line="240" w:lineRule="auto"/>
              <w:jc w:val="both"/>
              <w:rPr>
                <w:rFonts w:ascii="Garamond" w:hAnsi="Garamond"/>
                <w:sz w:val="20"/>
                <w:szCs w:val="20"/>
                <w:lang w:val="sq-AL"/>
              </w:rPr>
            </w:pPr>
            <w:r w:rsidRPr="004A47DC">
              <w:rPr>
                <w:rFonts w:ascii="Garamond" w:hAnsi="Garamond"/>
                <w:sz w:val="20"/>
                <w:szCs w:val="20"/>
                <w:lang w:val="sq-AL"/>
              </w:rPr>
              <w:t>Periudha e zbatimit: 2024-2027 (faza e dytë)</w:t>
            </w:r>
          </w:p>
        </w:tc>
      </w:tr>
      <w:tr w:rsidR="004973B6" w:rsidRPr="004A47DC" w14:paraId="56546803" w14:textId="77777777" w:rsidTr="004C7CE8">
        <w:tc>
          <w:tcPr>
            <w:tcW w:w="2547" w:type="dxa"/>
          </w:tcPr>
          <w:p w14:paraId="571C23D2" w14:textId="446A20B8" w:rsidR="004973B6" w:rsidRPr="004A47DC" w:rsidRDefault="004973B6" w:rsidP="004973B6">
            <w:pPr>
              <w:rPr>
                <w:rFonts w:ascii="Garamond" w:hAnsi="Garamond"/>
                <w:sz w:val="20"/>
              </w:rPr>
            </w:pPr>
            <w:r w:rsidRPr="004A47DC">
              <w:rPr>
                <w:rFonts w:ascii="Garamond" w:hAnsi="Garamond"/>
                <w:sz w:val="20"/>
              </w:rPr>
              <w:t>12. SIDA</w:t>
            </w:r>
          </w:p>
        </w:tc>
        <w:tc>
          <w:tcPr>
            <w:tcW w:w="6469" w:type="dxa"/>
          </w:tcPr>
          <w:p w14:paraId="6D970980" w14:textId="77777777" w:rsidR="004973B6" w:rsidRPr="004A47DC" w:rsidRDefault="004973B6" w:rsidP="004C7CE8">
            <w:pPr>
              <w:pStyle w:val="T-normal"/>
              <w:spacing w:line="240" w:lineRule="auto"/>
              <w:rPr>
                <w:rFonts w:ascii="Garamond" w:hAnsi="Garamond"/>
                <w:sz w:val="20"/>
                <w:szCs w:val="20"/>
                <w:lang w:val="sq-AL"/>
              </w:rPr>
            </w:pPr>
            <w:r w:rsidRPr="004A47DC">
              <w:rPr>
                <w:rFonts w:ascii="Garamond" w:hAnsi="Garamond"/>
                <w:sz w:val="20"/>
                <w:szCs w:val="20"/>
                <w:lang w:val="sq-AL"/>
              </w:rPr>
              <w:t>Projekti ProTax Albania</w:t>
            </w:r>
          </w:p>
        </w:tc>
      </w:tr>
    </w:tbl>
    <w:p w14:paraId="184F29CC" w14:textId="4C2DDA97" w:rsidR="00E500A4" w:rsidRPr="004A47DC" w:rsidRDefault="00E500A4" w:rsidP="004E0CC9">
      <w:pPr>
        <w:pStyle w:val="TEKSTIII"/>
        <w:ind w:firstLine="0"/>
        <w:rPr>
          <w:highlight w:val="yellow"/>
        </w:rPr>
      </w:pPr>
    </w:p>
    <w:p w14:paraId="6E08EA56" w14:textId="77777777" w:rsidR="00360B29" w:rsidRPr="004A47DC" w:rsidRDefault="00360B29" w:rsidP="00360B29">
      <w:pPr>
        <w:pStyle w:val="TEKSTIII"/>
        <w:rPr>
          <w:b/>
        </w:rPr>
      </w:pPr>
      <w:bookmarkStart w:id="58" w:name="_Toc168918711"/>
    </w:p>
    <w:p w14:paraId="71F6FA30" w14:textId="77777777" w:rsidR="00352178" w:rsidRDefault="00360B29" w:rsidP="00360B29">
      <w:pPr>
        <w:pStyle w:val="TEKSTIII"/>
        <w:rPr>
          <w:b/>
        </w:rPr>
      </w:pPr>
      <w:r w:rsidRPr="004A47DC">
        <w:rPr>
          <w:b/>
        </w:rPr>
        <w:t xml:space="preserve">Shtojca 3 </w:t>
      </w:r>
    </w:p>
    <w:p w14:paraId="7B9C9DBD" w14:textId="6E612FDB" w:rsidR="00360B29" w:rsidRPr="00352178" w:rsidRDefault="00352178" w:rsidP="00360B29">
      <w:pPr>
        <w:pStyle w:val="TEKSTIII"/>
      </w:pPr>
      <w:r w:rsidRPr="00352178">
        <w:t>VLERËSIMI I KOSTOVE DHE FINANCIMI SIPAS OBJEKTIVAVE SPECIFIKË (KOMPONENTËVE)</w:t>
      </w:r>
      <w:bookmarkEnd w:id="58"/>
    </w:p>
    <w:p w14:paraId="1627B16B" w14:textId="50A0C8C8" w:rsidR="00360B29" w:rsidRPr="004A47DC" w:rsidRDefault="00360B29" w:rsidP="004E0CC9">
      <w:pPr>
        <w:pStyle w:val="TEKSTIII"/>
        <w:ind w:firstLine="0"/>
        <w:rPr>
          <w:highlight w:val="yellow"/>
        </w:rPr>
      </w:pPr>
    </w:p>
    <w:p w14:paraId="43438CDA" w14:textId="6E958A38" w:rsidR="00360B29" w:rsidRPr="004A47DC" w:rsidRDefault="00360B29" w:rsidP="004E0CC9">
      <w:pPr>
        <w:pStyle w:val="TEKSTIII"/>
        <w:ind w:firstLine="0"/>
        <w:rPr>
          <w:highlight w:val="yellow"/>
        </w:rPr>
      </w:pPr>
      <w:r w:rsidRPr="004A47DC">
        <w:rPr>
          <w:noProof/>
          <w:lang w:val="en-US"/>
        </w:rPr>
        <w:drawing>
          <wp:inline distT="0" distB="0" distL="0" distR="0" wp14:anchorId="000286CA" wp14:editId="7BF9A8A7">
            <wp:extent cx="5731510" cy="3078413"/>
            <wp:effectExtent l="19050" t="19050" r="21590" b="273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078413"/>
                    </a:xfrm>
                    <a:prstGeom prst="rect">
                      <a:avLst/>
                    </a:prstGeom>
                    <a:noFill/>
                    <a:ln w="12700">
                      <a:solidFill>
                        <a:srgbClr val="00B050"/>
                      </a:solidFill>
                    </a:ln>
                  </pic:spPr>
                </pic:pic>
              </a:graphicData>
            </a:graphic>
          </wp:inline>
        </w:drawing>
      </w:r>
    </w:p>
    <w:p w14:paraId="79E47203" w14:textId="7B39199B" w:rsidR="00360B29" w:rsidRPr="004A47DC" w:rsidRDefault="00360B29" w:rsidP="004E0CC9">
      <w:pPr>
        <w:pStyle w:val="TEKSTIII"/>
        <w:ind w:firstLine="0"/>
        <w:rPr>
          <w:highlight w:val="yellow"/>
        </w:rPr>
      </w:pPr>
    </w:p>
    <w:p w14:paraId="5898488B" w14:textId="77777777" w:rsidR="0053345A" w:rsidRPr="004A47DC" w:rsidRDefault="0053345A" w:rsidP="004E0CC9">
      <w:pPr>
        <w:pStyle w:val="TEKSTIII"/>
        <w:ind w:firstLine="0"/>
        <w:rPr>
          <w:highlight w:val="yellow"/>
        </w:rPr>
      </w:pPr>
    </w:p>
    <w:p w14:paraId="145CDFD3" w14:textId="41C6DF92" w:rsidR="00360B29" w:rsidRPr="004A47DC" w:rsidRDefault="00360B29" w:rsidP="004E0CC9">
      <w:pPr>
        <w:pStyle w:val="TEKSTIII"/>
        <w:ind w:firstLine="0"/>
        <w:rPr>
          <w:highlight w:val="yellow"/>
        </w:rPr>
      </w:pPr>
      <w:r w:rsidRPr="004A47DC">
        <w:rPr>
          <w:noProof/>
          <w:lang w:val="en-US"/>
        </w:rPr>
        <w:drawing>
          <wp:inline distT="0" distB="0" distL="0" distR="0" wp14:anchorId="7DE85904" wp14:editId="55ABFAF1">
            <wp:extent cx="5731510" cy="3540779"/>
            <wp:effectExtent l="19050" t="19050" r="21590" b="215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540779"/>
                    </a:xfrm>
                    <a:prstGeom prst="rect">
                      <a:avLst/>
                    </a:prstGeom>
                    <a:noFill/>
                    <a:ln w="12700">
                      <a:solidFill>
                        <a:srgbClr val="00B050"/>
                      </a:solidFill>
                    </a:ln>
                  </pic:spPr>
                </pic:pic>
              </a:graphicData>
            </a:graphic>
          </wp:inline>
        </w:drawing>
      </w:r>
    </w:p>
    <w:p w14:paraId="057BACB9" w14:textId="3A7F32E4" w:rsidR="00360B29" w:rsidRPr="004A47DC" w:rsidRDefault="00360B29" w:rsidP="004E0CC9">
      <w:pPr>
        <w:pStyle w:val="TEKSTIII"/>
        <w:ind w:firstLine="0"/>
        <w:rPr>
          <w:highlight w:val="yellow"/>
        </w:rPr>
      </w:pPr>
    </w:p>
    <w:p w14:paraId="3CD020BB" w14:textId="5CEA9A7D" w:rsidR="00360B29" w:rsidRPr="004A47DC" w:rsidRDefault="007F34FE" w:rsidP="004E0CC9">
      <w:pPr>
        <w:pStyle w:val="TEKSTIII"/>
        <w:ind w:firstLine="0"/>
        <w:rPr>
          <w:highlight w:val="yellow"/>
        </w:rPr>
      </w:pPr>
      <w:r w:rsidRPr="004A47DC">
        <w:rPr>
          <w:noProof/>
          <w:lang w:val="en-US"/>
        </w:rPr>
        <w:drawing>
          <wp:inline distT="0" distB="0" distL="0" distR="0" wp14:anchorId="354DF90F" wp14:editId="0B587E1B">
            <wp:extent cx="5731510" cy="3444271"/>
            <wp:effectExtent l="19050" t="19050" r="21590" b="2286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444271"/>
                    </a:xfrm>
                    <a:prstGeom prst="rect">
                      <a:avLst/>
                    </a:prstGeom>
                    <a:noFill/>
                    <a:ln w="12700">
                      <a:solidFill>
                        <a:srgbClr val="00B050"/>
                      </a:solidFill>
                    </a:ln>
                  </pic:spPr>
                </pic:pic>
              </a:graphicData>
            </a:graphic>
          </wp:inline>
        </w:drawing>
      </w:r>
    </w:p>
    <w:p w14:paraId="2F358E98" w14:textId="6523D270" w:rsidR="007F34FE" w:rsidRPr="004A47DC" w:rsidRDefault="007F34FE" w:rsidP="004E0CC9">
      <w:pPr>
        <w:pStyle w:val="TEKSTIII"/>
        <w:ind w:firstLine="0"/>
        <w:rPr>
          <w:highlight w:val="yellow"/>
        </w:rPr>
      </w:pPr>
    </w:p>
    <w:p w14:paraId="2A4CF9A4" w14:textId="77777777" w:rsidR="0053345A" w:rsidRPr="004A47DC" w:rsidRDefault="0053345A" w:rsidP="004E0CC9">
      <w:pPr>
        <w:pStyle w:val="TEKSTIII"/>
        <w:ind w:firstLine="0"/>
        <w:rPr>
          <w:highlight w:val="yellow"/>
        </w:rPr>
      </w:pPr>
    </w:p>
    <w:p w14:paraId="4B6A8769" w14:textId="18A196B1" w:rsidR="007F34FE" w:rsidRPr="004A47DC" w:rsidRDefault="007F34FE" w:rsidP="004E0CC9">
      <w:pPr>
        <w:pStyle w:val="TEKSTIII"/>
        <w:ind w:firstLine="0"/>
        <w:rPr>
          <w:highlight w:val="yellow"/>
        </w:rPr>
      </w:pPr>
      <w:r w:rsidRPr="004A47DC">
        <w:rPr>
          <w:noProof/>
          <w:lang w:val="en-US"/>
        </w:rPr>
        <w:drawing>
          <wp:inline distT="0" distB="0" distL="0" distR="0" wp14:anchorId="61A2CBDC" wp14:editId="3D73A584">
            <wp:extent cx="5731510" cy="3465234"/>
            <wp:effectExtent l="19050" t="19050" r="21590" b="209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465234"/>
                    </a:xfrm>
                    <a:prstGeom prst="rect">
                      <a:avLst/>
                    </a:prstGeom>
                    <a:noFill/>
                    <a:ln w="12700">
                      <a:solidFill>
                        <a:srgbClr val="00B050"/>
                      </a:solidFill>
                    </a:ln>
                  </pic:spPr>
                </pic:pic>
              </a:graphicData>
            </a:graphic>
          </wp:inline>
        </w:drawing>
      </w:r>
    </w:p>
    <w:p w14:paraId="0A1EC0B2" w14:textId="587D8612" w:rsidR="007F34FE" w:rsidRPr="004A47DC" w:rsidRDefault="007F34FE" w:rsidP="004E0CC9">
      <w:pPr>
        <w:pStyle w:val="TEKSTIII"/>
        <w:ind w:firstLine="0"/>
        <w:rPr>
          <w:highlight w:val="yellow"/>
        </w:rPr>
      </w:pPr>
    </w:p>
    <w:p w14:paraId="628D561A" w14:textId="199B060C" w:rsidR="007F34FE" w:rsidRPr="004A47DC" w:rsidRDefault="000E4078" w:rsidP="004E0CC9">
      <w:pPr>
        <w:pStyle w:val="TEKSTIII"/>
        <w:ind w:firstLine="0"/>
        <w:rPr>
          <w:highlight w:val="yellow"/>
        </w:rPr>
      </w:pPr>
      <w:r w:rsidRPr="004A47DC">
        <w:rPr>
          <w:noProof/>
          <w:lang w:val="en-US"/>
        </w:rPr>
        <w:drawing>
          <wp:inline distT="0" distB="0" distL="0" distR="0" wp14:anchorId="0AB135F5" wp14:editId="4B6FB0E0">
            <wp:extent cx="5731510" cy="2623777"/>
            <wp:effectExtent l="19050" t="19050" r="21590" b="247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623777"/>
                    </a:xfrm>
                    <a:prstGeom prst="rect">
                      <a:avLst/>
                    </a:prstGeom>
                    <a:noFill/>
                    <a:ln w="12700">
                      <a:solidFill>
                        <a:srgbClr val="00B050"/>
                      </a:solidFill>
                    </a:ln>
                  </pic:spPr>
                </pic:pic>
              </a:graphicData>
            </a:graphic>
          </wp:inline>
        </w:drawing>
      </w:r>
    </w:p>
    <w:p w14:paraId="6B43B57A" w14:textId="6611D215" w:rsidR="00D10B7E" w:rsidRPr="004A47DC" w:rsidRDefault="00D10B7E" w:rsidP="004E0CC9">
      <w:pPr>
        <w:pStyle w:val="TEKSTIII"/>
        <w:ind w:firstLine="0"/>
        <w:rPr>
          <w:highlight w:val="yellow"/>
        </w:rPr>
      </w:pPr>
    </w:p>
    <w:p w14:paraId="54B550BC" w14:textId="77777777" w:rsidR="0053345A" w:rsidRPr="004A47DC" w:rsidRDefault="0053345A" w:rsidP="004E0CC9">
      <w:pPr>
        <w:pStyle w:val="TEKSTIII"/>
        <w:ind w:firstLine="0"/>
        <w:rPr>
          <w:highlight w:val="yellow"/>
        </w:rPr>
      </w:pPr>
    </w:p>
    <w:p w14:paraId="0E8B6282" w14:textId="6B2B5763" w:rsidR="00483C1B" w:rsidRPr="004F0C34" w:rsidRDefault="00D10B7E" w:rsidP="004F0C34">
      <w:pPr>
        <w:pStyle w:val="TEKSTIII"/>
        <w:ind w:firstLine="0"/>
        <w:rPr>
          <w:highlight w:val="yellow"/>
        </w:rPr>
      </w:pPr>
      <w:r w:rsidRPr="004A47DC">
        <w:rPr>
          <w:noProof/>
          <w:lang w:val="en-US"/>
        </w:rPr>
        <w:drawing>
          <wp:inline distT="0" distB="0" distL="0" distR="0" wp14:anchorId="0FFD8798" wp14:editId="0C479608">
            <wp:extent cx="5731510" cy="2147908"/>
            <wp:effectExtent l="19050" t="19050" r="21590" b="2413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147908"/>
                    </a:xfrm>
                    <a:prstGeom prst="rect">
                      <a:avLst/>
                    </a:prstGeom>
                    <a:noFill/>
                    <a:ln w="12700">
                      <a:solidFill>
                        <a:srgbClr val="00B050"/>
                      </a:solidFill>
                    </a:ln>
                  </pic:spPr>
                </pic:pic>
              </a:graphicData>
            </a:graphic>
          </wp:inline>
        </w:drawing>
      </w:r>
      <w:bookmarkStart w:id="59" w:name="_Toc168918712"/>
      <w:bookmarkStart w:id="60" w:name="_GoBack"/>
      <w:bookmarkEnd w:id="60"/>
    </w:p>
    <w:p w14:paraId="7E4461FA" w14:textId="144EC602" w:rsidR="00CA7026" w:rsidRPr="004A47DC" w:rsidRDefault="00CA7026" w:rsidP="00CA7026">
      <w:pPr>
        <w:pStyle w:val="TEKSTIII"/>
        <w:rPr>
          <w:b/>
        </w:rPr>
      </w:pPr>
      <w:r w:rsidRPr="004A47DC">
        <w:rPr>
          <w:b/>
        </w:rPr>
        <w:t>Shtojca 4 Plani i Veprimit i Strategjisë së Menaxhimit të Financave Publike 2023 – 2026</w:t>
      </w:r>
      <w:bookmarkEnd w:id="59"/>
    </w:p>
    <w:p w14:paraId="0DB2BA84" w14:textId="02A2F08F" w:rsidR="00CA7026" w:rsidRPr="004A47DC" w:rsidRDefault="00CA7026" w:rsidP="004E0CC9">
      <w:pPr>
        <w:pStyle w:val="TEKSTIII"/>
        <w:ind w:firstLine="0"/>
        <w:rPr>
          <w:highlight w:val="yellow"/>
        </w:rPr>
      </w:pPr>
    </w:p>
    <w:p w14:paraId="3FF35D57" w14:textId="2F12CC8D" w:rsidR="00384FFE" w:rsidRPr="004A47DC" w:rsidRDefault="00384FFE" w:rsidP="004E0CC9">
      <w:pPr>
        <w:pStyle w:val="TEKSTIII"/>
        <w:ind w:firstLine="0"/>
        <w:rPr>
          <w:highlight w:val="yellow"/>
        </w:rPr>
      </w:pPr>
      <w:r w:rsidRPr="004A47DC">
        <w:rPr>
          <w:noProof/>
          <w:lang w:val="en-US"/>
        </w:rPr>
        <w:drawing>
          <wp:inline distT="0" distB="0" distL="0" distR="0" wp14:anchorId="20CE8955" wp14:editId="2E773AAD">
            <wp:extent cx="5731510" cy="7113235"/>
            <wp:effectExtent l="19050" t="19050" r="2159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7113235"/>
                    </a:xfrm>
                    <a:prstGeom prst="rect">
                      <a:avLst/>
                    </a:prstGeom>
                    <a:noFill/>
                    <a:ln w="12700">
                      <a:solidFill>
                        <a:schemeClr val="accent2">
                          <a:lumMod val="75000"/>
                        </a:schemeClr>
                      </a:solidFill>
                    </a:ln>
                  </pic:spPr>
                </pic:pic>
              </a:graphicData>
            </a:graphic>
          </wp:inline>
        </w:drawing>
      </w:r>
    </w:p>
    <w:p w14:paraId="7F3DFE8E" w14:textId="5E1FE2FD" w:rsidR="00384FFE" w:rsidRPr="004A47DC" w:rsidRDefault="00384FFE" w:rsidP="004E0CC9">
      <w:pPr>
        <w:pStyle w:val="TEKSTIII"/>
        <w:ind w:firstLine="0"/>
        <w:rPr>
          <w:highlight w:val="yellow"/>
        </w:rPr>
      </w:pPr>
    </w:p>
    <w:p w14:paraId="0853E89E" w14:textId="2B4832AB" w:rsidR="00384FFE" w:rsidRPr="004A47DC" w:rsidRDefault="00EB0EF5" w:rsidP="004E0CC9">
      <w:pPr>
        <w:pStyle w:val="TEKSTIII"/>
        <w:ind w:firstLine="0"/>
        <w:rPr>
          <w:highlight w:val="yellow"/>
        </w:rPr>
      </w:pPr>
      <w:r w:rsidRPr="004A47DC">
        <w:rPr>
          <w:noProof/>
          <w:lang w:val="en-US"/>
        </w:rPr>
        <w:drawing>
          <wp:inline distT="0" distB="0" distL="0" distR="0" wp14:anchorId="52B791C4" wp14:editId="67600031">
            <wp:extent cx="5731510" cy="5261143"/>
            <wp:effectExtent l="19050" t="19050" r="21590"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5261143"/>
                    </a:xfrm>
                    <a:prstGeom prst="rect">
                      <a:avLst/>
                    </a:prstGeom>
                    <a:noFill/>
                    <a:ln w="12700">
                      <a:solidFill>
                        <a:schemeClr val="accent2">
                          <a:lumMod val="75000"/>
                        </a:schemeClr>
                      </a:solidFill>
                    </a:ln>
                  </pic:spPr>
                </pic:pic>
              </a:graphicData>
            </a:graphic>
          </wp:inline>
        </w:drawing>
      </w:r>
    </w:p>
    <w:p w14:paraId="0BCC817F" w14:textId="3F90A187" w:rsidR="00825C4C" w:rsidRPr="004A47DC" w:rsidRDefault="00825C4C" w:rsidP="004E0CC9">
      <w:pPr>
        <w:pStyle w:val="TEKSTIII"/>
        <w:ind w:firstLine="0"/>
        <w:rPr>
          <w:highlight w:val="yellow"/>
        </w:rPr>
      </w:pPr>
    </w:p>
    <w:p w14:paraId="2A91A152" w14:textId="7979F89C" w:rsidR="00825C4C" w:rsidRPr="004A47DC" w:rsidRDefault="00825C4C" w:rsidP="004E0CC9">
      <w:pPr>
        <w:pStyle w:val="TEKSTIII"/>
        <w:ind w:firstLine="0"/>
        <w:rPr>
          <w:highlight w:val="yellow"/>
        </w:rPr>
      </w:pPr>
      <w:r w:rsidRPr="004A47DC">
        <w:rPr>
          <w:noProof/>
          <w:lang w:val="en-US"/>
        </w:rPr>
        <w:drawing>
          <wp:inline distT="0" distB="0" distL="0" distR="0" wp14:anchorId="07AE8723" wp14:editId="4D83092E">
            <wp:extent cx="5731510" cy="3241404"/>
            <wp:effectExtent l="19050" t="19050" r="21590"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3241404"/>
                    </a:xfrm>
                    <a:prstGeom prst="rect">
                      <a:avLst/>
                    </a:prstGeom>
                    <a:noFill/>
                    <a:ln w="12700">
                      <a:solidFill>
                        <a:schemeClr val="accent2">
                          <a:lumMod val="75000"/>
                        </a:schemeClr>
                      </a:solidFill>
                    </a:ln>
                  </pic:spPr>
                </pic:pic>
              </a:graphicData>
            </a:graphic>
          </wp:inline>
        </w:drawing>
      </w:r>
    </w:p>
    <w:p w14:paraId="574368B0" w14:textId="0E4AFBC9" w:rsidR="00977A52" w:rsidRPr="004A47DC" w:rsidRDefault="00977A52" w:rsidP="004E0CC9">
      <w:pPr>
        <w:pStyle w:val="TEKSTIII"/>
        <w:ind w:firstLine="0"/>
        <w:rPr>
          <w:highlight w:val="yellow"/>
        </w:rPr>
      </w:pPr>
      <w:r w:rsidRPr="004A47DC">
        <w:rPr>
          <w:noProof/>
          <w:lang w:val="en-US"/>
        </w:rPr>
        <w:drawing>
          <wp:inline distT="0" distB="0" distL="0" distR="0" wp14:anchorId="3EE3F7BD" wp14:editId="4AA3F06A">
            <wp:extent cx="5731510" cy="6677375"/>
            <wp:effectExtent l="19050" t="19050" r="21590"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6677375"/>
                    </a:xfrm>
                    <a:prstGeom prst="rect">
                      <a:avLst/>
                    </a:prstGeom>
                    <a:noFill/>
                    <a:ln w="12700">
                      <a:solidFill>
                        <a:schemeClr val="accent2">
                          <a:lumMod val="75000"/>
                        </a:schemeClr>
                      </a:solidFill>
                    </a:ln>
                  </pic:spPr>
                </pic:pic>
              </a:graphicData>
            </a:graphic>
          </wp:inline>
        </w:drawing>
      </w:r>
    </w:p>
    <w:p w14:paraId="6DAA095C" w14:textId="0C586005" w:rsidR="00977A52" w:rsidRPr="004A47DC" w:rsidRDefault="00977A52" w:rsidP="004E0CC9">
      <w:pPr>
        <w:pStyle w:val="TEKSTIII"/>
        <w:ind w:firstLine="0"/>
        <w:rPr>
          <w:highlight w:val="yellow"/>
        </w:rPr>
      </w:pPr>
    </w:p>
    <w:p w14:paraId="35685CF5" w14:textId="5580A5A6" w:rsidR="00977A52" w:rsidRPr="004A47DC" w:rsidRDefault="00977A52" w:rsidP="004E0CC9">
      <w:pPr>
        <w:pStyle w:val="TEKSTIII"/>
        <w:ind w:firstLine="0"/>
        <w:rPr>
          <w:highlight w:val="yellow"/>
        </w:rPr>
      </w:pPr>
      <w:r w:rsidRPr="004A47DC">
        <w:rPr>
          <w:noProof/>
          <w:lang w:val="en-US"/>
        </w:rPr>
        <w:drawing>
          <wp:inline distT="0" distB="0" distL="0" distR="0" wp14:anchorId="2AFAF8CB" wp14:editId="792749A7">
            <wp:extent cx="5731510" cy="2930781"/>
            <wp:effectExtent l="19050" t="19050" r="21590"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930781"/>
                    </a:xfrm>
                    <a:prstGeom prst="rect">
                      <a:avLst/>
                    </a:prstGeom>
                    <a:noFill/>
                    <a:ln w="12700">
                      <a:solidFill>
                        <a:schemeClr val="accent2">
                          <a:lumMod val="75000"/>
                        </a:schemeClr>
                      </a:solidFill>
                    </a:ln>
                  </pic:spPr>
                </pic:pic>
              </a:graphicData>
            </a:graphic>
          </wp:inline>
        </w:drawing>
      </w:r>
    </w:p>
    <w:p w14:paraId="435FB303" w14:textId="466340A7" w:rsidR="00977A52" w:rsidRPr="004A47DC" w:rsidRDefault="00977A52" w:rsidP="004E0CC9">
      <w:pPr>
        <w:pStyle w:val="TEKSTIII"/>
        <w:ind w:firstLine="0"/>
        <w:rPr>
          <w:highlight w:val="yellow"/>
        </w:rPr>
      </w:pPr>
    </w:p>
    <w:p w14:paraId="68B41A6D" w14:textId="0E04191F" w:rsidR="00977A52" w:rsidRPr="004A47DC" w:rsidRDefault="00977A52" w:rsidP="004E0CC9">
      <w:pPr>
        <w:pStyle w:val="TEKSTIII"/>
        <w:ind w:firstLine="0"/>
        <w:rPr>
          <w:highlight w:val="yellow"/>
        </w:rPr>
      </w:pPr>
      <w:r w:rsidRPr="004A47DC">
        <w:rPr>
          <w:noProof/>
          <w:lang w:val="en-US"/>
        </w:rPr>
        <w:drawing>
          <wp:inline distT="0" distB="0" distL="0" distR="0" wp14:anchorId="602EAA9C" wp14:editId="79541BFA">
            <wp:extent cx="5731510" cy="5128696"/>
            <wp:effectExtent l="19050" t="19050" r="21590" b="152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5128696"/>
                    </a:xfrm>
                    <a:prstGeom prst="rect">
                      <a:avLst/>
                    </a:prstGeom>
                    <a:noFill/>
                    <a:ln w="12700">
                      <a:solidFill>
                        <a:schemeClr val="accent2">
                          <a:lumMod val="75000"/>
                        </a:schemeClr>
                      </a:solidFill>
                    </a:ln>
                  </pic:spPr>
                </pic:pic>
              </a:graphicData>
            </a:graphic>
          </wp:inline>
        </w:drawing>
      </w:r>
    </w:p>
    <w:p w14:paraId="4E4479BA" w14:textId="33FEA8A4" w:rsidR="008C0DB8" w:rsidRPr="004A47DC" w:rsidRDefault="008C0DB8" w:rsidP="004E0CC9">
      <w:pPr>
        <w:pStyle w:val="TEKSTIII"/>
        <w:ind w:firstLine="0"/>
        <w:rPr>
          <w:highlight w:val="yellow"/>
        </w:rPr>
      </w:pPr>
    </w:p>
    <w:p w14:paraId="4B986DC6" w14:textId="62E026E1" w:rsidR="008C0DB8" w:rsidRPr="004A47DC" w:rsidRDefault="008C0DB8" w:rsidP="004E0CC9">
      <w:pPr>
        <w:pStyle w:val="TEKSTIII"/>
        <w:ind w:firstLine="0"/>
        <w:rPr>
          <w:highlight w:val="yellow"/>
        </w:rPr>
      </w:pPr>
      <w:r w:rsidRPr="004A47DC">
        <w:rPr>
          <w:noProof/>
          <w:lang w:val="en-US"/>
        </w:rPr>
        <w:drawing>
          <wp:inline distT="0" distB="0" distL="0" distR="0" wp14:anchorId="2927AC3B" wp14:editId="7207173E">
            <wp:extent cx="5731510" cy="3848656"/>
            <wp:effectExtent l="19050" t="19050" r="2159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848656"/>
                    </a:xfrm>
                    <a:prstGeom prst="rect">
                      <a:avLst/>
                    </a:prstGeom>
                    <a:noFill/>
                    <a:ln w="12700">
                      <a:solidFill>
                        <a:schemeClr val="accent2">
                          <a:lumMod val="75000"/>
                        </a:schemeClr>
                      </a:solidFill>
                    </a:ln>
                  </pic:spPr>
                </pic:pic>
              </a:graphicData>
            </a:graphic>
          </wp:inline>
        </w:drawing>
      </w:r>
    </w:p>
    <w:p w14:paraId="4C406B6A" w14:textId="5E65AE01" w:rsidR="008C212A" w:rsidRPr="004A47DC" w:rsidRDefault="008C212A" w:rsidP="004E0CC9">
      <w:pPr>
        <w:pStyle w:val="TEKSTIII"/>
        <w:ind w:firstLine="0"/>
        <w:rPr>
          <w:highlight w:val="yellow"/>
        </w:rPr>
      </w:pPr>
    </w:p>
    <w:p w14:paraId="7DD136CC" w14:textId="74E02BFA" w:rsidR="008C212A" w:rsidRPr="004A47DC" w:rsidRDefault="008C212A" w:rsidP="004E0CC9">
      <w:pPr>
        <w:pStyle w:val="TEKSTIII"/>
        <w:ind w:firstLine="0"/>
        <w:rPr>
          <w:highlight w:val="yellow"/>
        </w:rPr>
      </w:pPr>
      <w:r w:rsidRPr="004A47DC">
        <w:rPr>
          <w:noProof/>
          <w:lang w:val="en-US"/>
        </w:rPr>
        <w:drawing>
          <wp:inline distT="0" distB="0" distL="0" distR="0" wp14:anchorId="57040A08" wp14:editId="5101CA9E">
            <wp:extent cx="5731510" cy="5178500"/>
            <wp:effectExtent l="19050" t="19050" r="21590" b="222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5178500"/>
                    </a:xfrm>
                    <a:prstGeom prst="rect">
                      <a:avLst/>
                    </a:prstGeom>
                    <a:noFill/>
                    <a:ln>
                      <a:solidFill>
                        <a:schemeClr val="accent2">
                          <a:lumMod val="75000"/>
                        </a:schemeClr>
                      </a:solidFill>
                    </a:ln>
                  </pic:spPr>
                </pic:pic>
              </a:graphicData>
            </a:graphic>
          </wp:inline>
        </w:drawing>
      </w:r>
    </w:p>
    <w:p w14:paraId="7B1BCEF9" w14:textId="4CC6F6F3" w:rsidR="008C212A" w:rsidRPr="004A47DC" w:rsidRDefault="008C212A" w:rsidP="004E0CC9">
      <w:pPr>
        <w:pStyle w:val="TEKSTIII"/>
        <w:ind w:firstLine="0"/>
        <w:rPr>
          <w:highlight w:val="yellow"/>
        </w:rPr>
      </w:pPr>
    </w:p>
    <w:p w14:paraId="07FCA32B" w14:textId="0623AFA8" w:rsidR="008C212A" w:rsidRDefault="008C212A" w:rsidP="004E0CC9">
      <w:pPr>
        <w:pStyle w:val="TEKSTIII"/>
        <w:ind w:firstLine="0"/>
        <w:rPr>
          <w:highlight w:val="yellow"/>
        </w:rPr>
      </w:pPr>
      <w:r w:rsidRPr="004A47DC">
        <w:rPr>
          <w:noProof/>
          <w:lang w:val="en-US"/>
        </w:rPr>
        <w:drawing>
          <wp:inline distT="0" distB="0" distL="0" distR="0" wp14:anchorId="5260BBC5" wp14:editId="64105F0A">
            <wp:extent cx="5731510" cy="6231937"/>
            <wp:effectExtent l="19050" t="19050" r="21590" b="165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6231937"/>
                    </a:xfrm>
                    <a:prstGeom prst="rect">
                      <a:avLst/>
                    </a:prstGeom>
                    <a:noFill/>
                    <a:ln w="12700">
                      <a:solidFill>
                        <a:schemeClr val="accent2">
                          <a:lumMod val="75000"/>
                        </a:schemeClr>
                      </a:solidFill>
                    </a:ln>
                  </pic:spPr>
                </pic:pic>
              </a:graphicData>
            </a:graphic>
          </wp:inline>
        </w:drawing>
      </w:r>
    </w:p>
    <w:p w14:paraId="40F47B4D" w14:textId="7E2B0758" w:rsidR="00E77978" w:rsidRDefault="00E77978" w:rsidP="004E0CC9">
      <w:pPr>
        <w:pStyle w:val="TEKSTIII"/>
        <w:ind w:firstLine="0"/>
        <w:rPr>
          <w:highlight w:val="yellow"/>
        </w:rPr>
      </w:pPr>
    </w:p>
    <w:p w14:paraId="53C5BB05" w14:textId="7A9ADE4B" w:rsidR="00E77978" w:rsidRPr="004A47DC" w:rsidRDefault="00E77978" w:rsidP="004E0CC9">
      <w:pPr>
        <w:pStyle w:val="TEKSTIII"/>
        <w:ind w:firstLine="0"/>
        <w:rPr>
          <w:highlight w:val="yellow"/>
        </w:rPr>
      </w:pPr>
      <w:r w:rsidRPr="00CC5FD7">
        <w:rPr>
          <w:noProof/>
          <w:lang w:val="en-US"/>
        </w:rPr>
        <w:drawing>
          <wp:inline distT="0" distB="0" distL="0" distR="0" wp14:anchorId="224ED224" wp14:editId="44E08253">
            <wp:extent cx="5731510" cy="2078906"/>
            <wp:effectExtent l="19050" t="19050" r="21590" b="171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2078906"/>
                    </a:xfrm>
                    <a:prstGeom prst="rect">
                      <a:avLst/>
                    </a:prstGeom>
                    <a:noFill/>
                    <a:ln w="12700">
                      <a:solidFill>
                        <a:schemeClr val="accent2">
                          <a:lumMod val="75000"/>
                        </a:schemeClr>
                      </a:solidFill>
                    </a:ln>
                  </pic:spPr>
                </pic:pic>
              </a:graphicData>
            </a:graphic>
          </wp:inline>
        </w:drawing>
      </w:r>
    </w:p>
    <w:p w14:paraId="22168139" w14:textId="54681C3B" w:rsidR="00C82B15" w:rsidRPr="004A47DC" w:rsidRDefault="00C82B15" w:rsidP="004E0CC9">
      <w:pPr>
        <w:pStyle w:val="TEKSTIII"/>
        <w:ind w:firstLine="0"/>
        <w:rPr>
          <w:highlight w:val="yellow"/>
        </w:rPr>
      </w:pPr>
    </w:p>
    <w:p w14:paraId="390FE9F0" w14:textId="0FD41B9B" w:rsidR="00C82B15" w:rsidRPr="004A47DC" w:rsidRDefault="00C82B15" w:rsidP="004E0CC9">
      <w:pPr>
        <w:pStyle w:val="TEKSTIII"/>
        <w:ind w:firstLine="0"/>
        <w:rPr>
          <w:highlight w:val="yellow"/>
        </w:rPr>
      </w:pPr>
      <w:r w:rsidRPr="004A47DC">
        <w:rPr>
          <w:noProof/>
          <w:lang w:val="en-US"/>
        </w:rPr>
        <w:drawing>
          <wp:inline distT="0" distB="0" distL="0" distR="0" wp14:anchorId="20395E30" wp14:editId="53DF1627">
            <wp:extent cx="5731510" cy="4933789"/>
            <wp:effectExtent l="19050" t="19050" r="21590" b="196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4933789"/>
                    </a:xfrm>
                    <a:prstGeom prst="rect">
                      <a:avLst/>
                    </a:prstGeom>
                    <a:noFill/>
                    <a:ln w="12700">
                      <a:solidFill>
                        <a:schemeClr val="accent2">
                          <a:lumMod val="75000"/>
                        </a:schemeClr>
                      </a:solidFill>
                    </a:ln>
                  </pic:spPr>
                </pic:pic>
              </a:graphicData>
            </a:graphic>
          </wp:inline>
        </w:drawing>
      </w:r>
    </w:p>
    <w:p w14:paraId="5733D044" w14:textId="3383E99B" w:rsidR="00C82B15" w:rsidRPr="004A47DC" w:rsidRDefault="00C82B15" w:rsidP="004E0CC9">
      <w:pPr>
        <w:pStyle w:val="TEKSTIII"/>
        <w:ind w:firstLine="0"/>
        <w:rPr>
          <w:highlight w:val="yellow"/>
        </w:rPr>
      </w:pPr>
    </w:p>
    <w:p w14:paraId="66A5B4A6" w14:textId="6D3D8E09" w:rsidR="00C82B15" w:rsidRPr="004A47DC" w:rsidRDefault="00C82B15" w:rsidP="004E0CC9">
      <w:pPr>
        <w:pStyle w:val="TEKSTIII"/>
        <w:ind w:firstLine="0"/>
        <w:rPr>
          <w:highlight w:val="yellow"/>
        </w:rPr>
      </w:pPr>
      <w:r w:rsidRPr="004A47DC">
        <w:rPr>
          <w:noProof/>
          <w:lang w:val="en-US"/>
        </w:rPr>
        <w:drawing>
          <wp:inline distT="0" distB="0" distL="0" distR="0" wp14:anchorId="507D2845" wp14:editId="6C7EBD40">
            <wp:extent cx="5731510" cy="3487172"/>
            <wp:effectExtent l="19050" t="19050" r="21590" b="184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3487172"/>
                    </a:xfrm>
                    <a:prstGeom prst="rect">
                      <a:avLst/>
                    </a:prstGeom>
                    <a:noFill/>
                    <a:ln w="12700">
                      <a:solidFill>
                        <a:schemeClr val="accent2">
                          <a:lumMod val="75000"/>
                        </a:schemeClr>
                      </a:solidFill>
                    </a:ln>
                  </pic:spPr>
                </pic:pic>
              </a:graphicData>
            </a:graphic>
          </wp:inline>
        </w:drawing>
      </w:r>
    </w:p>
    <w:p w14:paraId="6D7ED851" w14:textId="363D8EBE" w:rsidR="0014253A" w:rsidRPr="004A47DC" w:rsidRDefault="0014253A" w:rsidP="004E0CC9">
      <w:pPr>
        <w:pStyle w:val="TEKSTIII"/>
        <w:ind w:firstLine="0"/>
        <w:rPr>
          <w:highlight w:val="yellow"/>
        </w:rPr>
      </w:pPr>
    </w:p>
    <w:p w14:paraId="7299D77A" w14:textId="771EEEA0" w:rsidR="0014253A" w:rsidRPr="004A47DC" w:rsidRDefault="0014253A" w:rsidP="004E0CC9">
      <w:pPr>
        <w:pStyle w:val="TEKSTIII"/>
        <w:ind w:firstLine="0"/>
        <w:rPr>
          <w:highlight w:val="yellow"/>
        </w:rPr>
      </w:pPr>
      <w:r w:rsidRPr="004A47DC">
        <w:rPr>
          <w:noProof/>
          <w:lang w:val="en-US"/>
        </w:rPr>
        <w:drawing>
          <wp:inline distT="0" distB="0" distL="0" distR="0" wp14:anchorId="0352E0BC" wp14:editId="1D844A31">
            <wp:extent cx="5731510" cy="8644233"/>
            <wp:effectExtent l="19050" t="19050" r="21590"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8644233"/>
                    </a:xfrm>
                    <a:prstGeom prst="rect">
                      <a:avLst/>
                    </a:prstGeom>
                    <a:noFill/>
                    <a:ln w="12700">
                      <a:solidFill>
                        <a:schemeClr val="accent2">
                          <a:lumMod val="75000"/>
                        </a:schemeClr>
                      </a:solidFill>
                    </a:ln>
                  </pic:spPr>
                </pic:pic>
              </a:graphicData>
            </a:graphic>
          </wp:inline>
        </w:drawing>
      </w:r>
    </w:p>
    <w:p w14:paraId="78B56323" w14:textId="2425786E" w:rsidR="0014253A" w:rsidRPr="004A47DC" w:rsidRDefault="0014253A" w:rsidP="004E0CC9">
      <w:pPr>
        <w:pStyle w:val="TEKSTIII"/>
        <w:ind w:firstLine="0"/>
        <w:rPr>
          <w:highlight w:val="yellow"/>
        </w:rPr>
      </w:pPr>
    </w:p>
    <w:p w14:paraId="4C89CACF" w14:textId="7F3C16C3" w:rsidR="0014253A" w:rsidRPr="004A47DC" w:rsidRDefault="0014253A" w:rsidP="004E0CC9">
      <w:pPr>
        <w:pStyle w:val="TEKSTIII"/>
        <w:ind w:firstLine="0"/>
        <w:rPr>
          <w:highlight w:val="yellow"/>
        </w:rPr>
      </w:pPr>
      <w:r w:rsidRPr="004A47DC">
        <w:rPr>
          <w:noProof/>
          <w:lang w:val="en-US"/>
        </w:rPr>
        <w:drawing>
          <wp:inline distT="0" distB="0" distL="0" distR="0" wp14:anchorId="17284923" wp14:editId="7F8A7F21">
            <wp:extent cx="5731510" cy="8880069"/>
            <wp:effectExtent l="19050" t="19050" r="21590" b="165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8880069"/>
                    </a:xfrm>
                    <a:prstGeom prst="rect">
                      <a:avLst/>
                    </a:prstGeom>
                    <a:noFill/>
                    <a:ln w="12700">
                      <a:solidFill>
                        <a:schemeClr val="accent2">
                          <a:lumMod val="75000"/>
                        </a:schemeClr>
                      </a:solidFill>
                    </a:ln>
                  </pic:spPr>
                </pic:pic>
              </a:graphicData>
            </a:graphic>
          </wp:inline>
        </w:drawing>
      </w:r>
    </w:p>
    <w:p w14:paraId="3F4227C2" w14:textId="0A981938" w:rsidR="0014253A" w:rsidRPr="004A47DC" w:rsidRDefault="005D7AAD" w:rsidP="004E0CC9">
      <w:pPr>
        <w:pStyle w:val="TEKSTIII"/>
        <w:ind w:firstLine="0"/>
        <w:rPr>
          <w:highlight w:val="yellow"/>
        </w:rPr>
      </w:pPr>
      <w:r w:rsidRPr="004A47DC">
        <w:rPr>
          <w:noProof/>
          <w:lang w:val="en-US"/>
        </w:rPr>
        <w:drawing>
          <wp:inline distT="0" distB="0" distL="0" distR="0" wp14:anchorId="3C4E2AAA" wp14:editId="1DC78723">
            <wp:extent cx="5731510" cy="7512303"/>
            <wp:effectExtent l="19050" t="19050" r="2159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7512303"/>
                    </a:xfrm>
                    <a:prstGeom prst="rect">
                      <a:avLst/>
                    </a:prstGeom>
                    <a:noFill/>
                    <a:ln w="12700">
                      <a:solidFill>
                        <a:schemeClr val="accent2">
                          <a:lumMod val="75000"/>
                        </a:schemeClr>
                      </a:solidFill>
                    </a:ln>
                  </pic:spPr>
                </pic:pic>
              </a:graphicData>
            </a:graphic>
          </wp:inline>
        </w:drawing>
      </w:r>
    </w:p>
    <w:p w14:paraId="080C221C" w14:textId="54853874" w:rsidR="005D7AAD" w:rsidRPr="004A47DC" w:rsidRDefault="005D7AAD" w:rsidP="004E0CC9">
      <w:pPr>
        <w:pStyle w:val="TEKSTIII"/>
        <w:ind w:firstLine="0"/>
        <w:rPr>
          <w:highlight w:val="yellow"/>
        </w:rPr>
      </w:pPr>
    </w:p>
    <w:p w14:paraId="15D3A165" w14:textId="11556025" w:rsidR="005D7AAD" w:rsidRPr="004A47DC" w:rsidRDefault="00D07E84" w:rsidP="004E0CC9">
      <w:pPr>
        <w:pStyle w:val="TEKSTIII"/>
        <w:ind w:firstLine="0"/>
        <w:rPr>
          <w:highlight w:val="yellow"/>
        </w:rPr>
      </w:pPr>
      <w:r w:rsidRPr="004A47DC">
        <w:rPr>
          <w:noProof/>
          <w:lang w:val="en-US"/>
        </w:rPr>
        <w:drawing>
          <wp:inline distT="0" distB="0" distL="0" distR="0" wp14:anchorId="6B7AE33C" wp14:editId="646C5680">
            <wp:extent cx="5731510" cy="5017418"/>
            <wp:effectExtent l="19050" t="19050" r="21590" b="1206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5017418"/>
                    </a:xfrm>
                    <a:prstGeom prst="rect">
                      <a:avLst/>
                    </a:prstGeom>
                    <a:noFill/>
                    <a:ln w="12700">
                      <a:solidFill>
                        <a:schemeClr val="accent2">
                          <a:lumMod val="75000"/>
                        </a:schemeClr>
                      </a:solidFill>
                    </a:ln>
                  </pic:spPr>
                </pic:pic>
              </a:graphicData>
            </a:graphic>
          </wp:inline>
        </w:drawing>
      </w:r>
    </w:p>
    <w:p w14:paraId="135619C0" w14:textId="692697F7" w:rsidR="00FF4E93" w:rsidRPr="004A47DC" w:rsidRDefault="00FF4E93" w:rsidP="004E0CC9">
      <w:pPr>
        <w:pStyle w:val="TEKSTIII"/>
        <w:ind w:firstLine="0"/>
        <w:rPr>
          <w:highlight w:val="yellow"/>
        </w:rPr>
      </w:pPr>
    </w:p>
    <w:p w14:paraId="17CE5ACF" w14:textId="77777777" w:rsidR="0020114D" w:rsidRPr="004A47DC" w:rsidRDefault="0020114D" w:rsidP="0020114D">
      <w:pPr>
        <w:pStyle w:val="TEKSTIII"/>
        <w:jc w:val="center"/>
        <w:rPr>
          <w:b/>
        </w:rPr>
      </w:pPr>
      <w:bookmarkStart w:id="61" w:name="_Toc168918713"/>
    </w:p>
    <w:p w14:paraId="2747FB17" w14:textId="77777777" w:rsidR="0020114D" w:rsidRPr="004A47DC" w:rsidRDefault="0020114D" w:rsidP="0020114D">
      <w:pPr>
        <w:pStyle w:val="TEKSTIII"/>
        <w:jc w:val="center"/>
        <w:rPr>
          <w:b/>
        </w:rPr>
      </w:pPr>
    </w:p>
    <w:p w14:paraId="1918A17F" w14:textId="77777777" w:rsidR="0020114D" w:rsidRPr="004A47DC" w:rsidRDefault="0020114D" w:rsidP="0020114D">
      <w:pPr>
        <w:pStyle w:val="TEKSTIII"/>
        <w:jc w:val="center"/>
        <w:rPr>
          <w:b/>
        </w:rPr>
      </w:pPr>
    </w:p>
    <w:p w14:paraId="3218BD3D" w14:textId="77777777" w:rsidR="0020114D" w:rsidRPr="004A47DC" w:rsidRDefault="0020114D" w:rsidP="0020114D">
      <w:pPr>
        <w:pStyle w:val="TEKSTIII"/>
        <w:jc w:val="center"/>
        <w:rPr>
          <w:b/>
        </w:rPr>
      </w:pPr>
    </w:p>
    <w:p w14:paraId="4D4CAF5E" w14:textId="77777777" w:rsidR="0020114D" w:rsidRPr="004A47DC" w:rsidRDefault="0020114D" w:rsidP="0020114D">
      <w:pPr>
        <w:pStyle w:val="TEKSTIII"/>
        <w:jc w:val="center"/>
        <w:rPr>
          <w:b/>
        </w:rPr>
      </w:pPr>
    </w:p>
    <w:p w14:paraId="53736EDB" w14:textId="77777777" w:rsidR="0020114D" w:rsidRPr="004A47DC" w:rsidRDefault="0020114D" w:rsidP="0020114D">
      <w:pPr>
        <w:pStyle w:val="TEKSTIII"/>
        <w:jc w:val="center"/>
        <w:rPr>
          <w:b/>
        </w:rPr>
      </w:pPr>
    </w:p>
    <w:p w14:paraId="143CBD17" w14:textId="77777777" w:rsidR="0020114D" w:rsidRPr="004A47DC" w:rsidRDefault="0020114D" w:rsidP="0020114D">
      <w:pPr>
        <w:pStyle w:val="TEKSTIII"/>
        <w:jc w:val="center"/>
        <w:rPr>
          <w:b/>
        </w:rPr>
      </w:pPr>
    </w:p>
    <w:p w14:paraId="12F29C5E" w14:textId="77777777" w:rsidR="0020114D" w:rsidRPr="004A47DC" w:rsidRDefault="0020114D" w:rsidP="0020114D">
      <w:pPr>
        <w:pStyle w:val="TEKSTIII"/>
        <w:jc w:val="center"/>
        <w:rPr>
          <w:b/>
        </w:rPr>
      </w:pPr>
    </w:p>
    <w:p w14:paraId="4DCBDEE7" w14:textId="77777777" w:rsidR="0020114D" w:rsidRPr="004A47DC" w:rsidRDefault="0020114D" w:rsidP="0020114D">
      <w:pPr>
        <w:pStyle w:val="TEKSTIII"/>
        <w:jc w:val="center"/>
        <w:rPr>
          <w:b/>
        </w:rPr>
      </w:pPr>
    </w:p>
    <w:p w14:paraId="4131B9B9" w14:textId="77777777" w:rsidR="0020114D" w:rsidRPr="004A47DC" w:rsidRDefault="0020114D" w:rsidP="0020114D">
      <w:pPr>
        <w:pStyle w:val="TEKSTIII"/>
        <w:jc w:val="center"/>
        <w:rPr>
          <w:b/>
        </w:rPr>
      </w:pPr>
    </w:p>
    <w:p w14:paraId="6D4E2E3C" w14:textId="77777777" w:rsidR="0020114D" w:rsidRPr="004A47DC" w:rsidRDefault="0020114D" w:rsidP="0020114D">
      <w:pPr>
        <w:pStyle w:val="TEKSTIII"/>
        <w:jc w:val="center"/>
        <w:rPr>
          <w:b/>
        </w:rPr>
      </w:pPr>
    </w:p>
    <w:p w14:paraId="0D9E2939" w14:textId="77777777" w:rsidR="0020114D" w:rsidRPr="004A47DC" w:rsidRDefault="0020114D" w:rsidP="0020114D">
      <w:pPr>
        <w:pStyle w:val="TEKSTIII"/>
        <w:jc w:val="center"/>
        <w:rPr>
          <w:b/>
        </w:rPr>
      </w:pPr>
    </w:p>
    <w:p w14:paraId="250558AA" w14:textId="77777777" w:rsidR="0020114D" w:rsidRPr="004A47DC" w:rsidRDefault="0020114D" w:rsidP="0020114D">
      <w:pPr>
        <w:pStyle w:val="TEKSTIII"/>
        <w:jc w:val="center"/>
        <w:rPr>
          <w:b/>
        </w:rPr>
      </w:pPr>
    </w:p>
    <w:p w14:paraId="4E33BBD0" w14:textId="77777777" w:rsidR="0020114D" w:rsidRPr="004A47DC" w:rsidRDefault="0020114D" w:rsidP="0020114D">
      <w:pPr>
        <w:pStyle w:val="TEKSTIII"/>
        <w:jc w:val="center"/>
        <w:rPr>
          <w:b/>
        </w:rPr>
      </w:pPr>
    </w:p>
    <w:p w14:paraId="20371D13" w14:textId="77777777" w:rsidR="0020114D" w:rsidRPr="004A47DC" w:rsidRDefault="0020114D" w:rsidP="0020114D">
      <w:pPr>
        <w:pStyle w:val="TEKSTIII"/>
        <w:jc w:val="center"/>
        <w:rPr>
          <w:b/>
        </w:rPr>
      </w:pPr>
    </w:p>
    <w:p w14:paraId="5F1AE62F" w14:textId="4639F89B" w:rsidR="0020114D" w:rsidRPr="004A47DC" w:rsidRDefault="0020114D" w:rsidP="0020114D">
      <w:pPr>
        <w:pStyle w:val="TEKSTIII"/>
        <w:jc w:val="center"/>
        <w:rPr>
          <w:b/>
        </w:rPr>
      </w:pPr>
    </w:p>
    <w:p w14:paraId="390324CE" w14:textId="55D61478" w:rsidR="0020114D" w:rsidRPr="004A47DC" w:rsidRDefault="0020114D" w:rsidP="0020114D">
      <w:pPr>
        <w:pStyle w:val="TEKSTIII"/>
        <w:jc w:val="center"/>
        <w:rPr>
          <w:b/>
        </w:rPr>
      </w:pPr>
    </w:p>
    <w:p w14:paraId="10DC3190" w14:textId="6A661F5A" w:rsidR="0020114D" w:rsidRPr="004A47DC" w:rsidRDefault="0020114D" w:rsidP="0020114D">
      <w:pPr>
        <w:pStyle w:val="TEKSTIII"/>
        <w:jc w:val="center"/>
        <w:rPr>
          <w:b/>
        </w:rPr>
      </w:pPr>
    </w:p>
    <w:p w14:paraId="6ACDA8D1" w14:textId="77777777" w:rsidR="0020114D" w:rsidRPr="004A47DC" w:rsidRDefault="0020114D" w:rsidP="0020114D">
      <w:pPr>
        <w:pStyle w:val="TEKSTIII"/>
        <w:jc w:val="center"/>
        <w:rPr>
          <w:b/>
        </w:rPr>
      </w:pPr>
    </w:p>
    <w:p w14:paraId="06DDD04E" w14:textId="77777777" w:rsidR="0020114D" w:rsidRPr="004A47DC" w:rsidRDefault="0020114D" w:rsidP="0020114D">
      <w:pPr>
        <w:pStyle w:val="TEKSTIII"/>
        <w:jc w:val="center"/>
        <w:rPr>
          <w:b/>
        </w:rPr>
      </w:pPr>
    </w:p>
    <w:p w14:paraId="2DF52005" w14:textId="25FD70D1" w:rsidR="00FF4E93" w:rsidRPr="004A47DC" w:rsidRDefault="00FF4E93" w:rsidP="0020114D">
      <w:pPr>
        <w:pStyle w:val="TEKSTIII"/>
        <w:jc w:val="center"/>
        <w:rPr>
          <w:b/>
        </w:rPr>
      </w:pPr>
      <w:r w:rsidRPr="004A47DC">
        <w:rPr>
          <w:b/>
        </w:rPr>
        <w:t>Shtojca 5 Pasaporta e Treguesve të Strategjisë së Menaxhimit të Financave Publike 2023 – 2026</w:t>
      </w:r>
      <w:bookmarkEnd w:id="61"/>
    </w:p>
    <w:p w14:paraId="08A0C7EF" w14:textId="5C29EA2B" w:rsidR="00FF4E93" w:rsidRPr="004A47DC" w:rsidRDefault="00FF4E93" w:rsidP="004E0CC9">
      <w:pPr>
        <w:pStyle w:val="TEKSTIII"/>
        <w:ind w:firstLine="0"/>
        <w:rPr>
          <w:highlight w:val="yellow"/>
        </w:rPr>
      </w:pPr>
    </w:p>
    <w:p w14:paraId="4F0968A9" w14:textId="5B68CEB6" w:rsidR="00675310" w:rsidRPr="004A47DC" w:rsidRDefault="00675310" w:rsidP="004E0CC9">
      <w:pPr>
        <w:pStyle w:val="TEKSTIII"/>
        <w:ind w:firstLine="0"/>
        <w:rPr>
          <w:highlight w:val="yellow"/>
        </w:rPr>
      </w:pPr>
      <w:r w:rsidRPr="004A47DC">
        <w:rPr>
          <w:noProof/>
          <w:lang w:val="en-US"/>
        </w:rPr>
        <w:drawing>
          <wp:inline distT="0" distB="0" distL="0" distR="0" wp14:anchorId="3934A2D5" wp14:editId="5FE09154">
            <wp:extent cx="8093710" cy="5782727"/>
            <wp:effectExtent l="12700" t="25400" r="15240" b="152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6200000">
                      <a:off x="0" y="0"/>
                      <a:ext cx="8106910" cy="5792158"/>
                    </a:xfrm>
                    <a:prstGeom prst="rect">
                      <a:avLst/>
                    </a:prstGeom>
                    <a:noFill/>
                    <a:ln w="12700">
                      <a:solidFill>
                        <a:schemeClr val="accent2">
                          <a:lumMod val="75000"/>
                        </a:schemeClr>
                      </a:solidFill>
                    </a:ln>
                  </pic:spPr>
                </pic:pic>
              </a:graphicData>
            </a:graphic>
          </wp:inline>
        </w:drawing>
      </w:r>
    </w:p>
    <w:p w14:paraId="2F8B50F9" w14:textId="0EAE2804" w:rsidR="00904317" w:rsidRPr="004A47DC" w:rsidRDefault="00904317" w:rsidP="004E0CC9">
      <w:pPr>
        <w:pStyle w:val="TEKSTIII"/>
        <w:ind w:firstLine="0"/>
        <w:rPr>
          <w:highlight w:val="yellow"/>
        </w:rPr>
      </w:pPr>
    </w:p>
    <w:p w14:paraId="4A41E6D6" w14:textId="5C0B24C3" w:rsidR="00904317" w:rsidRDefault="00904317" w:rsidP="004E0CC9">
      <w:pPr>
        <w:pStyle w:val="TEKSTIII"/>
        <w:ind w:firstLine="0"/>
        <w:rPr>
          <w:highlight w:val="yellow"/>
        </w:rPr>
      </w:pPr>
      <w:r w:rsidRPr="004A47DC">
        <w:rPr>
          <w:noProof/>
          <w:lang w:val="en-US"/>
        </w:rPr>
        <w:drawing>
          <wp:inline distT="0" distB="0" distL="0" distR="0" wp14:anchorId="194D5826" wp14:editId="58341C9F">
            <wp:extent cx="8233115" cy="5761103"/>
            <wp:effectExtent l="16828" t="21272" r="13652" b="13653"/>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6200000">
                      <a:off x="0" y="0"/>
                      <a:ext cx="8243784" cy="5768568"/>
                    </a:xfrm>
                    <a:prstGeom prst="rect">
                      <a:avLst/>
                    </a:prstGeom>
                    <a:noFill/>
                    <a:ln w="12700">
                      <a:solidFill>
                        <a:schemeClr val="accent2">
                          <a:lumMod val="75000"/>
                        </a:schemeClr>
                      </a:solidFill>
                    </a:ln>
                  </pic:spPr>
                </pic:pic>
              </a:graphicData>
            </a:graphic>
          </wp:inline>
        </w:drawing>
      </w:r>
    </w:p>
    <w:p w14:paraId="328E312C" w14:textId="140120C8" w:rsidR="00984B42" w:rsidRDefault="00984B42" w:rsidP="004E0CC9">
      <w:pPr>
        <w:pStyle w:val="TEKSTIII"/>
        <w:ind w:firstLine="0"/>
        <w:rPr>
          <w:highlight w:val="yellow"/>
        </w:rPr>
      </w:pPr>
    </w:p>
    <w:p w14:paraId="0A534A30" w14:textId="3851C963" w:rsidR="00984B42" w:rsidRDefault="00984B42" w:rsidP="004E0CC9">
      <w:pPr>
        <w:pStyle w:val="TEKSTIII"/>
        <w:ind w:firstLine="0"/>
        <w:rPr>
          <w:highlight w:val="yellow"/>
        </w:rPr>
      </w:pPr>
    </w:p>
    <w:p w14:paraId="34A7AC6A" w14:textId="1F8E22FF" w:rsidR="00984B42" w:rsidRDefault="00984B42" w:rsidP="004E0CC9">
      <w:pPr>
        <w:pStyle w:val="TEKSTIII"/>
        <w:ind w:firstLine="0"/>
        <w:rPr>
          <w:highlight w:val="yellow"/>
        </w:rPr>
      </w:pPr>
    </w:p>
    <w:p w14:paraId="2AE144DD" w14:textId="1F1B9CEB" w:rsidR="00984B42" w:rsidRDefault="00984B42" w:rsidP="004E0CC9">
      <w:pPr>
        <w:pStyle w:val="TEKSTIII"/>
        <w:ind w:firstLine="0"/>
        <w:rPr>
          <w:highlight w:val="yellow"/>
        </w:rPr>
      </w:pPr>
    </w:p>
    <w:p w14:paraId="015F938E" w14:textId="6CA1C149" w:rsidR="00984B42" w:rsidRPr="004A47DC" w:rsidRDefault="00984B42" w:rsidP="004E0CC9">
      <w:pPr>
        <w:pStyle w:val="TEKSTIII"/>
        <w:ind w:firstLine="0"/>
        <w:rPr>
          <w:highlight w:val="yellow"/>
        </w:rPr>
      </w:pPr>
      <w:r w:rsidRPr="00CC5FD7">
        <w:rPr>
          <w:noProof/>
          <w:lang w:val="en-US"/>
        </w:rPr>
        <w:drawing>
          <wp:inline distT="0" distB="0" distL="0" distR="0" wp14:anchorId="1480FBAB" wp14:editId="7F7AB389">
            <wp:extent cx="8046903" cy="6185627"/>
            <wp:effectExtent l="16192" t="21908" r="27623" b="27622"/>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6200000">
                      <a:off x="0" y="0"/>
                      <a:ext cx="8056028" cy="6192642"/>
                    </a:xfrm>
                    <a:prstGeom prst="rect">
                      <a:avLst/>
                    </a:prstGeom>
                    <a:noFill/>
                    <a:ln w="12700">
                      <a:solidFill>
                        <a:schemeClr val="accent2">
                          <a:lumMod val="75000"/>
                        </a:schemeClr>
                      </a:solidFill>
                    </a:ln>
                  </pic:spPr>
                </pic:pic>
              </a:graphicData>
            </a:graphic>
          </wp:inline>
        </w:drawing>
      </w:r>
    </w:p>
    <w:p w14:paraId="0ACB4BCE" w14:textId="66EB1CC8" w:rsidR="00904317" w:rsidRPr="004A47DC" w:rsidRDefault="00904317" w:rsidP="004E0CC9">
      <w:pPr>
        <w:pStyle w:val="TEKSTIII"/>
        <w:ind w:firstLine="0"/>
        <w:rPr>
          <w:highlight w:val="yellow"/>
        </w:rPr>
      </w:pPr>
    </w:p>
    <w:p w14:paraId="64BC0011" w14:textId="3511F1AD" w:rsidR="00904317" w:rsidRPr="004A47DC" w:rsidRDefault="00904317" w:rsidP="004E0CC9">
      <w:pPr>
        <w:pStyle w:val="TEKSTIII"/>
        <w:ind w:firstLine="0"/>
        <w:rPr>
          <w:highlight w:val="yellow"/>
        </w:rPr>
      </w:pPr>
    </w:p>
    <w:p w14:paraId="0C713C3D" w14:textId="6F20A116" w:rsidR="00521C1D" w:rsidRPr="004A47DC" w:rsidRDefault="00521C1D" w:rsidP="004E0CC9">
      <w:pPr>
        <w:pStyle w:val="TEKSTIII"/>
        <w:ind w:firstLine="0"/>
        <w:rPr>
          <w:highlight w:val="yellow"/>
        </w:rPr>
      </w:pPr>
    </w:p>
    <w:p w14:paraId="4BEABA34" w14:textId="77E189B1" w:rsidR="00521C1D" w:rsidRPr="004A47DC" w:rsidRDefault="00521C1D" w:rsidP="004E0CC9">
      <w:pPr>
        <w:pStyle w:val="TEKSTIII"/>
        <w:ind w:firstLine="0"/>
        <w:rPr>
          <w:highlight w:val="yellow"/>
        </w:rPr>
      </w:pPr>
    </w:p>
    <w:p w14:paraId="226C4656" w14:textId="17CC5176" w:rsidR="00521C1D" w:rsidRPr="004A47DC" w:rsidRDefault="00521C1D" w:rsidP="004E0CC9">
      <w:pPr>
        <w:pStyle w:val="TEKSTIII"/>
        <w:ind w:firstLine="0"/>
        <w:rPr>
          <w:highlight w:val="yellow"/>
        </w:rPr>
      </w:pPr>
    </w:p>
    <w:p w14:paraId="145DDB8F" w14:textId="11ABAD13" w:rsidR="002065EE" w:rsidRPr="004A47DC" w:rsidRDefault="002065EE" w:rsidP="004E0CC9">
      <w:pPr>
        <w:pStyle w:val="TEKSTIII"/>
        <w:ind w:firstLine="0"/>
        <w:rPr>
          <w:highlight w:val="yellow"/>
        </w:rPr>
      </w:pPr>
      <w:r w:rsidRPr="004A47DC">
        <w:rPr>
          <w:noProof/>
          <w:lang w:val="en-US"/>
        </w:rPr>
        <w:drawing>
          <wp:inline distT="0" distB="0" distL="0" distR="0" wp14:anchorId="370DBD26" wp14:editId="5622D755">
            <wp:extent cx="8489019" cy="5701178"/>
            <wp:effectExtent l="22225" t="15875" r="10795" b="107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16200000">
                      <a:off x="0" y="0"/>
                      <a:ext cx="8498417" cy="5707490"/>
                    </a:xfrm>
                    <a:prstGeom prst="rect">
                      <a:avLst/>
                    </a:prstGeom>
                    <a:noFill/>
                    <a:ln w="12700">
                      <a:solidFill>
                        <a:schemeClr val="accent2">
                          <a:lumMod val="75000"/>
                        </a:schemeClr>
                      </a:solidFill>
                    </a:ln>
                  </pic:spPr>
                </pic:pic>
              </a:graphicData>
            </a:graphic>
          </wp:inline>
        </w:drawing>
      </w:r>
    </w:p>
    <w:p w14:paraId="021B798A" w14:textId="4D93C051" w:rsidR="002065EE" w:rsidRPr="004A47DC" w:rsidRDefault="002065EE" w:rsidP="004E0CC9">
      <w:pPr>
        <w:pStyle w:val="TEKSTIII"/>
        <w:ind w:firstLine="0"/>
        <w:rPr>
          <w:highlight w:val="yellow"/>
        </w:rPr>
      </w:pPr>
    </w:p>
    <w:p w14:paraId="3845BFF7" w14:textId="701D2E34" w:rsidR="002065EE" w:rsidRPr="004A47DC" w:rsidRDefault="002065EE" w:rsidP="004E0CC9">
      <w:pPr>
        <w:pStyle w:val="TEKSTIII"/>
        <w:ind w:firstLine="0"/>
        <w:rPr>
          <w:highlight w:val="yellow"/>
        </w:rPr>
      </w:pPr>
    </w:p>
    <w:p w14:paraId="2A8284FE" w14:textId="44338FC4" w:rsidR="002F3F73" w:rsidRPr="004A47DC" w:rsidRDefault="002F3F73" w:rsidP="004E0CC9">
      <w:pPr>
        <w:pStyle w:val="TEKSTIII"/>
        <w:ind w:firstLine="0"/>
        <w:rPr>
          <w:highlight w:val="yellow"/>
        </w:rPr>
      </w:pPr>
      <w:r w:rsidRPr="004A47DC">
        <w:rPr>
          <w:noProof/>
          <w:lang w:val="en-US"/>
        </w:rPr>
        <w:drawing>
          <wp:inline distT="0" distB="0" distL="0" distR="0" wp14:anchorId="5C230EEF" wp14:editId="41B7D357">
            <wp:extent cx="8379155" cy="6068270"/>
            <wp:effectExtent l="12383" t="25717" r="15557" b="15558"/>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16200000">
                      <a:off x="0" y="0"/>
                      <a:ext cx="8388315" cy="6074904"/>
                    </a:xfrm>
                    <a:prstGeom prst="rect">
                      <a:avLst/>
                    </a:prstGeom>
                    <a:noFill/>
                    <a:ln w="12700">
                      <a:solidFill>
                        <a:schemeClr val="accent2">
                          <a:lumMod val="75000"/>
                        </a:schemeClr>
                      </a:solidFill>
                    </a:ln>
                  </pic:spPr>
                </pic:pic>
              </a:graphicData>
            </a:graphic>
          </wp:inline>
        </w:drawing>
      </w:r>
    </w:p>
    <w:p w14:paraId="091F1FE8" w14:textId="7A9766E6" w:rsidR="002F3F73" w:rsidRPr="004A47DC" w:rsidRDefault="002F3F73" w:rsidP="004E0CC9">
      <w:pPr>
        <w:pStyle w:val="TEKSTIII"/>
        <w:ind w:firstLine="0"/>
        <w:rPr>
          <w:highlight w:val="yellow"/>
        </w:rPr>
      </w:pPr>
    </w:p>
    <w:p w14:paraId="1D537859" w14:textId="1DD7886D" w:rsidR="002F3F73" w:rsidRPr="004A47DC" w:rsidRDefault="002F3F73" w:rsidP="004E0CC9">
      <w:pPr>
        <w:pStyle w:val="TEKSTIII"/>
        <w:ind w:firstLine="0"/>
        <w:rPr>
          <w:highlight w:val="yellow"/>
        </w:rPr>
      </w:pPr>
    </w:p>
    <w:p w14:paraId="70996CA6" w14:textId="3D98ACE1" w:rsidR="00DA42D5" w:rsidRPr="004A47DC" w:rsidRDefault="00DA42D5" w:rsidP="004E0CC9">
      <w:pPr>
        <w:pStyle w:val="TEKSTIII"/>
        <w:ind w:firstLine="0"/>
        <w:rPr>
          <w:highlight w:val="yellow"/>
        </w:rPr>
      </w:pPr>
      <w:r w:rsidRPr="004A47DC">
        <w:rPr>
          <w:noProof/>
          <w:lang w:val="en-US"/>
        </w:rPr>
        <w:drawing>
          <wp:inline distT="0" distB="0" distL="0" distR="0" wp14:anchorId="252D0B55" wp14:editId="319B0730">
            <wp:extent cx="8399301" cy="5611875"/>
            <wp:effectExtent l="22225" t="15875" r="24130" b="2413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6200000">
                      <a:off x="0" y="0"/>
                      <a:ext cx="8408159" cy="5617793"/>
                    </a:xfrm>
                    <a:prstGeom prst="rect">
                      <a:avLst/>
                    </a:prstGeom>
                    <a:noFill/>
                    <a:ln w="12700">
                      <a:solidFill>
                        <a:schemeClr val="accent2">
                          <a:lumMod val="75000"/>
                        </a:schemeClr>
                      </a:solidFill>
                    </a:ln>
                  </pic:spPr>
                </pic:pic>
              </a:graphicData>
            </a:graphic>
          </wp:inline>
        </w:drawing>
      </w:r>
    </w:p>
    <w:p w14:paraId="58BBF451" w14:textId="376C7F01" w:rsidR="00DA42D5" w:rsidRPr="004A47DC" w:rsidRDefault="00DA42D5" w:rsidP="004E0CC9">
      <w:pPr>
        <w:pStyle w:val="TEKSTIII"/>
        <w:ind w:firstLine="0"/>
        <w:rPr>
          <w:highlight w:val="yellow"/>
        </w:rPr>
      </w:pPr>
    </w:p>
    <w:p w14:paraId="5851180A" w14:textId="3A141DD6" w:rsidR="00B7027A" w:rsidRPr="004A47DC" w:rsidRDefault="00B7027A" w:rsidP="004E0CC9">
      <w:pPr>
        <w:pStyle w:val="TEKSTIII"/>
        <w:ind w:firstLine="0"/>
        <w:rPr>
          <w:highlight w:val="yellow"/>
        </w:rPr>
      </w:pPr>
    </w:p>
    <w:p w14:paraId="30C96B4B" w14:textId="3A25D9D6" w:rsidR="00B7027A" w:rsidRPr="004A47DC" w:rsidRDefault="00B7027A" w:rsidP="004E0CC9">
      <w:pPr>
        <w:pStyle w:val="TEKSTIII"/>
        <w:ind w:firstLine="0"/>
        <w:rPr>
          <w:highlight w:val="yellow"/>
        </w:rPr>
      </w:pPr>
      <w:r w:rsidRPr="004A47DC">
        <w:rPr>
          <w:noProof/>
          <w:lang w:val="en-US"/>
        </w:rPr>
        <w:drawing>
          <wp:inline distT="0" distB="0" distL="0" distR="0" wp14:anchorId="5922CC6B" wp14:editId="5EC8C1E7">
            <wp:extent cx="8463280" cy="5145493"/>
            <wp:effectExtent l="20637" t="17463" r="15558" b="15557"/>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8482345" cy="5157084"/>
                    </a:xfrm>
                    <a:prstGeom prst="rect">
                      <a:avLst/>
                    </a:prstGeom>
                    <a:noFill/>
                    <a:ln w="12700">
                      <a:solidFill>
                        <a:schemeClr val="accent2">
                          <a:lumMod val="75000"/>
                        </a:schemeClr>
                      </a:solidFill>
                    </a:ln>
                  </pic:spPr>
                </pic:pic>
              </a:graphicData>
            </a:graphic>
          </wp:inline>
        </w:drawing>
      </w:r>
    </w:p>
    <w:sectPr w:rsidR="00B7027A" w:rsidRPr="004A47DC" w:rsidSect="00731A47">
      <w:footerReference w:type="first" r:id="rId43"/>
      <w:pgSz w:w="11907" w:h="16840" w:code="9"/>
      <w:pgMar w:top="1418" w:right="1418" w:bottom="1418" w:left="1418" w:header="1304" w:footer="113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94ECE" w14:textId="77777777" w:rsidR="002B3F8E" w:rsidRDefault="002B3F8E" w:rsidP="00E4626C">
      <w:r>
        <w:separator/>
      </w:r>
    </w:p>
  </w:endnote>
  <w:endnote w:type="continuationSeparator" w:id="0">
    <w:p w14:paraId="13AB429B" w14:textId="77777777" w:rsidR="002B3F8E" w:rsidRDefault="002B3F8E" w:rsidP="00E4626C">
      <w:r>
        <w:continuationSeparator/>
      </w:r>
    </w:p>
  </w:endnote>
  <w:endnote w:type="continuationNotice" w:id="1">
    <w:p w14:paraId="6BF8974B" w14:textId="77777777" w:rsidR="002B3F8E" w:rsidRDefault="002B3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Open Sans Light">
    <w:altName w:val="Arial"/>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775319" w14:textId="77777777" w:rsidR="002B3F8E" w:rsidRDefault="002B3F8E" w:rsidP="00D35C45">
    <w:pPr>
      <w:pStyle w:val="Footer"/>
      <w:tabs>
        <w:tab w:val="clear" w:pos="4320"/>
        <w:tab w:val="clear" w:pos="8640"/>
        <w:tab w:val="left" w:pos="770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978EEB" w14:textId="77777777" w:rsidR="002B3F8E" w:rsidRDefault="002B3F8E" w:rsidP="00E4626C">
      <w:r>
        <w:separator/>
      </w:r>
    </w:p>
  </w:footnote>
  <w:footnote w:type="continuationSeparator" w:id="0">
    <w:p w14:paraId="7018FB03" w14:textId="77777777" w:rsidR="002B3F8E" w:rsidRDefault="002B3F8E" w:rsidP="00E4626C">
      <w:r>
        <w:continuationSeparator/>
      </w:r>
    </w:p>
  </w:footnote>
  <w:footnote w:type="continuationNotice" w:id="1">
    <w:p w14:paraId="28A28170" w14:textId="77777777" w:rsidR="002B3F8E" w:rsidRDefault="002B3F8E"/>
  </w:footnote>
  <w:footnote w:id="2">
    <w:p w14:paraId="54C90B8E" w14:textId="630061F2" w:rsidR="002B3F8E" w:rsidRPr="001750A8" w:rsidRDefault="002B3F8E" w:rsidP="00D92A46">
      <w:pPr>
        <w:pStyle w:val="TEKSTIII"/>
        <w:ind w:firstLine="0"/>
        <w:rPr>
          <w:rFonts w:eastAsiaTheme="majorEastAsia" w:cstheme="majorBidi"/>
          <w:i/>
          <w:color w:val="0070C0"/>
          <w:sz w:val="20"/>
          <w:szCs w:val="20"/>
        </w:rPr>
      </w:pPr>
      <w:r w:rsidRPr="00B526E3">
        <w:rPr>
          <w:rStyle w:val="FootnoteReference"/>
          <w:rFonts w:ascii="Garamond" w:hAnsi="Garamond"/>
          <w:sz w:val="20"/>
          <w:szCs w:val="20"/>
        </w:rPr>
        <w:footnoteRef/>
      </w:r>
      <w:r w:rsidRPr="001750A8">
        <w:rPr>
          <w:sz w:val="20"/>
          <w:szCs w:val="20"/>
        </w:rPr>
        <w:t xml:space="preserve"> </w:t>
      </w:r>
      <w:r w:rsidRPr="001750A8">
        <w:rPr>
          <w:rStyle w:val="FootnoteReference"/>
          <w:rFonts w:ascii="Garamond" w:hAnsi="Garamond"/>
          <w:sz w:val="20"/>
          <w:szCs w:val="20"/>
          <w:vertAlign w:val="baseline"/>
        </w:rPr>
        <w:t>R</w:t>
      </w:r>
      <w:r w:rsidRPr="001750A8">
        <w:rPr>
          <w:sz w:val="20"/>
          <w:szCs w:val="20"/>
        </w:rPr>
        <w:t>epublika e Shqipërisë</w:t>
      </w:r>
      <w:r w:rsidRPr="001750A8">
        <w:rPr>
          <w:rStyle w:val="FootnoteReference"/>
          <w:rFonts w:ascii="Garamond" w:hAnsi="Garamond"/>
          <w:sz w:val="20"/>
          <w:szCs w:val="20"/>
          <w:vertAlign w:val="baseline"/>
        </w:rPr>
        <w:t>, K</w:t>
      </w:r>
      <w:r w:rsidRPr="001750A8">
        <w:rPr>
          <w:sz w:val="20"/>
          <w:szCs w:val="20"/>
        </w:rPr>
        <w:t>ëshilli i Ministrave</w:t>
      </w:r>
      <w:r w:rsidRPr="001750A8">
        <w:rPr>
          <w:rStyle w:val="FootnoteReference"/>
          <w:rFonts w:ascii="Garamond" w:hAnsi="Garamond"/>
          <w:sz w:val="20"/>
          <w:szCs w:val="20"/>
          <w:vertAlign w:val="baseline"/>
        </w:rPr>
        <w:t>, P</w:t>
      </w:r>
      <w:r w:rsidRPr="001750A8">
        <w:rPr>
          <w:sz w:val="20"/>
          <w:szCs w:val="20"/>
        </w:rPr>
        <w:t>rogrami i Reformave Ekonomike</w:t>
      </w:r>
      <w:r w:rsidRPr="001750A8">
        <w:rPr>
          <w:rStyle w:val="FootnoteReference"/>
          <w:rFonts w:ascii="Garamond" w:hAnsi="Garamond"/>
          <w:sz w:val="20"/>
          <w:szCs w:val="20"/>
          <w:vertAlign w:val="baseline"/>
        </w:rPr>
        <w:t xml:space="preserve"> 2023</w:t>
      </w:r>
      <w:r w:rsidRPr="004C7CE8">
        <w:rPr>
          <w:rStyle w:val="rynqvb"/>
          <w:color w:val="000000" w:themeColor="text1"/>
        </w:rPr>
        <w:t>–</w:t>
      </w:r>
      <w:r w:rsidRPr="001750A8">
        <w:rPr>
          <w:rStyle w:val="FootnoteReference"/>
          <w:rFonts w:ascii="Garamond" w:hAnsi="Garamond"/>
          <w:sz w:val="20"/>
          <w:szCs w:val="20"/>
          <w:vertAlign w:val="baseline"/>
        </w:rPr>
        <w:t xml:space="preserve">2025, 31 </w:t>
      </w:r>
      <w:r>
        <w:rPr>
          <w:rStyle w:val="FootnoteReference"/>
          <w:rFonts w:ascii="Garamond" w:hAnsi="Garamond"/>
          <w:sz w:val="20"/>
          <w:szCs w:val="20"/>
          <w:vertAlign w:val="baseline"/>
        </w:rPr>
        <w:t>j</w:t>
      </w:r>
      <w:r w:rsidRPr="001750A8">
        <w:rPr>
          <w:rStyle w:val="FootnoteReference"/>
          <w:rFonts w:ascii="Garamond" w:hAnsi="Garamond"/>
          <w:sz w:val="20"/>
          <w:szCs w:val="20"/>
          <w:vertAlign w:val="baseline"/>
        </w:rPr>
        <w:t>a</w:t>
      </w:r>
      <w:r>
        <w:rPr>
          <w:sz w:val="20"/>
          <w:szCs w:val="20"/>
        </w:rPr>
        <w:t>nar</w:t>
      </w:r>
      <w:r w:rsidRPr="001750A8">
        <w:rPr>
          <w:rStyle w:val="FootnoteReference"/>
          <w:rFonts w:ascii="Garamond" w:hAnsi="Garamond"/>
          <w:sz w:val="20"/>
          <w:szCs w:val="20"/>
          <w:vertAlign w:val="baseline"/>
        </w:rPr>
        <w:t xml:space="preserve"> 2023.</w:t>
      </w:r>
    </w:p>
  </w:footnote>
  <w:footnote w:id="3">
    <w:p w14:paraId="3FCD37CE" w14:textId="28BCD81C" w:rsidR="002B3F8E" w:rsidRPr="00F473EA" w:rsidRDefault="002B3F8E" w:rsidP="00F90E60">
      <w:pPr>
        <w:pStyle w:val="TEKSTIII"/>
        <w:ind w:firstLine="0"/>
        <w:rPr>
          <w:sz w:val="20"/>
          <w:szCs w:val="20"/>
        </w:rPr>
      </w:pPr>
      <w:r w:rsidRPr="00F473EA">
        <w:rPr>
          <w:rStyle w:val="FootnoteReference"/>
          <w:rFonts w:ascii="Garamond" w:hAnsi="Garamond"/>
          <w:sz w:val="20"/>
          <w:szCs w:val="20"/>
          <w:vertAlign w:val="baseline"/>
        </w:rPr>
        <w:footnoteRef/>
      </w:r>
      <w:r>
        <w:rPr>
          <w:sz w:val="20"/>
          <w:szCs w:val="20"/>
        </w:rPr>
        <w:t>.</w:t>
      </w:r>
      <w:r>
        <w:rPr>
          <w:rStyle w:val="FootnoteReference"/>
          <w:rFonts w:ascii="Garamond" w:hAnsi="Garamond"/>
          <w:sz w:val="20"/>
          <w:szCs w:val="20"/>
          <w:vertAlign w:val="baseline"/>
        </w:rPr>
        <w:t xml:space="preserve"> </w:t>
      </w:r>
      <w:r w:rsidRPr="00F473EA">
        <w:rPr>
          <w:sz w:val="20"/>
          <w:szCs w:val="20"/>
        </w:rPr>
        <w:t>Republika e Shqipërisë</w:t>
      </w:r>
      <w:r w:rsidRPr="00F473EA">
        <w:rPr>
          <w:rStyle w:val="FootnoteReference"/>
          <w:rFonts w:ascii="Garamond" w:hAnsi="Garamond"/>
          <w:sz w:val="20"/>
          <w:szCs w:val="20"/>
          <w:vertAlign w:val="baseline"/>
        </w:rPr>
        <w:t>, K</w:t>
      </w:r>
      <w:r w:rsidRPr="00F473EA">
        <w:rPr>
          <w:sz w:val="20"/>
          <w:szCs w:val="20"/>
        </w:rPr>
        <w:t>ëshilli i Ministrave</w:t>
      </w:r>
      <w:r w:rsidRPr="00F473EA">
        <w:rPr>
          <w:rStyle w:val="FootnoteReference"/>
          <w:rFonts w:ascii="Garamond" w:hAnsi="Garamond"/>
          <w:sz w:val="20"/>
          <w:szCs w:val="20"/>
          <w:vertAlign w:val="baseline"/>
        </w:rPr>
        <w:t>, P</w:t>
      </w:r>
      <w:r w:rsidRPr="00F473EA">
        <w:rPr>
          <w:sz w:val="20"/>
          <w:szCs w:val="20"/>
        </w:rPr>
        <w:t>rogrami i Reformave Ekonomike</w:t>
      </w:r>
      <w:r w:rsidRPr="00F473EA">
        <w:rPr>
          <w:rStyle w:val="FootnoteReference"/>
          <w:rFonts w:ascii="Garamond" w:hAnsi="Garamond"/>
          <w:sz w:val="20"/>
          <w:szCs w:val="20"/>
          <w:vertAlign w:val="baseline"/>
        </w:rPr>
        <w:t xml:space="preserve"> 2024</w:t>
      </w:r>
      <w:r w:rsidRPr="00F473EA">
        <w:rPr>
          <w:rStyle w:val="rynqvb"/>
          <w:color w:val="000000" w:themeColor="text1"/>
          <w:sz w:val="20"/>
          <w:szCs w:val="20"/>
        </w:rPr>
        <w:t>–</w:t>
      </w:r>
      <w:r w:rsidRPr="00F473EA">
        <w:rPr>
          <w:rStyle w:val="FootnoteReference"/>
          <w:rFonts w:ascii="Garamond" w:hAnsi="Garamond"/>
          <w:sz w:val="20"/>
          <w:szCs w:val="20"/>
          <w:vertAlign w:val="baseline"/>
        </w:rPr>
        <w:t>2026, 1</w:t>
      </w:r>
      <w:r w:rsidRPr="00F473EA">
        <w:rPr>
          <w:sz w:val="20"/>
          <w:szCs w:val="20"/>
        </w:rPr>
        <w:t>5</w:t>
      </w:r>
      <w:r w:rsidRPr="00F473EA">
        <w:rPr>
          <w:rStyle w:val="FootnoteReference"/>
          <w:rFonts w:ascii="Garamond" w:hAnsi="Garamond"/>
          <w:sz w:val="20"/>
          <w:szCs w:val="20"/>
          <w:vertAlign w:val="baseline"/>
        </w:rPr>
        <w:t xml:space="preserve"> janar 2024.</w:t>
      </w:r>
    </w:p>
  </w:footnote>
  <w:footnote w:id="4">
    <w:p w14:paraId="16F78958" w14:textId="7916A8ED" w:rsidR="002B3F8E" w:rsidRPr="00F473EA" w:rsidRDefault="002B3F8E" w:rsidP="00F90E60">
      <w:pPr>
        <w:pStyle w:val="TEKSTIII"/>
        <w:ind w:firstLine="0"/>
        <w:rPr>
          <w:sz w:val="20"/>
          <w:szCs w:val="20"/>
        </w:rPr>
      </w:pPr>
      <w:r w:rsidRPr="00F473EA">
        <w:rPr>
          <w:rStyle w:val="FootnoteReference"/>
          <w:rFonts w:ascii="Garamond" w:hAnsi="Garamond"/>
          <w:sz w:val="20"/>
          <w:szCs w:val="20"/>
          <w:vertAlign w:val="baseline"/>
        </w:rPr>
        <w:footnoteRef/>
      </w:r>
      <w:r>
        <w:rPr>
          <w:sz w:val="20"/>
          <w:szCs w:val="20"/>
        </w:rPr>
        <w:t>.</w:t>
      </w:r>
      <w:r w:rsidRPr="00F473EA">
        <w:rPr>
          <w:sz w:val="20"/>
          <w:szCs w:val="20"/>
        </w:rPr>
        <w:t xml:space="preserve"> Ligji </w:t>
      </w:r>
      <w:r>
        <w:rPr>
          <w:sz w:val="20"/>
          <w:szCs w:val="20"/>
        </w:rPr>
        <w:t>n</w:t>
      </w:r>
      <w:r w:rsidRPr="00F473EA">
        <w:rPr>
          <w:sz w:val="20"/>
          <w:szCs w:val="20"/>
        </w:rPr>
        <w:t>r. 30/2022</w:t>
      </w:r>
      <w:r>
        <w:rPr>
          <w:sz w:val="20"/>
          <w:szCs w:val="20"/>
        </w:rPr>
        <w:t>,</w:t>
      </w:r>
      <w:r w:rsidRPr="00F473EA">
        <w:rPr>
          <w:sz w:val="20"/>
          <w:szCs w:val="20"/>
        </w:rPr>
        <w:t xml:space="preserve"> “Për miratimin e Programit të Statistikave Zyrtare 2022</w:t>
      </w:r>
      <w:r w:rsidRPr="00F473EA">
        <w:rPr>
          <w:rStyle w:val="rynqvb"/>
          <w:color w:val="000000" w:themeColor="text1"/>
          <w:sz w:val="20"/>
          <w:szCs w:val="20"/>
        </w:rPr>
        <w:t>–</w:t>
      </w:r>
      <w:r w:rsidRPr="00F473EA">
        <w:rPr>
          <w:sz w:val="20"/>
          <w:szCs w:val="20"/>
        </w:rPr>
        <w:t>2026”</w:t>
      </w:r>
      <w:r>
        <w:rPr>
          <w:sz w:val="20"/>
          <w:szCs w:val="20"/>
        </w:rPr>
        <w:t>.</w:t>
      </w:r>
    </w:p>
  </w:footnote>
  <w:footnote w:id="5">
    <w:p w14:paraId="335C76C1" w14:textId="0630D13D" w:rsidR="002B3F8E" w:rsidRPr="009B1121" w:rsidRDefault="002B3F8E" w:rsidP="00C135D2">
      <w:pPr>
        <w:pStyle w:val="FootnoteText"/>
        <w:spacing w:line="200" w:lineRule="exact"/>
        <w:ind w:left="284" w:hanging="284"/>
        <w:rPr>
          <w:rFonts w:ascii="Garamond" w:hAnsi="Garamond"/>
          <w:sz w:val="16"/>
          <w:szCs w:val="16"/>
          <w:lang w:val="sq-AL"/>
        </w:rPr>
      </w:pPr>
      <w:r w:rsidRPr="009B1121">
        <w:rPr>
          <w:rStyle w:val="FootnoteReference"/>
          <w:rFonts w:ascii="Garamond" w:hAnsi="Garamond"/>
          <w:sz w:val="16"/>
          <w:szCs w:val="16"/>
        </w:rPr>
        <w:footnoteRef/>
      </w:r>
      <w:r w:rsidRPr="009B1121">
        <w:rPr>
          <w:rFonts w:ascii="Garamond" w:hAnsi="Garamond"/>
          <w:sz w:val="16"/>
          <w:szCs w:val="16"/>
          <w:lang w:val="sq-AL"/>
        </w:rPr>
        <w:t xml:space="preserve"> </w:t>
      </w:r>
      <w:r w:rsidRPr="009B1121">
        <w:rPr>
          <w:rFonts w:ascii="Garamond" w:hAnsi="Garamond"/>
          <w:sz w:val="16"/>
          <w:szCs w:val="16"/>
          <w:lang w:val="sq-AL"/>
        </w:rPr>
        <w:tab/>
        <w:t>MF-ja, Drejtoria e Përgjithshme e Programimit Makroekonomik dhe Fiskal.</w:t>
      </w:r>
    </w:p>
  </w:footnote>
  <w:footnote w:id="6">
    <w:p w14:paraId="7D44909E" w14:textId="26E25D09" w:rsidR="002B3F8E" w:rsidRPr="00D132AB" w:rsidRDefault="002B3F8E" w:rsidP="00573F94">
      <w:pPr>
        <w:pStyle w:val="FootnoteText"/>
        <w:spacing w:line="200" w:lineRule="exact"/>
        <w:ind w:left="284" w:hanging="284"/>
        <w:jc w:val="both"/>
        <w:rPr>
          <w:rFonts w:ascii="Garamond" w:hAnsi="Garamond"/>
          <w:sz w:val="16"/>
          <w:szCs w:val="16"/>
          <w:lang w:val="sq-AL"/>
        </w:rPr>
      </w:pPr>
      <w:r w:rsidRPr="00D132AB">
        <w:rPr>
          <w:rStyle w:val="FootnoteReference"/>
          <w:rFonts w:ascii="Garamond" w:hAnsi="Garamond"/>
          <w:sz w:val="16"/>
          <w:szCs w:val="16"/>
        </w:rPr>
        <w:footnoteRef/>
      </w:r>
      <w:r w:rsidRPr="00D132AB">
        <w:rPr>
          <w:rFonts w:ascii="Garamond" w:hAnsi="Garamond"/>
          <w:sz w:val="16"/>
          <w:szCs w:val="16"/>
          <w:lang w:val="sq-AL"/>
        </w:rPr>
        <w:t xml:space="preserve"> </w:t>
      </w:r>
      <w:r w:rsidRPr="00D132AB">
        <w:rPr>
          <w:rFonts w:ascii="Garamond" w:hAnsi="Garamond"/>
          <w:sz w:val="16"/>
          <w:szCs w:val="16"/>
          <w:lang w:val="sq-AL"/>
        </w:rPr>
        <w:tab/>
        <w:t xml:space="preserve">FMN-ja ofron mbështetje përmes angazhimit të saj dyvjeçar me MF-në si pjesë e Konsultimeve të nenit 4. Asistenca teknike mbetet ende për t’u vendosur nga cili institucion i pavarur ndërkombëtar dhe financiar do të ofrohet. </w:t>
      </w:r>
    </w:p>
  </w:footnote>
  <w:footnote w:id="7">
    <w:p w14:paraId="4A6CFAAE" w14:textId="75F8D82B" w:rsidR="002B3F8E" w:rsidRPr="004B7863" w:rsidRDefault="002B3F8E" w:rsidP="00C135D2">
      <w:pPr>
        <w:pStyle w:val="FootnoteText"/>
        <w:spacing w:line="200" w:lineRule="exact"/>
        <w:ind w:left="284" w:hanging="284"/>
        <w:rPr>
          <w:rFonts w:ascii="Garamond" w:hAnsi="Garamond"/>
          <w:sz w:val="16"/>
          <w:szCs w:val="16"/>
          <w:lang w:val="sq-AL"/>
        </w:rPr>
      </w:pPr>
      <w:r w:rsidRPr="004B7863">
        <w:rPr>
          <w:rStyle w:val="FootnoteReference"/>
          <w:rFonts w:ascii="Garamond" w:hAnsi="Garamond"/>
          <w:sz w:val="16"/>
          <w:szCs w:val="16"/>
        </w:rPr>
        <w:footnoteRef/>
      </w:r>
      <w:r w:rsidRPr="004B7863">
        <w:rPr>
          <w:rFonts w:ascii="Garamond" w:hAnsi="Garamond"/>
          <w:sz w:val="16"/>
          <w:szCs w:val="16"/>
          <w:lang w:val="sq-AL"/>
        </w:rPr>
        <w:t xml:space="preserve"> FMN-ja ofron mbështetje përmes angazhimit të saj dyvjeçar me MF-në si pjesë e konsultimeve të nenit 4.</w:t>
      </w:r>
    </w:p>
  </w:footnote>
  <w:footnote w:id="8">
    <w:p w14:paraId="51D9B3A9" w14:textId="223E8120" w:rsidR="002B3F8E" w:rsidRPr="004B7863" w:rsidRDefault="002B3F8E" w:rsidP="0093737B">
      <w:pPr>
        <w:jc w:val="both"/>
        <w:rPr>
          <w:rFonts w:ascii="Garamond" w:hAnsi="Garamond"/>
          <w:sz w:val="16"/>
          <w:szCs w:val="16"/>
        </w:rPr>
      </w:pPr>
      <w:r w:rsidRPr="004B7863">
        <w:rPr>
          <w:rFonts w:ascii="Garamond" w:hAnsi="Garamond"/>
          <w:sz w:val="16"/>
          <w:szCs w:val="16"/>
          <w:vertAlign w:val="superscript"/>
        </w:rPr>
        <w:footnoteRef/>
      </w:r>
      <w:r w:rsidRPr="004B7863">
        <w:rPr>
          <w:rFonts w:ascii="Garamond" w:hAnsi="Garamond"/>
          <w:sz w:val="16"/>
          <w:szCs w:val="16"/>
          <w:vertAlign w:val="superscript"/>
        </w:rPr>
        <w:t xml:space="preserve"> </w:t>
      </w:r>
      <w:r w:rsidRPr="004B7863">
        <w:rPr>
          <w:rFonts w:ascii="Garamond" w:hAnsi="Garamond"/>
          <w:sz w:val="16"/>
          <w:szCs w:val="16"/>
        </w:rPr>
        <w:t>Paketa e mjeteve të menaxhimit të riskut fiskal të FMN-së (</w:t>
      </w:r>
      <w:hyperlink r:id="rId1" w:history="1">
        <w:r w:rsidRPr="004B7863">
          <w:rPr>
            <w:rStyle w:val="Hyperlink"/>
            <w:rFonts w:ascii="Garamond" w:hAnsi="Garamond"/>
            <w:sz w:val="16"/>
            <w:szCs w:val="16"/>
          </w:rPr>
          <w:t>https://www.imf.org/en/Topics/fiscal-policies/Fiscal-Risks/Fiscal-Risks-Toolkit</w:t>
        </w:r>
      </w:hyperlink>
      <w:r w:rsidRPr="004B7863">
        <w:rPr>
          <w:rFonts w:ascii="Garamond" w:hAnsi="Garamond"/>
          <w:sz w:val="16"/>
          <w:szCs w:val="16"/>
        </w:rPr>
        <w:t>) mund të përdoret si material udhëzues. Mund të parashikohet që të gjitha ndërmarrjet shtetërore t’i nënshtrohen marrëveshjeve të vlerësimit, monitorimit dhe mbikëqyrjes për të identifikuar detyrimet kontigjente dhe për të menaxhuar risqet fiskale.</w:t>
      </w:r>
    </w:p>
  </w:footnote>
  <w:footnote w:id="9">
    <w:p w14:paraId="27CE3B0E" w14:textId="3196239A" w:rsidR="002B3F8E" w:rsidRPr="004B7863" w:rsidRDefault="002B3F8E" w:rsidP="0093737B">
      <w:pPr>
        <w:jc w:val="both"/>
        <w:rPr>
          <w:rFonts w:ascii="Garamond" w:hAnsi="Garamond"/>
          <w:sz w:val="16"/>
          <w:szCs w:val="16"/>
        </w:rPr>
      </w:pPr>
      <w:r w:rsidRPr="004B7863">
        <w:rPr>
          <w:rFonts w:ascii="Garamond" w:hAnsi="Garamond"/>
          <w:sz w:val="16"/>
          <w:szCs w:val="16"/>
          <w:vertAlign w:val="superscript"/>
        </w:rPr>
        <w:footnoteRef/>
      </w:r>
      <w:r w:rsidRPr="004B7863">
        <w:rPr>
          <w:rFonts w:ascii="Garamond" w:hAnsi="Garamond"/>
          <w:sz w:val="16"/>
          <w:szCs w:val="16"/>
        </w:rPr>
        <w:t xml:space="preserve"> Për t’u vendosur.</w:t>
      </w:r>
    </w:p>
  </w:footnote>
  <w:footnote w:id="10">
    <w:p w14:paraId="2DBC47B4" w14:textId="32517A04" w:rsidR="002B3F8E" w:rsidRPr="00810C45" w:rsidRDefault="002B3F8E" w:rsidP="0093737B">
      <w:pPr>
        <w:jc w:val="both"/>
        <w:rPr>
          <w:rFonts w:ascii="Garamond" w:hAnsi="Garamond"/>
          <w:sz w:val="16"/>
          <w:szCs w:val="16"/>
        </w:rPr>
      </w:pPr>
      <w:r w:rsidRPr="00810C45">
        <w:rPr>
          <w:rFonts w:ascii="Garamond" w:hAnsi="Garamond"/>
          <w:sz w:val="16"/>
          <w:szCs w:val="16"/>
          <w:vertAlign w:val="superscript"/>
        </w:rPr>
        <w:footnoteRef/>
      </w:r>
      <w:r w:rsidRPr="00810C45">
        <w:rPr>
          <w:rFonts w:ascii="Garamond" w:hAnsi="Garamond"/>
          <w:sz w:val="16"/>
          <w:szCs w:val="16"/>
        </w:rPr>
        <w:t xml:space="preserve"> Ngritja e një Këshilli Fiskal deri në fund të vitit 2026 sugjerohet nga Udhërrëfyesi </w:t>
      </w:r>
      <w:r>
        <w:rPr>
          <w:rFonts w:ascii="Garamond" w:hAnsi="Garamond"/>
          <w:sz w:val="16"/>
          <w:szCs w:val="16"/>
        </w:rPr>
        <w:t>i</w:t>
      </w:r>
      <w:r w:rsidRPr="00810C45">
        <w:rPr>
          <w:rFonts w:ascii="Garamond" w:hAnsi="Garamond"/>
          <w:sz w:val="16"/>
          <w:szCs w:val="16"/>
        </w:rPr>
        <w:t xml:space="preserve"> Reformës në Administratën Publike 2023–2030 (vendim nr. 737, datë 13.12.2023, “Për miratimin e udhërrëfyesit për reformën në administratën publike 2023–2030”).</w:t>
      </w:r>
    </w:p>
  </w:footnote>
  <w:footnote w:id="11">
    <w:p w14:paraId="2B178009" w14:textId="718DDEAC" w:rsidR="002B3F8E" w:rsidRPr="00810C45" w:rsidRDefault="002B3F8E" w:rsidP="0093737B">
      <w:pPr>
        <w:jc w:val="both"/>
        <w:rPr>
          <w:rFonts w:ascii="Garamond" w:hAnsi="Garamond"/>
          <w:sz w:val="16"/>
          <w:szCs w:val="16"/>
        </w:rPr>
      </w:pPr>
      <w:r w:rsidRPr="00810C45">
        <w:rPr>
          <w:rFonts w:ascii="Garamond" w:hAnsi="Garamond"/>
          <w:sz w:val="16"/>
          <w:szCs w:val="16"/>
          <w:vertAlign w:val="superscript"/>
        </w:rPr>
        <w:footnoteRef/>
      </w:r>
      <w:r w:rsidRPr="00810C45">
        <w:rPr>
          <w:rFonts w:ascii="Garamond" w:hAnsi="Garamond"/>
          <w:sz w:val="16"/>
          <w:szCs w:val="16"/>
          <w:vertAlign w:val="superscript"/>
        </w:rPr>
        <w:t xml:space="preserve"> </w:t>
      </w:r>
      <w:r w:rsidRPr="00810C45">
        <w:rPr>
          <w:rFonts w:ascii="Garamond" w:hAnsi="Garamond"/>
          <w:sz w:val="16"/>
          <w:szCs w:val="16"/>
        </w:rPr>
        <w:t>Direktiva e Këshillit 2011/85/BE</w:t>
      </w:r>
      <w:r>
        <w:rPr>
          <w:rFonts w:ascii="Garamond" w:hAnsi="Garamond"/>
          <w:sz w:val="16"/>
          <w:szCs w:val="16"/>
        </w:rPr>
        <w:t>,</w:t>
      </w:r>
      <w:r w:rsidRPr="00810C45">
        <w:rPr>
          <w:rFonts w:ascii="Garamond" w:hAnsi="Garamond"/>
          <w:sz w:val="16"/>
          <w:szCs w:val="16"/>
        </w:rPr>
        <w:t xml:space="preserve"> e datës 8 </w:t>
      </w:r>
      <w:r>
        <w:rPr>
          <w:rFonts w:ascii="Garamond" w:hAnsi="Garamond"/>
          <w:sz w:val="16"/>
          <w:szCs w:val="16"/>
        </w:rPr>
        <w:t>n</w:t>
      </w:r>
      <w:r w:rsidRPr="00810C45">
        <w:rPr>
          <w:rFonts w:ascii="Garamond" w:hAnsi="Garamond"/>
          <w:sz w:val="16"/>
          <w:szCs w:val="16"/>
        </w:rPr>
        <w:t>ëntor 2011</w:t>
      </w:r>
      <w:r>
        <w:rPr>
          <w:rFonts w:ascii="Garamond" w:hAnsi="Garamond"/>
          <w:sz w:val="16"/>
          <w:szCs w:val="16"/>
        </w:rPr>
        <w:t>,</w:t>
      </w:r>
      <w:r w:rsidRPr="00810C45">
        <w:rPr>
          <w:rFonts w:ascii="Garamond" w:hAnsi="Garamond"/>
          <w:sz w:val="16"/>
          <w:szCs w:val="16"/>
        </w:rPr>
        <w:t xml:space="preserve"> mbi kërkesat për kuadrin buxhetor të shteteve anëtare.</w:t>
      </w:r>
    </w:p>
  </w:footnote>
  <w:footnote w:id="12">
    <w:p w14:paraId="3F97A339" w14:textId="206E5395" w:rsidR="002B3F8E" w:rsidRPr="00810C45" w:rsidRDefault="002B3F8E" w:rsidP="0093737B">
      <w:pPr>
        <w:jc w:val="both"/>
        <w:rPr>
          <w:sz w:val="16"/>
          <w:szCs w:val="16"/>
        </w:rPr>
      </w:pPr>
      <w:r w:rsidRPr="00810C45">
        <w:rPr>
          <w:rFonts w:ascii="Garamond" w:hAnsi="Garamond"/>
          <w:sz w:val="16"/>
          <w:szCs w:val="16"/>
          <w:vertAlign w:val="superscript"/>
        </w:rPr>
        <w:footnoteRef/>
      </w:r>
      <w:r w:rsidRPr="00810C45">
        <w:rPr>
          <w:rFonts w:ascii="Garamond" w:hAnsi="Garamond"/>
          <w:sz w:val="16"/>
          <w:szCs w:val="16"/>
        </w:rPr>
        <w:t xml:space="preserve"> Rrjeti i institucioneve të pavarura fiskale të BE-së (https://www.euifis.eu) dhe OECD-së ofrojnë material udhëzuese për institucionet e pavarura fiskale.</w:t>
      </w:r>
    </w:p>
  </w:footnote>
  <w:footnote w:id="13">
    <w:p w14:paraId="54FEDF09" w14:textId="1D32E8A3" w:rsidR="002B3F8E" w:rsidRPr="00C40602" w:rsidRDefault="002B3F8E" w:rsidP="009F4BAE">
      <w:pPr>
        <w:jc w:val="both"/>
        <w:rPr>
          <w:rFonts w:ascii="Garamond" w:hAnsi="Garamond"/>
          <w:sz w:val="16"/>
          <w:szCs w:val="16"/>
        </w:rPr>
      </w:pPr>
      <w:r w:rsidRPr="00C40602">
        <w:rPr>
          <w:rFonts w:ascii="Garamond" w:hAnsi="Garamond"/>
          <w:sz w:val="16"/>
          <w:szCs w:val="16"/>
          <w:vertAlign w:val="superscript"/>
        </w:rPr>
        <w:footnoteRef/>
      </w:r>
      <w:r w:rsidRPr="00C40602">
        <w:rPr>
          <w:rFonts w:ascii="Garamond" w:hAnsi="Garamond"/>
          <w:sz w:val="16"/>
          <w:szCs w:val="16"/>
          <w:vertAlign w:val="superscript"/>
        </w:rPr>
        <w:t xml:space="preserve"> </w:t>
      </w:r>
      <w:r w:rsidRPr="00C40602">
        <w:rPr>
          <w:rFonts w:ascii="Garamond" w:hAnsi="Garamond"/>
          <w:sz w:val="16"/>
          <w:szCs w:val="16"/>
        </w:rPr>
        <w:t>SASPAC</w:t>
      </w:r>
      <w:r>
        <w:rPr>
          <w:rFonts w:ascii="Garamond" w:hAnsi="Garamond"/>
          <w:sz w:val="16"/>
          <w:szCs w:val="16"/>
        </w:rPr>
        <w:t>-i</w:t>
      </w:r>
      <w:r w:rsidRPr="00C40602">
        <w:rPr>
          <w:rFonts w:ascii="Garamond" w:hAnsi="Garamond"/>
          <w:sz w:val="16"/>
          <w:szCs w:val="16"/>
        </w:rPr>
        <w:t xml:space="preserve"> është aktualisht në proces prokurimi për të përmirësuar SIPI-n. Lidhet ndërmjet SIPI-</w:t>
      </w:r>
      <w:r>
        <w:rPr>
          <w:rFonts w:ascii="Garamond" w:hAnsi="Garamond"/>
          <w:sz w:val="16"/>
          <w:szCs w:val="16"/>
        </w:rPr>
        <w:t>t</w:t>
      </w:r>
      <w:r w:rsidRPr="00C40602">
        <w:rPr>
          <w:rFonts w:ascii="Garamond" w:hAnsi="Garamond"/>
          <w:sz w:val="16"/>
          <w:szCs w:val="16"/>
        </w:rPr>
        <w:t xml:space="preserve"> dhe veçanërisht SIMFSH-së për qëllim të formulimit të PBA-së, menaxhimit të investimeve publike dhe raportimit të performancës buxhetore.</w:t>
      </w:r>
    </w:p>
  </w:footnote>
  <w:footnote w:id="14">
    <w:p w14:paraId="50BF4159" w14:textId="6BA8F7AD" w:rsidR="002B3F8E" w:rsidRPr="00FE77B0" w:rsidRDefault="002B3F8E" w:rsidP="00DE4932">
      <w:pPr>
        <w:jc w:val="both"/>
        <w:rPr>
          <w:rFonts w:ascii="Garamond" w:hAnsi="Garamond"/>
          <w:sz w:val="16"/>
          <w:szCs w:val="16"/>
        </w:rPr>
      </w:pPr>
      <w:r w:rsidRPr="00FE77B0">
        <w:rPr>
          <w:rFonts w:ascii="Garamond" w:hAnsi="Garamond"/>
          <w:sz w:val="16"/>
          <w:szCs w:val="16"/>
          <w:vertAlign w:val="superscript"/>
        </w:rPr>
        <w:footnoteRef/>
      </w:r>
      <w:r w:rsidRPr="00FE77B0">
        <w:rPr>
          <w:rFonts w:ascii="Garamond" w:hAnsi="Garamond"/>
          <w:sz w:val="16"/>
          <w:szCs w:val="16"/>
        </w:rPr>
        <w:t xml:space="preserve"> Raporti SIGMA 2021 </w:t>
      </w:r>
      <w:hyperlink r:id="rId2" w:history="1">
        <w:r w:rsidRPr="00FE77B0">
          <w:rPr>
            <w:rStyle w:val="Hyperlink"/>
            <w:rFonts w:ascii="Garamond" w:hAnsi="Garamond"/>
            <w:color w:val="000000" w:themeColor="text1"/>
            <w:sz w:val="16"/>
            <w:szCs w:val="16"/>
          </w:rPr>
          <w:t>https://www.google.com/url?sa=t&amp;rct=j&amp;q=&amp;esrc=s&amp;source=web&amp;cd=&amp;cad=rja&amp;uact=8&amp;ved=2ahUKEwi_rIK-2IeEAxWoSvEDHT5lBE0QFnoECBcQAQ&amp;url=https%3A%2F%2Fwww.sigmaweb.org%2Fpublications%2FMonitoring-Report-2021-Albania.pdf&amp;usg=AOvVaw1NKg5o_4wPmxO4i1vLlUb0&amp;opi=89978449</w:t>
        </w:r>
      </w:hyperlink>
      <w:r w:rsidRPr="00FE77B0">
        <w:rPr>
          <w:rFonts w:ascii="Garamond" w:hAnsi="Garamond"/>
          <w:color w:val="000000" w:themeColor="text1"/>
          <w:sz w:val="16"/>
          <w:szCs w:val="16"/>
        </w:rPr>
        <w:t xml:space="preserve"> </w:t>
      </w:r>
    </w:p>
  </w:footnote>
  <w:footnote w:id="15">
    <w:p w14:paraId="543ACE72" w14:textId="0EB47980" w:rsidR="002B3F8E" w:rsidRPr="00E31153" w:rsidRDefault="002B3F8E" w:rsidP="00CB3E62">
      <w:pPr>
        <w:rPr>
          <w:rFonts w:ascii="Garamond" w:hAnsi="Garamond"/>
          <w:sz w:val="16"/>
          <w:szCs w:val="16"/>
        </w:rPr>
      </w:pPr>
      <w:r w:rsidRPr="008D04FF">
        <w:rPr>
          <w:rFonts w:ascii="Garamond" w:hAnsi="Garamond"/>
          <w:sz w:val="16"/>
          <w:szCs w:val="16"/>
          <w:vertAlign w:val="superscript"/>
        </w:rPr>
        <w:footnoteRef/>
      </w:r>
      <w:r w:rsidRPr="00E31153">
        <w:rPr>
          <w:rFonts w:ascii="Garamond" w:hAnsi="Garamond"/>
          <w:sz w:val="16"/>
          <w:szCs w:val="16"/>
        </w:rPr>
        <w:t xml:space="preserve"> Përfshirë lidhjen ndërmjet institucioneve buxhetore të nivelit të parë dhe të dytë, përgjegjësinë e menaxhimit ekzekutiv të institucioneve buxhetore dhe mandatin e menaxherëve të programeve buxhetore.</w:t>
      </w:r>
      <w:r>
        <w:rPr>
          <w:rFonts w:ascii="Garamond" w:hAnsi="Garamond"/>
          <w:sz w:val="16"/>
          <w:szCs w:val="16"/>
        </w:rPr>
        <w:t xml:space="preserve"> </w:t>
      </w:r>
    </w:p>
  </w:footnote>
  <w:footnote w:id="16">
    <w:p w14:paraId="6F0EC075" w14:textId="14AF3C2A" w:rsidR="002B3F8E" w:rsidRPr="00E31153" w:rsidRDefault="002B3F8E" w:rsidP="00CB3E62">
      <w:pPr>
        <w:rPr>
          <w:rFonts w:ascii="Garamond" w:hAnsi="Garamond"/>
          <w:sz w:val="16"/>
          <w:szCs w:val="16"/>
        </w:rPr>
      </w:pPr>
      <w:r w:rsidRPr="008D04FF">
        <w:rPr>
          <w:rFonts w:ascii="Garamond" w:hAnsi="Garamond"/>
          <w:sz w:val="16"/>
          <w:szCs w:val="16"/>
          <w:vertAlign w:val="superscript"/>
        </w:rPr>
        <w:footnoteRef/>
      </w:r>
      <w:r w:rsidRPr="00E31153">
        <w:rPr>
          <w:rFonts w:ascii="Garamond" w:hAnsi="Garamond"/>
          <w:sz w:val="16"/>
          <w:szCs w:val="16"/>
        </w:rPr>
        <w:t xml:space="preserve"> P.sh. sistemi i nënshkrimeve elektronike</w:t>
      </w:r>
    </w:p>
  </w:footnote>
  <w:footnote w:id="17">
    <w:p w14:paraId="23FA2890" w14:textId="21A3C14B" w:rsidR="002B3F8E" w:rsidRPr="00E31153" w:rsidRDefault="002B3F8E" w:rsidP="00CB3E62">
      <w:pPr>
        <w:rPr>
          <w:rFonts w:ascii="Garamond" w:hAnsi="Garamond"/>
          <w:sz w:val="16"/>
          <w:szCs w:val="16"/>
        </w:rPr>
      </w:pPr>
      <w:r w:rsidRPr="008D04FF">
        <w:rPr>
          <w:rFonts w:ascii="Garamond" w:hAnsi="Garamond"/>
          <w:sz w:val="16"/>
          <w:szCs w:val="16"/>
          <w:vertAlign w:val="superscript"/>
        </w:rPr>
        <w:footnoteRef/>
      </w:r>
      <w:r w:rsidRPr="00E31153">
        <w:rPr>
          <w:rFonts w:ascii="Garamond" w:hAnsi="Garamond"/>
          <w:sz w:val="16"/>
          <w:szCs w:val="16"/>
        </w:rPr>
        <w:t xml:space="preserve"> Për t’u dakordësuar</w:t>
      </w:r>
    </w:p>
  </w:footnote>
  <w:footnote w:id="18">
    <w:p w14:paraId="4EF2F10E" w14:textId="7771335B" w:rsidR="002B3F8E" w:rsidRPr="00E31153" w:rsidRDefault="002B3F8E" w:rsidP="00CB3E62">
      <w:pPr>
        <w:rPr>
          <w:rFonts w:ascii="Garamond" w:hAnsi="Garamond"/>
          <w:sz w:val="16"/>
          <w:szCs w:val="16"/>
        </w:rPr>
      </w:pPr>
      <w:r w:rsidRPr="008D04FF">
        <w:rPr>
          <w:rFonts w:ascii="Garamond" w:hAnsi="Garamond"/>
          <w:sz w:val="16"/>
          <w:szCs w:val="16"/>
          <w:vertAlign w:val="superscript"/>
        </w:rPr>
        <w:footnoteRef/>
      </w:r>
      <w:r w:rsidRPr="008D04FF">
        <w:rPr>
          <w:rFonts w:ascii="Garamond" w:hAnsi="Garamond"/>
          <w:sz w:val="16"/>
          <w:szCs w:val="16"/>
          <w:vertAlign w:val="superscript"/>
        </w:rPr>
        <w:t xml:space="preserve"> </w:t>
      </w:r>
      <w:r w:rsidRPr="00E31153">
        <w:rPr>
          <w:rFonts w:ascii="Garamond" w:hAnsi="Garamond"/>
          <w:sz w:val="16"/>
          <w:szCs w:val="16"/>
        </w:rPr>
        <w:t>Për t’u dakordësuar</w:t>
      </w:r>
      <w:r>
        <w:rPr>
          <w:rFonts w:ascii="Garamond" w:hAnsi="Garamond"/>
          <w:sz w:val="16"/>
          <w:szCs w:val="16"/>
        </w:rPr>
        <w:t>.</w:t>
      </w:r>
    </w:p>
  </w:footnote>
  <w:footnote w:id="19">
    <w:p w14:paraId="591690A2" w14:textId="4CCC3127" w:rsidR="002B3F8E" w:rsidRPr="00E31153" w:rsidRDefault="002B3F8E" w:rsidP="00CB3E62">
      <w:pPr>
        <w:rPr>
          <w:sz w:val="16"/>
          <w:szCs w:val="16"/>
        </w:rPr>
      </w:pPr>
      <w:r w:rsidRPr="008D04FF">
        <w:rPr>
          <w:rFonts w:ascii="Garamond" w:hAnsi="Garamond"/>
          <w:sz w:val="16"/>
          <w:szCs w:val="16"/>
          <w:vertAlign w:val="superscript"/>
        </w:rPr>
        <w:footnoteRef/>
      </w:r>
      <w:r w:rsidRPr="008D04FF">
        <w:rPr>
          <w:rFonts w:ascii="Garamond" w:hAnsi="Garamond"/>
          <w:sz w:val="16"/>
          <w:szCs w:val="16"/>
          <w:vertAlign w:val="superscript"/>
        </w:rPr>
        <w:t xml:space="preserve"> </w:t>
      </w:r>
      <w:r w:rsidRPr="00E31153">
        <w:rPr>
          <w:rFonts w:ascii="Garamond" w:hAnsi="Garamond"/>
          <w:sz w:val="16"/>
          <w:szCs w:val="16"/>
        </w:rPr>
        <w:t>Për t’u dakordësuar</w:t>
      </w:r>
      <w:r>
        <w:rPr>
          <w:rFonts w:ascii="Garamond" w:hAnsi="Garamond"/>
          <w:sz w:val="16"/>
          <w:szCs w:val="16"/>
        </w:rPr>
        <w:t>.</w:t>
      </w:r>
    </w:p>
  </w:footnote>
  <w:footnote w:id="20">
    <w:p w14:paraId="51B77BEE" w14:textId="3CEB89C3" w:rsidR="002B3F8E" w:rsidRPr="00D65061" w:rsidRDefault="002B3F8E" w:rsidP="00980BB0">
      <w:pPr>
        <w:pStyle w:val="TEKSTIII"/>
        <w:ind w:firstLine="0"/>
        <w:rPr>
          <w:sz w:val="16"/>
          <w:szCs w:val="16"/>
        </w:rPr>
      </w:pPr>
      <w:r w:rsidRPr="00D65061">
        <w:rPr>
          <w:rStyle w:val="FootnoteReference"/>
          <w:rFonts w:ascii="Garamond" w:hAnsi="Garamond"/>
          <w:sz w:val="16"/>
          <w:szCs w:val="16"/>
        </w:rPr>
        <w:footnoteRef/>
      </w:r>
      <w:r w:rsidRPr="00D65061">
        <w:rPr>
          <w:sz w:val="16"/>
          <w:szCs w:val="16"/>
        </w:rPr>
        <w:t xml:space="preserve"> MF-ja është përgjegjëse për vlerësimin dhe përzgjedhjen e projekteve për investime publike, formulimin e segmentit kapital të buxhetit dhe monitorimin dhe raportimin për zbatimin e projekteve kapitale; SASPAC</w:t>
      </w:r>
      <w:r>
        <w:rPr>
          <w:sz w:val="16"/>
          <w:szCs w:val="16"/>
        </w:rPr>
        <w:t>-u</w:t>
      </w:r>
      <w:r w:rsidRPr="00D65061">
        <w:rPr>
          <w:sz w:val="16"/>
          <w:szCs w:val="16"/>
        </w:rPr>
        <w:t xml:space="preserve"> ka mandat të zhvillojë strategji kombëtare dhe listën unike të projekteve me rëndësi kombëtare, ndërsa institucionet buxhetore përgatisin projektpropozime kapitale dhe zbatojnë projekte.</w:t>
      </w:r>
    </w:p>
  </w:footnote>
  <w:footnote w:id="21">
    <w:p w14:paraId="071A3494" w14:textId="0BB5C526" w:rsidR="002B3F8E" w:rsidRPr="00D65061" w:rsidRDefault="002B3F8E" w:rsidP="00980BB0">
      <w:pPr>
        <w:pStyle w:val="TEKSTIII"/>
        <w:ind w:firstLine="0"/>
        <w:rPr>
          <w:sz w:val="16"/>
          <w:szCs w:val="16"/>
        </w:rPr>
      </w:pPr>
      <w:r w:rsidRPr="00D65061">
        <w:rPr>
          <w:rStyle w:val="FootnoteReference"/>
          <w:rFonts w:ascii="Garamond" w:hAnsi="Garamond"/>
          <w:sz w:val="16"/>
          <w:szCs w:val="16"/>
        </w:rPr>
        <w:footnoteRef/>
      </w:r>
      <w:r w:rsidRPr="00D65061">
        <w:rPr>
          <w:sz w:val="16"/>
          <w:szCs w:val="16"/>
        </w:rPr>
        <w:t xml:space="preserve"> Miratuar me VKM-në nr. 447, datë 26.7.2023</w:t>
      </w:r>
      <w:r>
        <w:rPr>
          <w:sz w:val="16"/>
          <w:szCs w:val="16"/>
        </w:rPr>
        <w:t>,</w:t>
      </w:r>
      <w:r w:rsidRPr="00D65061">
        <w:rPr>
          <w:sz w:val="16"/>
          <w:szCs w:val="16"/>
        </w:rPr>
        <w:t xml:space="preserve"> </w:t>
      </w:r>
      <w:r>
        <w:rPr>
          <w:sz w:val="16"/>
          <w:szCs w:val="16"/>
        </w:rPr>
        <w:t>“</w:t>
      </w:r>
      <w:r w:rsidRPr="00D65061">
        <w:rPr>
          <w:sz w:val="16"/>
          <w:szCs w:val="16"/>
        </w:rPr>
        <w:t xml:space="preserve">Për </w:t>
      </w:r>
      <w:r>
        <w:rPr>
          <w:sz w:val="16"/>
          <w:szCs w:val="16"/>
        </w:rPr>
        <w:t>d</w:t>
      </w:r>
      <w:r w:rsidRPr="00D65061">
        <w:rPr>
          <w:sz w:val="16"/>
          <w:szCs w:val="16"/>
        </w:rPr>
        <w:t>okumentin e politikave prioritare 2024–2026”.</w:t>
      </w:r>
    </w:p>
  </w:footnote>
  <w:footnote w:id="22">
    <w:p w14:paraId="135FC073" w14:textId="2A4AC3CE" w:rsidR="002B3F8E" w:rsidRPr="00D65061" w:rsidRDefault="002B3F8E" w:rsidP="00980BB0">
      <w:pPr>
        <w:pStyle w:val="TEKSTIII"/>
        <w:ind w:firstLine="0"/>
        <w:rPr>
          <w:sz w:val="16"/>
          <w:szCs w:val="16"/>
        </w:rPr>
      </w:pPr>
      <w:r w:rsidRPr="00D65061">
        <w:rPr>
          <w:sz w:val="16"/>
          <w:szCs w:val="16"/>
          <w:vertAlign w:val="superscript"/>
        </w:rPr>
        <w:footnoteRef/>
      </w:r>
      <w:r w:rsidRPr="00D65061">
        <w:rPr>
          <w:sz w:val="16"/>
          <w:szCs w:val="16"/>
        </w:rPr>
        <w:t xml:space="preserve"> Të paktën 20% në vitin e parë, 30% në vitin e dytë dhe 30% në vitin e tretë.</w:t>
      </w:r>
    </w:p>
  </w:footnote>
  <w:footnote w:id="23">
    <w:p w14:paraId="5B66B579" w14:textId="5B07F005" w:rsidR="002B3F8E" w:rsidRPr="00017794" w:rsidRDefault="002B3F8E" w:rsidP="00980BB0">
      <w:pPr>
        <w:pStyle w:val="TEKSTIII"/>
        <w:ind w:firstLine="0"/>
        <w:rPr>
          <w:sz w:val="16"/>
          <w:szCs w:val="16"/>
        </w:rPr>
      </w:pPr>
      <w:r w:rsidRPr="00017794">
        <w:rPr>
          <w:rStyle w:val="FootnoteReference"/>
          <w:rFonts w:ascii="Garamond" w:hAnsi="Garamond"/>
          <w:sz w:val="16"/>
          <w:szCs w:val="16"/>
        </w:rPr>
        <w:footnoteRef/>
      </w:r>
      <w:r w:rsidRPr="00017794">
        <w:rPr>
          <w:sz w:val="16"/>
          <w:szCs w:val="16"/>
        </w:rPr>
        <w:t xml:space="preserve"> VKM-ja nr. 887, datë 27.12.2022, “Për procedurat e menaxhimit të investimeve publike“; udhëzimi nr. 4, datë 20.2.2023, “Për përcaktimin e kufirit financiar të vlerës së plotë të projektit</w:t>
      </w:r>
      <w:r>
        <w:rPr>
          <w:sz w:val="16"/>
          <w:szCs w:val="16"/>
        </w:rPr>
        <w:t>,</w:t>
      </w:r>
      <w:r w:rsidRPr="00017794">
        <w:rPr>
          <w:sz w:val="16"/>
          <w:szCs w:val="16"/>
        </w:rPr>
        <w:t xml:space="preserve"> në përputhje me specifikat e sektorit, mbi bazën e të cilit përcaktohet mënyra dhe procedura e vlerësimit të projektit të investimit publik”; </w:t>
      </w:r>
      <w:r>
        <w:rPr>
          <w:sz w:val="16"/>
          <w:szCs w:val="16"/>
        </w:rPr>
        <w:t>u</w:t>
      </w:r>
      <w:r w:rsidRPr="00017794">
        <w:rPr>
          <w:sz w:val="16"/>
          <w:szCs w:val="16"/>
        </w:rPr>
        <w:t xml:space="preserve">dhëzimi nr. 20 datë 22.6.2023, </w:t>
      </w:r>
      <w:r>
        <w:rPr>
          <w:sz w:val="16"/>
          <w:szCs w:val="16"/>
        </w:rPr>
        <w:t>“</w:t>
      </w:r>
      <w:r w:rsidRPr="00017794">
        <w:rPr>
          <w:sz w:val="16"/>
          <w:szCs w:val="16"/>
        </w:rPr>
        <w:t xml:space="preserve">Për një shtesë në udhëzimin nr. 4 datë 20.2.2023, </w:t>
      </w:r>
      <w:r>
        <w:rPr>
          <w:sz w:val="16"/>
          <w:szCs w:val="16"/>
        </w:rPr>
        <w:t>‘</w:t>
      </w:r>
      <w:r w:rsidRPr="00017794">
        <w:rPr>
          <w:sz w:val="16"/>
          <w:szCs w:val="16"/>
        </w:rPr>
        <w:t>Për përcaktimin e kufirit financiar të vlerës së plotë të projektit</w:t>
      </w:r>
      <w:r>
        <w:rPr>
          <w:sz w:val="16"/>
          <w:szCs w:val="16"/>
        </w:rPr>
        <w:t>,</w:t>
      </w:r>
      <w:r w:rsidRPr="00017794">
        <w:rPr>
          <w:sz w:val="16"/>
          <w:szCs w:val="16"/>
        </w:rPr>
        <w:t xml:space="preserve"> në përputhje me specifikat e sektorit, mbi bazën e të cilit përcaktohet mënyra dhe procedura e vlerësimit të projektit të investimit publik</w:t>
      </w:r>
      <w:r>
        <w:rPr>
          <w:sz w:val="16"/>
          <w:szCs w:val="16"/>
        </w:rPr>
        <w:t>’</w:t>
      </w:r>
      <w:r w:rsidRPr="00017794">
        <w:rPr>
          <w:sz w:val="16"/>
          <w:szCs w:val="16"/>
        </w:rPr>
        <w:t>”. Urdhri nr. 41, datë 25.1.2023, “Për miratimin e përmbajtjes, mënyrës së plotësimit dhe dërgimit të formularit të vlerësimit të relevancës strategjike (FVRS)”.</w:t>
      </w:r>
    </w:p>
  </w:footnote>
  <w:footnote w:id="24">
    <w:p w14:paraId="0E4CB78E" w14:textId="411847C9" w:rsidR="002B3F8E" w:rsidRPr="00017794" w:rsidRDefault="002B3F8E" w:rsidP="00521846">
      <w:pPr>
        <w:rPr>
          <w:rFonts w:ascii="Garamond" w:hAnsi="Garamond"/>
          <w:sz w:val="16"/>
          <w:szCs w:val="16"/>
        </w:rPr>
      </w:pPr>
      <w:r w:rsidRPr="00017794">
        <w:rPr>
          <w:rFonts w:ascii="Garamond" w:hAnsi="Garamond"/>
          <w:sz w:val="16"/>
          <w:szCs w:val="16"/>
          <w:vertAlign w:val="superscript"/>
        </w:rPr>
        <w:footnoteRef/>
      </w:r>
      <w:r w:rsidRPr="00017794">
        <w:rPr>
          <w:rFonts w:ascii="Garamond" w:hAnsi="Garamond"/>
          <w:sz w:val="16"/>
          <w:szCs w:val="16"/>
        </w:rPr>
        <w:t xml:space="preserve"> Për t’u dakordësuar</w:t>
      </w:r>
    </w:p>
  </w:footnote>
  <w:footnote w:id="25">
    <w:p w14:paraId="302A78D6" w14:textId="5C709C74" w:rsidR="002B3F8E" w:rsidRPr="00017794" w:rsidRDefault="002B3F8E" w:rsidP="00521846">
      <w:pPr>
        <w:rPr>
          <w:sz w:val="16"/>
          <w:szCs w:val="16"/>
        </w:rPr>
      </w:pPr>
      <w:r w:rsidRPr="00017794">
        <w:rPr>
          <w:rFonts w:ascii="Garamond" w:hAnsi="Garamond"/>
          <w:sz w:val="16"/>
          <w:szCs w:val="16"/>
          <w:vertAlign w:val="superscript"/>
        </w:rPr>
        <w:footnoteRef/>
      </w:r>
      <w:r w:rsidRPr="00017794">
        <w:rPr>
          <w:rFonts w:ascii="Garamond" w:hAnsi="Garamond"/>
          <w:sz w:val="16"/>
          <w:szCs w:val="16"/>
          <w:vertAlign w:val="superscript"/>
        </w:rPr>
        <w:t xml:space="preserve"> </w:t>
      </w:r>
      <w:r w:rsidRPr="00017794">
        <w:rPr>
          <w:rFonts w:ascii="Garamond" w:hAnsi="Garamond"/>
          <w:sz w:val="16"/>
          <w:szCs w:val="16"/>
        </w:rPr>
        <w:t>Për t’u dakordësuar</w:t>
      </w:r>
    </w:p>
  </w:footnote>
  <w:footnote w:id="26">
    <w:p w14:paraId="686A70B2" w14:textId="6843F280" w:rsidR="002B3F8E" w:rsidRPr="00D65061" w:rsidRDefault="002B3F8E" w:rsidP="00BF64AB">
      <w:pPr>
        <w:rPr>
          <w:rFonts w:ascii="Garamond" w:hAnsi="Garamond"/>
          <w:sz w:val="16"/>
          <w:szCs w:val="16"/>
        </w:rPr>
      </w:pPr>
      <w:r w:rsidRPr="00EA3EB8">
        <w:rPr>
          <w:rFonts w:ascii="Garamond" w:hAnsi="Garamond"/>
          <w:sz w:val="16"/>
          <w:szCs w:val="16"/>
          <w:vertAlign w:val="superscript"/>
        </w:rPr>
        <w:footnoteRef/>
      </w:r>
      <w:r>
        <w:rPr>
          <w:rFonts w:ascii="Garamond" w:hAnsi="Garamond"/>
          <w:sz w:val="16"/>
          <w:szCs w:val="16"/>
        </w:rPr>
        <w:t xml:space="preserve"> </w:t>
      </w:r>
      <w:r w:rsidRPr="00D65061">
        <w:rPr>
          <w:rFonts w:ascii="Garamond" w:hAnsi="Garamond"/>
          <w:sz w:val="16"/>
          <w:szCs w:val="16"/>
        </w:rPr>
        <w:t>Raporti vjetor mbi financat e qeverisjes vendore 2022 (MF)</w:t>
      </w:r>
      <w:r>
        <w:rPr>
          <w:rFonts w:ascii="Garamond" w:hAnsi="Garamond"/>
          <w:sz w:val="16"/>
          <w:szCs w:val="16"/>
        </w:rPr>
        <w:t>.</w:t>
      </w:r>
    </w:p>
  </w:footnote>
  <w:footnote w:id="27">
    <w:p w14:paraId="56725D64" w14:textId="11BB08E5" w:rsidR="002B3F8E" w:rsidRPr="00D65061" w:rsidRDefault="002B3F8E" w:rsidP="00BF64AB">
      <w:pPr>
        <w:rPr>
          <w:sz w:val="16"/>
          <w:szCs w:val="16"/>
        </w:rPr>
      </w:pPr>
      <w:r w:rsidRPr="00EA3EB8">
        <w:rPr>
          <w:rFonts w:ascii="Garamond" w:hAnsi="Garamond"/>
          <w:sz w:val="16"/>
          <w:szCs w:val="16"/>
          <w:vertAlign w:val="superscript"/>
        </w:rPr>
        <w:footnoteRef/>
      </w:r>
      <w:r w:rsidRPr="00D65061">
        <w:rPr>
          <w:rFonts w:ascii="Garamond" w:hAnsi="Garamond"/>
          <w:sz w:val="16"/>
          <w:szCs w:val="16"/>
        </w:rPr>
        <w:t xml:space="preserve"> Raporti vjetor mbi financat e qeverisjes vendore 2022</w:t>
      </w:r>
      <w:r>
        <w:rPr>
          <w:rFonts w:ascii="Garamond" w:hAnsi="Garamond"/>
          <w:sz w:val="16"/>
          <w:szCs w:val="16"/>
        </w:rPr>
        <w:t xml:space="preserve"> </w:t>
      </w:r>
      <w:r w:rsidRPr="00D65061">
        <w:rPr>
          <w:rFonts w:ascii="Garamond" w:hAnsi="Garamond"/>
          <w:sz w:val="16"/>
          <w:szCs w:val="16"/>
        </w:rPr>
        <w:t>(MF)</w:t>
      </w:r>
      <w:r>
        <w:rPr>
          <w:rFonts w:ascii="Garamond" w:hAnsi="Garamond"/>
          <w:sz w:val="16"/>
          <w:szCs w:val="16"/>
        </w:rPr>
        <w:t>.</w:t>
      </w:r>
    </w:p>
  </w:footnote>
  <w:footnote w:id="28">
    <w:p w14:paraId="7C75A169" w14:textId="4CA9A8C3" w:rsidR="002B3F8E" w:rsidRPr="00D65061" w:rsidRDefault="002B3F8E" w:rsidP="00BF64AB">
      <w:pPr>
        <w:jc w:val="both"/>
        <w:rPr>
          <w:rFonts w:ascii="Garamond" w:hAnsi="Garamond"/>
          <w:sz w:val="16"/>
          <w:szCs w:val="16"/>
        </w:rPr>
      </w:pPr>
      <w:r w:rsidRPr="006E125A">
        <w:rPr>
          <w:rFonts w:ascii="Garamond" w:hAnsi="Garamond"/>
          <w:sz w:val="16"/>
          <w:szCs w:val="16"/>
          <w:vertAlign w:val="superscript"/>
        </w:rPr>
        <w:footnoteRef/>
      </w:r>
      <w:r w:rsidRPr="00D65061">
        <w:rPr>
          <w:rFonts w:ascii="Garamond" w:hAnsi="Garamond"/>
          <w:sz w:val="16"/>
          <w:szCs w:val="16"/>
        </w:rPr>
        <w:t xml:space="preserve"> Ligji nr. 68/ 2017</w:t>
      </w:r>
      <w:r>
        <w:rPr>
          <w:rFonts w:ascii="Garamond" w:hAnsi="Garamond"/>
          <w:sz w:val="16"/>
          <w:szCs w:val="16"/>
        </w:rPr>
        <w:t>,</w:t>
      </w:r>
      <w:r w:rsidRPr="00D65061">
        <w:rPr>
          <w:rFonts w:ascii="Garamond" w:hAnsi="Garamond"/>
          <w:sz w:val="16"/>
          <w:szCs w:val="16"/>
        </w:rPr>
        <w:t xml:space="preserve"> “Mbi financat e vetëqeverisjes vendore”</w:t>
      </w:r>
      <w:r>
        <w:rPr>
          <w:rFonts w:ascii="Garamond" w:hAnsi="Garamond"/>
          <w:sz w:val="16"/>
          <w:szCs w:val="16"/>
        </w:rPr>
        <w:t>.</w:t>
      </w:r>
    </w:p>
  </w:footnote>
  <w:footnote w:id="29">
    <w:p w14:paraId="47BE426A" w14:textId="0D731783" w:rsidR="002B3F8E" w:rsidRPr="00D65061" w:rsidRDefault="002B3F8E" w:rsidP="00C432B8">
      <w:pPr>
        <w:jc w:val="both"/>
        <w:rPr>
          <w:rFonts w:ascii="Garamond" w:hAnsi="Garamond"/>
          <w:sz w:val="16"/>
          <w:szCs w:val="16"/>
        </w:rPr>
      </w:pPr>
      <w:r w:rsidRPr="006E125A">
        <w:rPr>
          <w:rFonts w:ascii="Garamond" w:hAnsi="Garamond"/>
          <w:sz w:val="16"/>
          <w:szCs w:val="16"/>
          <w:vertAlign w:val="superscript"/>
        </w:rPr>
        <w:footnoteRef/>
      </w:r>
      <w:r w:rsidRPr="00D65061">
        <w:rPr>
          <w:rFonts w:ascii="Garamond" w:hAnsi="Garamond"/>
          <w:sz w:val="16"/>
          <w:szCs w:val="16"/>
        </w:rPr>
        <w:t xml:space="preserve"> Bashkitë janë të ndara në 4 k</w:t>
      </w:r>
      <w:r>
        <w:rPr>
          <w:rFonts w:ascii="Garamond" w:hAnsi="Garamond"/>
          <w:sz w:val="16"/>
          <w:szCs w:val="16"/>
        </w:rPr>
        <w:t>a</w:t>
      </w:r>
      <w:r w:rsidRPr="00D65061">
        <w:rPr>
          <w:rFonts w:ascii="Garamond" w:hAnsi="Garamond"/>
          <w:sz w:val="16"/>
          <w:szCs w:val="16"/>
        </w:rPr>
        <w:t>tegori në bazë të nivelit total të detyrimeve të prapambetura dhe borxhit të tyre si përqindje e buxhetit total vjetor: &gt; 15% (kategoria 1); &gt; 25% (kategoria 2</w:t>
      </w:r>
      <w:r>
        <w:rPr>
          <w:rFonts w:ascii="Garamond" w:hAnsi="Garamond"/>
          <w:sz w:val="16"/>
          <w:szCs w:val="16"/>
        </w:rPr>
        <w:t>);</w:t>
      </w:r>
      <w:r w:rsidRPr="00D65061">
        <w:rPr>
          <w:rFonts w:ascii="Garamond" w:hAnsi="Garamond"/>
          <w:sz w:val="16"/>
          <w:szCs w:val="16"/>
        </w:rPr>
        <w:t xml:space="preserve"> &gt; 80% (kategoria 3) or &gt; 130% (kategoria 4).</w:t>
      </w:r>
    </w:p>
  </w:footnote>
  <w:footnote w:id="30">
    <w:p w14:paraId="6906AD5A" w14:textId="5C7DFED0" w:rsidR="002B3F8E" w:rsidRPr="00992F84" w:rsidRDefault="002B3F8E" w:rsidP="00C432B8">
      <w:pPr>
        <w:jc w:val="both"/>
        <w:rPr>
          <w:rFonts w:ascii="Garamond" w:hAnsi="Garamond"/>
          <w:sz w:val="16"/>
          <w:szCs w:val="16"/>
        </w:rPr>
      </w:pPr>
      <w:r w:rsidRPr="006E125A">
        <w:rPr>
          <w:rFonts w:ascii="Garamond" w:hAnsi="Garamond"/>
          <w:sz w:val="16"/>
          <w:szCs w:val="16"/>
          <w:vertAlign w:val="superscript"/>
        </w:rPr>
        <w:footnoteRef/>
      </w:r>
      <w:r w:rsidRPr="00992F84">
        <w:rPr>
          <w:rFonts w:ascii="Garamond" w:hAnsi="Garamond"/>
          <w:sz w:val="16"/>
          <w:szCs w:val="16"/>
        </w:rPr>
        <w:t xml:space="preserve"> Projekti </w:t>
      </w:r>
      <w:r>
        <w:rPr>
          <w:rFonts w:ascii="Garamond" w:hAnsi="Garamond"/>
          <w:sz w:val="16"/>
          <w:szCs w:val="16"/>
        </w:rPr>
        <w:t>“</w:t>
      </w:r>
      <w:r w:rsidRPr="00992F84">
        <w:rPr>
          <w:rFonts w:ascii="Garamond" w:hAnsi="Garamond"/>
          <w:sz w:val="16"/>
          <w:szCs w:val="16"/>
        </w:rPr>
        <w:t xml:space="preserve">Bashki të </w:t>
      </w:r>
      <w:r>
        <w:rPr>
          <w:rFonts w:ascii="Garamond" w:hAnsi="Garamond"/>
          <w:sz w:val="16"/>
          <w:szCs w:val="16"/>
        </w:rPr>
        <w:t>f</w:t>
      </w:r>
      <w:r w:rsidRPr="00992F84">
        <w:rPr>
          <w:rFonts w:ascii="Garamond" w:hAnsi="Garamond"/>
          <w:sz w:val="16"/>
          <w:szCs w:val="16"/>
        </w:rPr>
        <w:t>orta</w:t>
      </w:r>
      <w:r>
        <w:rPr>
          <w:rFonts w:ascii="Garamond" w:hAnsi="Garamond"/>
          <w:sz w:val="16"/>
          <w:szCs w:val="16"/>
        </w:rPr>
        <w:t>”</w:t>
      </w:r>
      <w:r w:rsidRPr="00992F84">
        <w:rPr>
          <w:rFonts w:ascii="Garamond" w:hAnsi="Garamond"/>
          <w:sz w:val="16"/>
          <w:szCs w:val="16"/>
        </w:rPr>
        <w:t xml:space="preserve">, i financuar nga Helvetas, mbështet bashkitë dhe qeverinë qendrore me krijimin e një sistemi të menaxhimit të performancës dhe granteve të bazuara në performancë, si dhe një akademi për trajnimin e zyrtarëve bashkiakë. Projekti i </w:t>
      </w:r>
      <w:r w:rsidRPr="006E125A">
        <w:rPr>
          <w:rFonts w:ascii="Garamond" w:hAnsi="Garamond"/>
          <w:sz w:val="16"/>
          <w:szCs w:val="16"/>
        </w:rPr>
        <w:t>financave l</w:t>
      </w:r>
      <w:r w:rsidRPr="00992F84">
        <w:rPr>
          <w:rFonts w:ascii="Garamond" w:hAnsi="Garamond"/>
          <w:sz w:val="16"/>
          <w:szCs w:val="16"/>
        </w:rPr>
        <w:t>okale i financuar nga SECO ndihmon MF-në dhe bashkitë me planifikimin e buxhetit në nivel vendor.</w:t>
      </w:r>
    </w:p>
  </w:footnote>
  <w:footnote w:id="31">
    <w:p w14:paraId="40355586" w14:textId="07BE7906" w:rsidR="002B3F8E" w:rsidRPr="00992F84" w:rsidRDefault="002B3F8E" w:rsidP="00C432B8">
      <w:pPr>
        <w:jc w:val="both"/>
        <w:rPr>
          <w:sz w:val="16"/>
          <w:szCs w:val="16"/>
        </w:rPr>
      </w:pPr>
      <w:r w:rsidRPr="006E125A">
        <w:rPr>
          <w:rFonts w:ascii="Garamond" w:hAnsi="Garamond"/>
          <w:sz w:val="16"/>
          <w:szCs w:val="16"/>
          <w:vertAlign w:val="superscript"/>
        </w:rPr>
        <w:footnoteRef/>
      </w:r>
      <w:r>
        <w:rPr>
          <w:rFonts w:ascii="Garamond" w:hAnsi="Garamond"/>
          <w:sz w:val="16"/>
          <w:szCs w:val="16"/>
        </w:rPr>
        <w:t xml:space="preserve"> </w:t>
      </w:r>
      <w:r w:rsidRPr="00992F84">
        <w:rPr>
          <w:rFonts w:ascii="Garamond" w:hAnsi="Garamond"/>
          <w:sz w:val="16"/>
          <w:szCs w:val="16"/>
        </w:rPr>
        <w:t>“Projekti i financave lokale” i financuar nga SECO (2024-2028) ndihmon MF-në dhe bashkitë me planifikimin e buxhetit, menaxhimin e të ardhurave dhe kontrollin e brendshëm në nivelin vendor.</w:t>
      </w:r>
    </w:p>
  </w:footnote>
  <w:footnote w:id="32">
    <w:p w14:paraId="591ECADF" w14:textId="5082E2A1" w:rsidR="002B3F8E" w:rsidRPr="00992F84" w:rsidRDefault="002B3F8E" w:rsidP="00A63327">
      <w:pPr>
        <w:jc w:val="both"/>
        <w:rPr>
          <w:rFonts w:ascii="Garamond" w:hAnsi="Garamond"/>
          <w:sz w:val="16"/>
          <w:szCs w:val="16"/>
        </w:rPr>
      </w:pPr>
      <w:r w:rsidRPr="00355A4A">
        <w:rPr>
          <w:rFonts w:ascii="Garamond" w:hAnsi="Garamond"/>
          <w:sz w:val="16"/>
          <w:szCs w:val="16"/>
          <w:vertAlign w:val="superscript"/>
        </w:rPr>
        <w:footnoteRef/>
      </w:r>
      <w:r w:rsidRPr="00992F84">
        <w:rPr>
          <w:rFonts w:ascii="Garamond" w:hAnsi="Garamond"/>
          <w:sz w:val="16"/>
          <w:szCs w:val="16"/>
        </w:rPr>
        <w:t xml:space="preserve"> Burimi: Korniza logjike e Projektit të Financave Lokale SECO</w:t>
      </w:r>
      <w:r>
        <w:rPr>
          <w:rFonts w:ascii="Garamond" w:hAnsi="Garamond"/>
          <w:sz w:val="16"/>
          <w:szCs w:val="16"/>
        </w:rPr>
        <w:t>,</w:t>
      </w:r>
      <w:r w:rsidRPr="00992F84">
        <w:rPr>
          <w:rFonts w:ascii="Garamond" w:hAnsi="Garamond"/>
          <w:sz w:val="16"/>
          <w:szCs w:val="16"/>
        </w:rPr>
        <w:t xml:space="preserve"> </w:t>
      </w:r>
      <w:r>
        <w:rPr>
          <w:rFonts w:ascii="Garamond" w:hAnsi="Garamond"/>
          <w:sz w:val="16"/>
          <w:szCs w:val="16"/>
        </w:rPr>
        <w:t>f</w:t>
      </w:r>
      <w:r w:rsidRPr="00992F84">
        <w:rPr>
          <w:rFonts w:ascii="Garamond" w:hAnsi="Garamond"/>
          <w:sz w:val="16"/>
          <w:szCs w:val="16"/>
        </w:rPr>
        <w:t>aza 2</w:t>
      </w:r>
      <w:r>
        <w:rPr>
          <w:rFonts w:ascii="Garamond" w:hAnsi="Garamond"/>
          <w:sz w:val="16"/>
          <w:szCs w:val="16"/>
        </w:rPr>
        <w:t>.</w:t>
      </w:r>
    </w:p>
  </w:footnote>
  <w:footnote w:id="33">
    <w:p w14:paraId="0D59BB03" w14:textId="3D2E8BE7" w:rsidR="002B3F8E" w:rsidRPr="00992F84" w:rsidRDefault="002B3F8E" w:rsidP="00A63327">
      <w:pPr>
        <w:jc w:val="both"/>
        <w:rPr>
          <w:rFonts w:ascii="Garamond" w:hAnsi="Garamond"/>
          <w:sz w:val="16"/>
          <w:szCs w:val="16"/>
        </w:rPr>
      </w:pPr>
      <w:r w:rsidRPr="00355A4A">
        <w:rPr>
          <w:rFonts w:ascii="Garamond" w:hAnsi="Garamond"/>
          <w:sz w:val="16"/>
          <w:szCs w:val="16"/>
          <w:vertAlign w:val="superscript"/>
        </w:rPr>
        <w:footnoteRef/>
      </w:r>
      <w:r w:rsidRPr="00992F84">
        <w:rPr>
          <w:rFonts w:ascii="Garamond" w:hAnsi="Garamond"/>
          <w:sz w:val="16"/>
          <w:szCs w:val="16"/>
        </w:rPr>
        <w:t xml:space="preserve"> Burimi: Korniza logjike e Projektit të Financave Lokale SECO</w:t>
      </w:r>
      <w:r>
        <w:rPr>
          <w:rFonts w:ascii="Garamond" w:hAnsi="Garamond"/>
          <w:sz w:val="16"/>
          <w:szCs w:val="16"/>
        </w:rPr>
        <w:t>,</w:t>
      </w:r>
      <w:r w:rsidRPr="00992F84">
        <w:rPr>
          <w:rFonts w:ascii="Garamond" w:hAnsi="Garamond"/>
          <w:sz w:val="16"/>
          <w:szCs w:val="16"/>
        </w:rPr>
        <w:t xml:space="preserve"> faza 2; </w:t>
      </w:r>
      <w:r>
        <w:rPr>
          <w:rFonts w:ascii="Garamond" w:hAnsi="Garamond"/>
          <w:sz w:val="16"/>
          <w:szCs w:val="16"/>
        </w:rPr>
        <w:t>t</w:t>
      </w:r>
      <w:r w:rsidRPr="00992F84">
        <w:rPr>
          <w:rFonts w:ascii="Garamond" w:hAnsi="Garamond"/>
          <w:sz w:val="16"/>
          <w:szCs w:val="16"/>
        </w:rPr>
        <w:t>reguesi i përshtatur nga treguesi i performancës PEFA 8.1</w:t>
      </w:r>
      <w:r>
        <w:rPr>
          <w:rFonts w:ascii="Garamond" w:hAnsi="Garamond"/>
          <w:sz w:val="16"/>
          <w:szCs w:val="16"/>
        </w:rPr>
        <w:t>.</w:t>
      </w:r>
    </w:p>
  </w:footnote>
  <w:footnote w:id="34">
    <w:p w14:paraId="46680814" w14:textId="52BE2564" w:rsidR="002B3F8E" w:rsidRPr="00992F84" w:rsidRDefault="002B3F8E" w:rsidP="00A63327">
      <w:pPr>
        <w:jc w:val="both"/>
        <w:rPr>
          <w:rFonts w:ascii="Garamond" w:hAnsi="Garamond"/>
          <w:sz w:val="16"/>
          <w:szCs w:val="16"/>
        </w:rPr>
      </w:pPr>
      <w:r w:rsidRPr="00355A4A">
        <w:rPr>
          <w:rFonts w:ascii="Garamond" w:hAnsi="Garamond"/>
          <w:sz w:val="16"/>
          <w:szCs w:val="16"/>
          <w:vertAlign w:val="superscript"/>
        </w:rPr>
        <w:footnoteRef/>
      </w:r>
      <w:r w:rsidRPr="00992F84">
        <w:rPr>
          <w:rFonts w:ascii="Garamond" w:hAnsi="Garamond"/>
          <w:sz w:val="16"/>
          <w:szCs w:val="16"/>
        </w:rPr>
        <w:t xml:space="preserve"> Burimi: Korniza logjike e Projektit të Financave Lokale SECO</w:t>
      </w:r>
      <w:r>
        <w:rPr>
          <w:rFonts w:ascii="Garamond" w:hAnsi="Garamond"/>
          <w:sz w:val="16"/>
          <w:szCs w:val="16"/>
        </w:rPr>
        <w:t xml:space="preserve">, </w:t>
      </w:r>
      <w:r w:rsidRPr="00992F84">
        <w:rPr>
          <w:rFonts w:ascii="Garamond" w:hAnsi="Garamond"/>
          <w:sz w:val="16"/>
          <w:szCs w:val="16"/>
        </w:rPr>
        <w:t>faza 2; tregues i përshtatur nga treguesi i performancës PEFA 8.2</w:t>
      </w:r>
      <w:r>
        <w:rPr>
          <w:rFonts w:ascii="Garamond" w:hAnsi="Garamond"/>
          <w:sz w:val="16"/>
          <w:szCs w:val="16"/>
        </w:rPr>
        <w:t>.</w:t>
      </w:r>
    </w:p>
  </w:footnote>
  <w:footnote w:id="35">
    <w:p w14:paraId="200AC4A1" w14:textId="78A64AE9" w:rsidR="002B3F8E" w:rsidRPr="00992F84" w:rsidRDefault="002B3F8E" w:rsidP="00A63327">
      <w:pPr>
        <w:jc w:val="both"/>
        <w:rPr>
          <w:rFonts w:ascii="Garamond" w:hAnsi="Garamond"/>
          <w:sz w:val="16"/>
          <w:szCs w:val="16"/>
        </w:rPr>
      </w:pPr>
      <w:r w:rsidRPr="00355A4A">
        <w:rPr>
          <w:rFonts w:ascii="Garamond" w:hAnsi="Garamond"/>
          <w:sz w:val="16"/>
          <w:szCs w:val="16"/>
          <w:vertAlign w:val="superscript"/>
        </w:rPr>
        <w:footnoteRef/>
      </w:r>
      <w:r w:rsidRPr="00992F84">
        <w:rPr>
          <w:rFonts w:ascii="Garamond" w:hAnsi="Garamond"/>
          <w:sz w:val="16"/>
          <w:szCs w:val="16"/>
        </w:rPr>
        <w:t xml:space="preserve"> Burimi: Korniza logjike e Projektit të Financave Lokale SECO</w:t>
      </w:r>
      <w:r>
        <w:rPr>
          <w:rFonts w:ascii="Garamond" w:hAnsi="Garamond"/>
          <w:sz w:val="16"/>
          <w:szCs w:val="16"/>
        </w:rPr>
        <w:t>,</w:t>
      </w:r>
      <w:r w:rsidRPr="00992F84">
        <w:rPr>
          <w:rFonts w:ascii="Garamond" w:hAnsi="Garamond"/>
          <w:sz w:val="16"/>
          <w:szCs w:val="16"/>
        </w:rPr>
        <w:t xml:space="preserve"> </w:t>
      </w:r>
      <w:r>
        <w:rPr>
          <w:rFonts w:ascii="Garamond" w:hAnsi="Garamond"/>
          <w:sz w:val="16"/>
          <w:szCs w:val="16"/>
        </w:rPr>
        <w:t>f</w:t>
      </w:r>
      <w:r w:rsidRPr="00992F84">
        <w:rPr>
          <w:rFonts w:ascii="Garamond" w:hAnsi="Garamond"/>
          <w:sz w:val="16"/>
          <w:szCs w:val="16"/>
        </w:rPr>
        <w:t>aza 2</w:t>
      </w:r>
      <w:r>
        <w:rPr>
          <w:rFonts w:ascii="Garamond" w:hAnsi="Garamond"/>
          <w:sz w:val="16"/>
          <w:szCs w:val="16"/>
        </w:rPr>
        <w:t>.</w:t>
      </w:r>
    </w:p>
  </w:footnote>
  <w:footnote w:id="36">
    <w:p w14:paraId="58261467" w14:textId="101ED844" w:rsidR="002B3F8E" w:rsidRPr="00992F84" w:rsidRDefault="002B3F8E" w:rsidP="00A63327">
      <w:pPr>
        <w:jc w:val="both"/>
        <w:rPr>
          <w:rFonts w:ascii="Garamond" w:hAnsi="Garamond"/>
          <w:sz w:val="16"/>
          <w:szCs w:val="16"/>
        </w:rPr>
      </w:pPr>
      <w:r w:rsidRPr="00355A4A">
        <w:rPr>
          <w:rFonts w:ascii="Garamond" w:hAnsi="Garamond"/>
          <w:sz w:val="16"/>
          <w:szCs w:val="16"/>
          <w:vertAlign w:val="superscript"/>
        </w:rPr>
        <w:footnoteRef/>
      </w:r>
      <w:r w:rsidRPr="00992F84">
        <w:rPr>
          <w:rFonts w:ascii="Garamond" w:hAnsi="Garamond"/>
          <w:sz w:val="16"/>
          <w:szCs w:val="16"/>
        </w:rPr>
        <w:t xml:space="preserve"> Ligji </w:t>
      </w:r>
      <w:r>
        <w:rPr>
          <w:rFonts w:ascii="Garamond" w:hAnsi="Garamond"/>
          <w:sz w:val="16"/>
          <w:szCs w:val="16"/>
        </w:rPr>
        <w:t>n</w:t>
      </w:r>
      <w:r w:rsidRPr="00992F84">
        <w:rPr>
          <w:rFonts w:ascii="Garamond" w:hAnsi="Garamond"/>
          <w:sz w:val="16"/>
          <w:szCs w:val="16"/>
        </w:rPr>
        <w:t>r. 9936, datë 26.6.2008, i ndryshuar më 2.6.2016 “Për menaxhimin e sistemit buxhetor”</w:t>
      </w:r>
      <w:r>
        <w:rPr>
          <w:rFonts w:ascii="Garamond" w:hAnsi="Garamond"/>
          <w:sz w:val="16"/>
          <w:szCs w:val="16"/>
        </w:rPr>
        <w:t>.</w:t>
      </w:r>
    </w:p>
  </w:footnote>
  <w:footnote w:id="37">
    <w:p w14:paraId="47E98AEF" w14:textId="56AB9924" w:rsidR="002B3F8E" w:rsidRPr="00992F84" w:rsidRDefault="002B3F8E" w:rsidP="00A63327">
      <w:pPr>
        <w:jc w:val="both"/>
        <w:rPr>
          <w:sz w:val="16"/>
          <w:szCs w:val="16"/>
        </w:rPr>
      </w:pPr>
      <w:r w:rsidRPr="004B3C5A">
        <w:rPr>
          <w:rFonts w:ascii="Garamond" w:hAnsi="Garamond"/>
          <w:sz w:val="16"/>
          <w:szCs w:val="16"/>
          <w:vertAlign w:val="superscript"/>
        </w:rPr>
        <w:footnoteRef/>
      </w:r>
      <w:r w:rsidRPr="00992F84">
        <w:rPr>
          <w:rFonts w:ascii="Garamond" w:hAnsi="Garamond"/>
          <w:sz w:val="16"/>
          <w:szCs w:val="16"/>
        </w:rPr>
        <w:t xml:space="preserve"> Udhëzimi nr.</w:t>
      </w:r>
      <w:r>
        <w:rPr>
          <w:rFonts w:ascii="Garamond" w:hAnsi="Garamond"/>
          <w:sz w:val="16"/>
          <w:szCs w:val="16"/>
        </w:rPr>
        <w:t xml:space="preserve"> </w:t>
      </w:r>
      <w:r w:rsidRPr="00992F84">
        <w:rPr>
          <w:rFonts w:ascii="Garamond" w:hAnsi="Garamond"/>
          <w:sz w:val="16"/>
          <w:szCs w:val="16"/>
        </w:rPr>
        <w:t>14</w:t>
      </w:r>
      <w:r>
        <w:rPr>
          <w:rFonts w:ascii="Garamond" w:hAnsi="Garamond"/>
          <w:sz w:val="16"/>
          <w:szCs w:val="16"/>
        </w:rPr>
        <w:t>,</w:t>
      </w:r>
      <w:r w:rsidRPr="00992F84">
        <w:rPr>
          <w:rFonts w:ascii="Garamond" w:hAnsi="Garamond"/>
          <w:sz w:val="16"/>
          <w:szCs w:val="16"/>
        </w:rPr>
        <w:t xml:space="preserve"> datë 30.5.2023</w:t>
      </w:r>
      <w:r>
        <w:rPr>
          <w:rFonts w:ascii="Garamond" w:hAnsi="Garamond"/>
          <w:sz w:val="16"/>
          <w:szCs w:val="16"/>
        </w:rPr>
        <w:t>,</w:t>
      </w:r>
      <w:r w:rsidRPr="00992F84">
        <w:rPr>
          <w:rFonts w:ascii="Garamond" w:hAnsi="Garamond"/>
          <w:sz w:val="16"/>
          <w:szCs w:val="16"/>
        </w:rPr>
        <w:t xml:space="preserve"> “Për procedurat standarde të monitorimit të buxhetit në njësitë e qeverisjes qendrore”</w:t>
      </w:r>
      <w:r>
        <w:rPr>
          <w:rFonts w:ascii="Garamond" w:hAnsi="Garamond"/>
          <w:sz w:val="16"/>
          <w:szCs w:val="16"/>
        </w:rPr>
        <w:t>.</w:t>
      </w:r>
    </w:p>
  </w:footnote>
  <w:footnote w:id="38">
    <w:p w14:paraId="6583D2A8" w14:textId="7E6A7FBB" w:rsidR="002B3F8E" w:rsidRPr="00992F84" w:rsidRDefault="002B3F8E" w:rsidP="002255E8">
      <w:pPr>
        <w:rPr>
          <w:rFonts w:ascii="Garamond" w:hAnsi="Garamond"/>
          <w:sz w:val="16"/>
          <w:szCs w:val="16"/>
        </w:rPr>
      </w:pPr>
      <w:r w:rsidRPr="004B3C5A">
        <w:rPr>
          <w:rFonts w:ascii="Garamond" w:hAnsi="Garamond"/>
          <w:sz w:val="16"/>
          <w:szCs w:val="16"/>
          <w:vertAlign w:val="superscript"/>
        </w:rPr>
        <w:footnoteRef/>
      </w:r>
      <w:r>
        <w:rPr>
          <w:rFonts w:ascii="Garamond" w:hAnsi="Garamond"/>
          <w:sz w:val="16"/>
          <w:szCs w:val="16"/>
        </w:rPr>
        <w:t xml:space="preserve"> </w:t>
      </w:r>
      <w:r w:rsidRPr="00992F84">
        <w:rPr>
          <w:rFonts w:ascii="Garamond" w:hAnsi="Garamond"/>
          <w:sz w:val="16"/>
          <w:szCs w:val="16"/>
        </w:rPr>
        <w:t>Për t’u vendosur</w:t>
      </w:r>
      <w:r>
        <w:rPr>
          <w:rFonts w:ascii="Garamond" w:hAnsi="Garamond"/>
          <w:sz w:val="16"/>
          <w:szCs w:val="16"/>
        </w:rPr>
        <w:t>.</w:t>
      </w:r>
    </w:p>
  </w:footnote>
  <w:footnote w:id="39">
    <w:p w14:paraId="0D355D16" w14:textId="26324411" w:rsidR="002B3F8E" w:rsidRPr="00992F84" w:rsidRDefault="002B3F8E" w:rsidP="002255E8">
      <w:pPr>
        <w:rPr>
          <w:rFonts w:ascii="Garamond" w:hAnsi="Garamond"/>
          <w:sz w:val="16"/>
          <w:szCs w:val="16"/>
        </w:rPr>
      </w:pPr>
      <w:r w:rsidRPr="0042778C">
        <w:rPr>
          <w:rFonts w:ascii="Garamond" w:hAnsi="Garamond"/>
          <w:sz w:val="16"/>
          <w:szCs w:val="16"/>
          <w:vertAlign w:val="superscript"/>
        </w:rPr>
        <w:footnoteRef/>
      </w:r>
      <w:r w:rsidRPr="00992F84">
        <w:rPr>
          <w:rFonts w:ascii="Garamond" w:hAnsi="Garamond"/>
          <w:sz w:val="16"/>
          <w:szCs w:val="16"/>
        </w:rPr>
        <w:t xml:space="preserve"> Bazuar në </w:t>
      </w:r>
      <w:r>
        <w:rPr>
          <w:rFonts w:ascii="Garamond" w:hAnsi="Garamond"/>
          <w:sz w:val="16"/>
          <w:szCs w:val="16"/>
        </w:rPr>
        <w:t>“</w:t>
      </w:r>
      <w:r w:rsidRPr="00992F84">
        <w:rPr>
          <w:rFonts w:ascii="Garamond" w:hAnsi="Garamond"/>
          <w:sz w:val="16"/>
          <w:szCs w:val="16"/>
        </w:rPr>
        <w:t>Udhërrëfyesin për Reformën në Administratën Publike 2023</w:t>
      </w:r>
      <w:r>
        <w:rPr>
          <w:rFonts w:ascii="Garamond" w:hAnsi="Garamond"/>
          <w:sz w:val="16"/>
          <w:szCs w:val="16"/>
        </w:rPr>
        <w:t>–</w:t>
      </w:r>
      <w:r w:rsidRPr="00992F84">
        <w:rPr>
          <w:rFonts w:ascii="Garamond" w:hAnsi="Garamond"/>
          <w:sz w:val="16"/>
          <w:szCs w:val="16"/>
        </w:rPr>
        <w:t>2030</w:t>
      </w:r>
      <w:r>
        <w:rPr>
          <w:rFonts w:ascii="Garamond" w:hAnsi="Garamond"/>
          <w:sz w:val="16"/>
          <w:szCs w:val="16"/>
        </w:rPr>
        <w:t>”.</w:t>
      </w:r>
    </w:p>
  </w:footnote>
  <w:footnote w:id="40">
    <w:p w14:paraId="5340D79A" w14:textId="4F570BEB" w:rsidR="002B3F8E" w:rsidRPr="00992F84" w:rsidRDefault="002B3F8E" w:rsidP="002255E8">
      <w:pPr>
        <w:rPr>
          <w:rFonts w:ascii="Garamond" w:hAnsi="Garamond"/>
          <w:sz w:val="16"/>
          <w:szCs w:val="16"/>
        </w:rPr>
      </w:pPr>
      <w:r w:rsidRPr="0042778C">
        <w:rPr>
          <w:rFonts w:ascii="Garamond" w:hAnsi="Garamond"/>
          <w:sz w:val="16"/>
          <w:szCs w:val="16"/>
          <w:vertAlign w:val="superscript"/>
        </w:rPr>
        <w:footnoteRef/>
      </w:r>
      <w:r w:rsidRPr="00992F84">
        <w:rPr>
          <w:rFonts w:ascii="Garamond" w:hAnsi="Garamond"/>
          <w:sz w:val="16"/>
          <w:szCs w:val="16"/>
        </w:rPr>
        <w:t xml:space="preserve"> Udhëzuesi 35 për monitorimin e PPP-ve (2019)</w:t>
      </w:r>
      <w:r>
        <w:rPr>
          <w:rFonts w:ascii="Garamond" w:hAnsi="Garamond"/>
          <w:sz w:val="16"/>
          <w:szCs w:val="16"/>
        </w:rPr>
        <w:t>.</w:t>
      </w:r>
    </w:p>
  </w:footnote>
  <w:footnote w:id="41">
    <w:p w14:paraId="799C1B23" w14:textId="59711D8C" w:rsidR="002B3F8E" w:rsidRPr="00992F84" w:rsidRDefault="002B3F8E" w:rsidP="002255E8">
      <w:pPr>
        <w:rPr>
          <w:rFonts w:ascii="Garamond" w:hAnsi="Garamond"/>
          <w:sz w:val="16"/>
          <w:szCs w:val="16"/>
        </w:rPr>
      </w:pPr>
      <w:r w:rsidRPr="0042778C">
        <w:rPr>
          <w:rFonts w:ascii="Garamond" w:hAnsi="Garamond"/>
          <w:sz w:val="16"/>
          <w:szCs w:val="16"/>
          <w:vertAlign w:val="superscript"/>
        </w:rPr>
        <w:footnoteRef/>
      </w:r>
      <w:r w:rsidRPr="00992F84">
        <w:rPr>
          <w:rFonts w:ascii="Garamond" w:hAnsi="Garamond"/>
          <w:sz w:val="16"/>
          <w:szCs w:val="16"/>
        </w:rPr>
        <w:t xml:space="preserve"> FMN aktualisht po ofron mbështetje. Për t’u dakordësuar suporti nga BE-ja</w:t>
      </w:r>
      <w:r>
        <w:rPr>
          <w:rFonts w:ascii="Garamond" w:hAnsi="Garamond"/>
          <w:sz w:val="16"/>
          <w:szCs w:val="16"/>
        </w:rPr>
        <w:t>.</w:t>
      </w:r>
    </w:p>
  </w:footnote>
  <w:footnote w:id="42">
    <w:p w14:paraId="74CA1901" w14:textId="77777777" w:rsidR="002B3F8E" w:rsidRPr="00D70BDE" w:rsidRDefault="002B3F8E" w:rsidP="004719D2">
      <w:pPr>
        <w:pStyle w:val="FootnoteText"/>
        <w:spacing w:line="288" w:lineRule="auto"/>
        <w:ind w:left="284" w:hanging="284"/>
        <w:rPr>
          <w:rFonts w:ascii="Garamond" w:hAnsi="Garamond"/>
          <w:sz w:val="16"/>
          <w:szCs w:val="16"/>
          <w:lang w:val="sq-AL"/>
        </w:rPr>
      </w:pPr>
      <w:r w:rsidRPr="00D70BDE">
        <w:rPr>
          <w:rStyle w:val="FootnoteReference"/>
          <w:rFonts w:ascii="Garamond" w:hAnsi="Garamond"/>
          <w:sz w:val="16"/>
          <w:szCs w:val="16"/>
        </w:rPr>
        <w:footnoteRef/>
      </w:r>
      <w:r w:rsidRPr="00D70BDE">
        <w:rPr>
          <w:rFonts w:ascii="Garamond" w:hAnsi="Garamond"/>
          <w:sz w:val="16"/>
          <w:szCs w:val="16"/>
          <w:lang w:val="sq-AL"/>
        </w:rPr>
        <w:t xml:space="preserve"> </w:t>
      </w:r>
      <w:r w:rsidRPr="00D70BDE">
        <w:rPr>
          <w:rFonts w:ascii="Garamond" w:hAnsi="Garamond"/>
          <w:sz w:val="16"/>
          <w:szCs w:val="16"/>
          <w:lang w:val="sq-AL"/>
        </w:rPr>
        <w:tab/>
      </w:r>
      <w:r w:rsidRPr="00BE5C3B">
        <w:rPr>
          <w:rFonts w:ascii="Garamond" w:hAnsi="Garamond"/>
          <w:i/>
          <w:sz w:val="16"/>
          <w:szCs w:val="16"/>
          <w:lang w:val="sq-AL"/>
        </w:rPr>
        <w:t>Add reference</w:t>
      </w:r>
      <w:r w:rsidRPr="00D70BDE">
        <w:rPr>
          <w:rFonts w:ascii="Garamond" w:hAnsi="Garamond"/>
          <w:sz w:val="16"/>
          <w:szCs w:val="16"/>
          <w:lang w:val="sq-AL"/>
        </w:rPr>
        <w:t>. SAA është përgatitur me suportin e FMN-së.</w:t>
      </w:r>
    </w:p>
  </w:footnote>
  <w:footnote w:id="43">
    <w:p w14:paraId="082E2EFB" w14:textId="09ED0A3F" w:rsidR="002B3F8E" w:rsidRPr="00162853" w:rsidRDefault="002B3F8E" w:rsidP="006C3CEC">
      <w:pPr>
        <w:pStyle w:val="TEKSTIII"/>
        <w:ind w:firstLine="0"/>
        <w:rPr>
          <w:sz w:val="16"/>
          <w:szCs w:val="16"/>
        </w:rPr>
      </w:pPr>
      <w:r w:rsidRPr="00162853">
        <w:rPr>
          <w:rStyle w:val="FootnoteReference"/>
          <w:rFonts w:ascii="Garamond" w:hAnsi="Garamond"/>
          <w:sz w:val="16"/>
          <w:szCs w:val="16"/>
        </w:rPr>
        <w:footnoteRef/>
      </w:r>
      <w:r w:rsidRPr="00162853">
        <w:rPr>
          <w:rStyle w:val="FootnoteReference"/>
          <w:rFonts w:ascii="Garamond" w:hAnsi="Garamond"/>
          <w:sz w:val="16"/>
          <w:szCs w:val="16"/>
          <w:vertAlign w:val="baseline"/>
        </w:rPr>
        <w:t xml:space="preserve"> P</w:t>
      </w:r>
      <w:r w:rsidRPr="00162853">
        <w:rPr>
          <w:sz w:val="16"/>
          <w:szCs w:val="16"/>
        </w:rPr>
        <w:t>ërafërsisht</w:t>
      </w:r>
      <w:r w:rsidRPr="00162853">
        <w:rPr>
          <w:rStyle w:val="FootnoteReference"/>
          <w:rFonts w:ascii="Garamond" w:hAnsi="Garamond"/>
          <w:sz w:val="16"/>
          <w:szCs w:val="16"/>
          <w:vertAlign w:val="baseline"/>
        </w:rPr>
        <w:t xml:space="preserve"> 1.2 milionë p</w:t>
      </w:r>
      <w:r w:rsidRPr="00162853">
        <w:rPr>
          <w:sz w:val="16"/>
          <w:szCs w:val="16"/>
        </w:rPr>
        <w:t>rona janë aktualisht të regjistruara në sistem nga një total prej rreth 4.5 milionë pronash</w:t>
      </w:r>
      <w:r w:rsidRPr="00162853">
        <w:rPr>
          <w:rStyle w:val="FootnoteReference"/>
          <w:rFonts w:ascii="Garamond" w:hAnsi="Garamond"/>
          <w:sz w:val="16"/>
          <w:szCs w:val="16"/>
          <w:vertAlign w:val="baseline"/>
        </w:rPr>
        <w:t>.</w:t>
      </w:r>
    </w:p>
  </w:footnote>
  <w:footnote w:id="44">
    <w:p w14:paraId="6ECD1126" w14:textId="23B6936E" w:rsidR="002B3F8E" w:rsidRPr="00162853" w:rsidRDefault="002B3F8E" w:rsidP="006C4143">
      <w:pPr>
        <w:jc w:val="both"/>
        <w:rPr>
          <w:rFonts w:ascii="Garamond" w:hAnsi="Garamond"/>
          <w:sz w:val="16"/>
          <w:szCs w:val="16"/>
        </w:rPr>
      </w:pPr>
      <w:r w:rsidRPr="00162853">
        <w:rPr>
          <w:rFonts w:ascii="Garamond" w:hAnsi="Garamond"/>
          <w:sz w:val="16"/>
          <w:szCs w:val="16"/>
          <w:vertAlign w:val="superscript"/>
        </w:rPr>
        <w:footnoteRef/>
      </w:r>
      <w:r w:rsidRPr="00162853">
        <w:rPr>
          <w:rFonts w:ascii="Garamond" w:hAnsi="Garamond"/>
          <w:sz w:val="16"/>
          <w:szCs w:val="16"/>
        </w:rPr>
        <w:t xml:space="preserve"> MF</w:t>
      </w:r>
      <w:r>
        <w:rPr>
          <w:rFonts w:ascii="Garamond" w:hAnsi="Garamond"/>
          <w:sz w:val="16"/>
          <w:szCs w:val="16"/>
        </w:rPr>
        <w:t>-ja</w:t>
      </w:r>
      <w:r w:rsidRPr="00162853">
        <w:rPr>
          <w:rFonts w:ascii="Garamond" w:hAnsi="Garamond"/>
          <w:sz w:val="16"/>
          <w:szCs w:val="16"/>
        </w:rPr>
        <w:t>, SIDA dhe Swedish Tax Agency kanë nënshkruar përkatësisht një marrëveshje kontributi dhe një projekt marrëveshje për vazhdimin e mbështetjes së reformës së taksës së pasurisë.</w:t>
      </w:r>
    </w:p>
  </w:footnote>
  <w:footnote w:id="45">
    <w:p w14:paraId="4C17C0F6" w14:textId="7D4696A6" w:rsidR="002B3F8E" w:rsidRPr="002E2041" w:rsidRDefault="002B3F8E" w:rsidP="0080353E">
      <w:pPr>
        <w:pStyle w:val="TEKSTIII"/>
        <w:ind w:firstLine="0"/>
        <w:rPr>
          <w:sz w:val="16"/>
          <w:szCs w:val="16"/>
        </w:rPr>
      </w:pPr>
      <w:r w:rsidRPr="002E2041">
        <w:rPr>
          <w:rStyle w:val="FootnoteReference"/>
          <w:rFonts w:ascii="Garamond" w:hAnsi="Garamond"/>
          <w:sz w:val="16"/>
          <w:szCs w:val="16"/>
        </w:rPr>
        <w:footnoteRef/>
      </w:r>
      <w:r w:rsidRPr="002E2041">
        <w:rPr>
          <w:sz w:val="16"/>
          <w:szCs w:val="16"/>
          <w:vertAlign w:val="superscript"/>
        </w:rPr>
        <w:t xml:space="preserve"> </w:t>
      </w:r>
      <w:r w:rsidRPr="002E2041">
        <w:rPr>
          <w:sz w:val="16"/>
          <w:szCs w:val="16"/>
        </w:rPr>
        <w:t>Drejtoria e Antikorrupsionit pranë DPD</w:t>
      </w:r>
      <w:r w:rsidRPr="002E2041">
        <w:rPr>
          <w:rFonts w:cs="Garamond"/>
          <w:color w:val="000000"/>
          <w:sz w:val="16"/>
          <w:szCs w:val="16"/>
          <w:lang w:eastAsia="sq-AL"/>
        </w:rPr>
        <w:t>-së</w:t>
      </w:r>
      <w:r w:rsidRPr="002E2041">
        <w:rPr>
          <w:sz w:val="16"/>
          <w:szCs w:val="16"/>
        </w:rPr>
        <w:t xml:space="preserve"> është përfshirë në hartimin e planit të integritetit me urdhrin nr</w:t>
      </w:r>
      <w:r>
        <w:rPr>
          <w:sz w:val="16"/>
          <w:szCs w:val="16"/>
        </w:rPr>
        <w:t>.</w:t>
      </w:r>
      <w:r w:rsidRPr="002E2041">
        <w:rPr>
          <w:sz w:val="16"/>
          <w:szCs w:val="16"/>
        </w:rPr>
        <w:t xml:space="preserve"> 80</w:t>
      </w:r>
      <w:r>
        <w:rPr>
          <w:sz w:val="16"/>
          <w:szCs w:val="16"/>
        </w:rPr>
        <w:t>,</w:t>
      </w:r>
      <w:r w:rsidRPr="002E2041">
        <w:rPr>
          <w:sz w:val="16"/>
          <w:szCs w:val="16"/>
        </w:rPr>
        <w:t xml:space="preserve"> datë 26.10.2023.</w:t>
      </w:r>
    </w:p>
  </w:footnote>
  <w:footnote w:id="46">
    <w:p w14:paraId="46527568" w14:textId="2028F1DB" w:rsidR="002B3F8E" w:rsidRPr="00D70BDE" w:rsidRDefault="002B3F8E" w:rsidP="00920BB7">
      <w:pPr>
        <w:jc w:val="both"/>
        <w:rPr>
          <w:rFonts w:ascii="Garamond" w:hAnsi="Garamond"/>
          <w:sz w:val="16"/>
          <w:szCs w:val="16"/>
        </w:rPr>
      </w:pPr>
      <w:r w:rsidRPr="002B54EA">
        <w:rPr>
          <w:rFonts w:ascii="Garamond" w:hAnsi="Garamond"/>
          <w:sz w:val="16"/>
          <w:szCs w:val="16"/>
          <w:vertAlign w:val="superscript"/>
        </w:rPr>
        <w:footnoteRef/>
      </w:r>
      <w:r>
        <w:rPr>
          <w:rFonts w:ascii="Garamond" w:hAnsi="Garamond"/>
          <w:sz w:val="16"/>
          <w:szCs w:val="16"/>
        </w:rPr>
        <w:t xml:space="preserve"> </w:t>
      </w:r>
      <w:r w:rsidRPr="00D70BDE">
        <w:rPr>
          <w:rFonts w:ascii="Garamond" w:hAnsi="Garamond"/>
          <w:sz w:val="16"/>
          <w:szCs w:val="16"/>
        </w:rPr>
        <w:t xml:space="preserve">Rregullorja e Këshillit (KE) </w:t>
      </w:r>
      <w:r>
        <w:rPr>
          <w:rFonts w:ascii="Garamond" w:hAnsi="Garamond"/>
          <w:sz w:val="16"/>
          <w:szCs w:val="16"/>
        </w:rPr>
        <w:t>n</w:t>
      </w:r>
      <w:r w:rsidRPr="00D70BDE">
        <w:rPr>
          <w:rFonts w:ascii="Garamond" w:hAnsi="Garamond"/>
          <w:sz w:val="16"/>
          <w:szCs w:val="16"/>
        </w:rPr>
        <w:t>r. 479/2009</w:t>
      </w:r>
      <w:r>
        <w:rPr>
          <w:rFonts w:ascii="Garamond" w:hAnsi="Garamond"/>
          <w:sz w:val="16"/>
          <w:szCs w:val="16"/>
        </w:rPr>
        <w:t>,</w:t>
      </w:r>
      <w:r w:rsidRPr="00D70BDE">
        <w:rPr>
          <w:rFonts w:ascii="Garamond" w:hAnsi="Garamond"/>
          <w:sz w:val="16"/>
          <w:szCs w:val="16"/>
        </w:rPr>
        <w:t xml:space="preserve"> datë 25 maj 2009</w:t>
      </w:r>
      <w:r>
        <w:rPr>
          <w:rFonts w:ascii="Garamond" w:hAnsi="Garamond"/>
          <w:sz w:val="16"/>
          <w:szCs w:val="16"/>
        </w:rPr>
        <w:t>,</w:t>
      </w:r>
      <w:r w:rsidRPr="00D70BDE">
        <w:rPr>
          <w:rFonts w:ascii="Garamond" w:hAnsi="Garamond"/>
          <w:sz w:val="16"/>
          <w:szCs w:val="16"/>
        </w:rPr>
        <w:t xml:space="preserve"> mbi zbatimin e </w:t>
      </w:r>
      <w:r>
        <w:rPr>
          <w:rFonts w:ascii="Garamond" w:hAnsi="Garamond"/>
          <w:sz w:val="16"/>
          <w:szCs w:val="16"/>
        </w:rPr>
        <w:t>“</w:t>
      </w:r>
      <w:r w:rsidRPr="00D70BDE">
        <w:rPr>
          <w:rFonts w:ascii="Garamond" w:hAnsi="Garamond"/>
          <w:sz w:val="16"/>
          <w:szCs w:val="16"/>
        </w:rPr>
        <w:t>Protokollit mbi procedurën e deficitit të tepruar</w:t>
      </w:r>
      <w:r>
        <w:rPr>
          <w:rFonts w:ascii="Garamond" w:hAnsi="Garamond"/>
          <w:sz w:val="16"/>
          <w:szCs w:val="16"/>
        </w:rPr>
        <w:t>”</w:t>
      </w:r>
      <w:r w:rsidRPr="00D70BDE">
        <w:rPr>
          <w:rFonts w:ascii="Garamond" w:hAnsi="Garamond"/>
          <w:sz w:val="16"/>
          <w:szCs w:val="16"/>
        </w:rPr>
        <w:t>, aneksuar në Traktatin për krijimin e Komunitetit Evropian.</w:t>
      </w:r>
    </w:p>
  </w:footnote>
  <w:footnote w:id="47">
    <w:p w14:paraId="646F0107" w14:textId="56AC8B5E" w:rsidR="002B3F8E" w:rsidRPr="00D70BDE" w:rsidRDefault="002B3F8E" w:rsidP="00920BB7">
      <w:pPr>
        <w:jc w:val="both"/>
        <w:rPr>
          <w:sz w:val="16"/>
          <w:szCs w:val="16"/>
        </w:rPr>
      </w:pPr>
      <w:r w:rsidRPr="002B54EA">
        <w:rPr>
          <w:rFonts w:ascii="Garamond" w:hAnsi="Garamond"/>
          <w:sz w:val="16"/>
          <w:szCs w:val="16"/>
          <w:vertAlign w:val="superscript"/>
        </w:rPr>
        <w:footnoteRef/>
      </w:r>
      <w:r>
        <w:rPr>
          <w:rFonts w:ascii="Garamond" w:hAnsi="Garamond"/>
          <w:sz w:val="16"/>
          <w:szCs w:val="16"/>
        </w:rPr>
        <w:t xml:space="preserve"> </w:t>
      </w:r>
      <w:r w:rsidRPr="00D70BDE">
        <w:rPr>
          <w:rFonts w:ascii="Garamond" w:hAnsi="Garamond"/>
          <w:sz w:val="16"/>
          <w:szCs w:val="16"/>
        </w:rPr>
        <w:t xml:space="preserve">Ligji </w:t>
      </w:r>
      <w:r>
        <w:rPr>
          <w:rFonts w:ascii="Garamond" w:hAnsi="Garamond"/>
          <w:sz w:val="16"/>
          <w:szCs w:val="16"/>
        </w:rPr>
        <w:t>n</w:t>
      </w:r>
      <w:r w:rsidRPr="00D70BDE">
        <w:rPr>
          <w:rFonts w:ascii="Garamond" w:hAnsi="Garamond"/>
          <w:sz w:val="16"/>
          <w:szCs w:val="16"/>
        </w:rPr>
        <w:t>r.</w:t>
      </w:r>
      <w:r>
        <w:rPr>
          <w:rFonts w:ascii="Garamond" w:hAnsi="Garamond"/>
          <w:sz w:val="16"/>
          <w:szCs w:val="16"/>
        </w:rPr>
        <w:t xml:space="preserve"> </w:t>
      </w:r>
      <w:r w:rsidRPr="00D70BDE">
        <w:rPr>
          <w:rFonts w:ascii="Garamond" w:hAnsi="Garamond"/>
          <w:sz w:val="16"/>
          <w:szCs w:val="16"/>
        </w:rPr>
        <w:t>30/2022 “Për miratimin e programit të statistikave zyrtare 2020–2026”.</w:t>
      </w:r>
    </w:p>
  </w:footnote>
  <w:footnote w:id="48">
    <w:p w14:paraId="1187591D" w14:textId="77777777" w:rsidR="002B3F8E" w:rsidRPr="00CE6AE5" w:rsidRDefault="002B3F8E" w:rsidP="004719D2">
      <w:pPr>
        <w:pStyle w:val="FootnoteText"/>
        <w:spacing w:line="200" w:lineRule="exact"/>
        <w:ind w:left="284" w:hanging="284"/>
        <w:rPr>
          <w:rFonts w:ascii="Garamond" w:hAnsi="Garamond"/>
          <w:sz w:val="16"/>
          <w:szCs w:val="16"/>
          <w:lang w:val="sq-AL"/>
        </w:rPr>
      </w:pPr>
      <w:r w:rsidRPr="00CE6AE5">
        <w:rPr>
          <w:rStyle w:val="FootnoteReference"/>
          <w:rFonts w:ascii="Garamond" w:hAnsi="Garamond"/>
          <w:sz w:val="16"/>
          <w:szCs w:val="16"/>
        </w:rPr>
        <w:footnoteRef/>
      </w:r>
      <w:r w:rsidRPr="00CE6AE5">
        <w:rPr>
          <w:rFonts w:ascii="Garamond" w:hAnsi="Garamond"/>
          <w:sz w:val="16"/>
          <w:szCs w:val="16"/>
          <w:lang w:val="sq-AL"/>
        </w:rPr>
        <w:t xml:space="preserve"> </w:t>
      </w:r>
      <w:r w:rsidRPr="00CE6AE5">
        <w:rPr>
          <w:rFonts w:ascii="Garamond" w:hAnsi="Garamond"/>
          <w:sz w:val="16"/>
          <w:szCs w:val="16"/>
          <w:lang w:val="sq-AL"/>
        </w:rPr>
        <w:tab/>
        <w:t>Banka Botërore dhe SECO kanë mbështetur reformat e kontabilitetit deri më sot.</w:t>
      </w:r>
    </w:p>
  </w:footnote>
  <w:footnote w:id="49">
    <w:p w14:paraId="107272C6" w14:textId="2D529050" w:rsidR="002B3F8E" w:rsidRPr="00CE6AE5" w:rsidRDefault="002B3F8E" w:rsidP="00962437">
      <w:pPr>
        <w:rPr>
          <w:rFonts w:ascii="Garamond" w:hAnsi="Garamond"/>
          <w:sz w:val="16"/>
          <w:szCs w:val="16"/>
        </w:rPr>
      </w:pPr>
      <w:r w:rsidRPr="00CE6AE5">
        <w:rPr>
          <w:rFonts w:ascii="Garamond" w:hAnsi="Garamond"/>
          <w:sz w:val="16"/>
          <w:szCs w:val="16"/>
          <w:vertAlign w:val="superscript"/>
        </w:rPr>
        <w:footnoteRef/>
      </w:r>
      <w:r>
        <w:rPr>
          <w:rFonts w:ascii="Garamond" w:hAnsi="Garamond"/>
          <w:sz w:val="16"/>
          <w:szCs w:val="16"/>
        </w:rPr>
        <w:t xml:space="preserve"> </w:t>
      </w:r>
      <w:r w:rsidRPr="00CE6AE5">
        <w:rPr>
          <w:rFonts w:ascii="Garamond" w:hAnsi="Garamond"/>
          <w:sz w:val="16"/>
          <w:szCs w:val="16"/>
        </w:rPr>
        <w:t>Aktivitetet që lidhen me kontabilitetin e sektorit publik do të varen nga fillimi i projektit të ri të BB-së</w:t>
      </w:r>
      <w:r>
        <w:rPr>
          <w:rFonts w:ascii="Garamond" w:hAnsi="Garamond"/>
          <w:sz w:val="16"/>
          <w:szCs w:val="16"/>
        </w:rPr>
        <w:t>.</w:t>
      </w:r>
    </w:p>
  </w:footnote>
  <w:footnote w:id="50">
    <w:p w14:paraId="11A9C31D" w14:textId="3B1EAA85" w:rsidR="002B3F8E" w:rsidRPr="006D20A2" w:rsidRDefault="002B3F8E" w:rsidP="003A6AFC">
      <w:pPr>
        <w:rPr>
          <w:rFonts w:ascii="Garamond" w:hAnsi="Garamond"/>
          <w:sz w:val="16"/>
          <w:szCs w:val="16"/>
        </w:rPr>
      </w:pPr>
      <w:r w:rsidRPr="006D20A2">
        <w:rPr>
          <w:rFonts w:ascii="Garamond" w:hAnsi="Garamond"/>
          <w:sz w:val="16"/>
          <w:szCs w:val="16"/>
          <w:vertAlign w:val="superscript"/>
        </w:rPr>
        <w:footnoteRef/>
      </w:r>
      <w:r w:rsidRPr="006D20A2">
        <w:rPr>
          <w:rFonts w:ascii="Garamond" w:hAnsi="Garamond"/>
          <w:sz w:val="16"/>
          <w:szCs w:val="16"/>
        </w:rPr>
        <w:t xml:space="preserve"> Ligji i Prokurimit Publik nr. 162/2020</w:t>
      </w:r>
      <w:r>
        <w:rPr>
          <w:rFonts w:ascii="Garamond" w:hAnsi="Garamond"/>
          <w:sz w:val="16"/>
          <w:szCs w:val="16"/>
        </w:rPr>
        <w:t>.</w:t>
      </w:r>
    </w:p>
  </w:footnote>
  <w:footnote w:id="51">
    <w:p w14:paraId="38AEF751" w14:textId="0F0FFA48" w:rsidR="002B3F8E" w:rsidRPr="006D20A2" w:rsidRDefault="002B3F8E" w:rsidP="003A6AFC">
      <w:pPr>
        <w:pStyle w:val="FootnoteText"/>
        <w:jc w:val="both"/>
        <w:rPr>
          <w:sz w:val="16"/>
          <w:szCs w:val="16"/>
          <w:lang w:val="sq-AL"/>
        </w:rPr>
      </w:pPr>
      <w:r w:rsidRPr="00D73B52">
        <w:rPr>
          <w:rFonts w:ascii="Garamond" w:hAnsi="Garamond"/>
          <w:sz w:val="16"/>
          <w:szCs w:val="16"/>
          <w:vertAlign w:val="superscript"/>
          <w:lang w:val="sq-AL"/>
        </w:rPr>
        <w:footnoteRef/>
      </w:r>
      <w:r w:rsidRPr="006D20A2">
        <w:rPr>
          <w:rFonts w:ascii="Garamond" w:hAnsi="Garamond"/>
          <w:sz w:val="16"/>
          <w:szCs w:val="16"/>
          <w:lang w:val="sq-AL"/>
        </w:rPr>
        <w:t xml:space="preserve"> KPP</w:t>
      </w:r>
      <w:r>
        <w:rPr>
          <w:rFonts w:ascii="Garamond" w:hAnsi="Garamond"/>
          <w:sz w:val="16"/>
          <w:szCs w:val="16"/>
          <w:lang w:val="sq-AL"/>
        </w:rPr>
        <w:t>-ja</w:t>
      </w:r>
      <w:r w:rsidRPr="006D20A2">
        <w:rPr>
          <w:rFonts w:ascii="Garamond" w:hAnsi="Garamond"/>
          <w:sz w:val="16"/>
          <w:szCs w:val="16"/>
          <w:lang w:val="sq-AL"/>
        </w:rPr>
        <w:t xml:space="preserve"> është organi më i lartë administrativ për shqyrtimin e ankesave</w:t>
      </w:r>
      <w:r>
        <w:rPr>
          <w:rFonts w:ascii="Garamond" w:hAnsi="Garamond"/>
          <w:sz w:val="16"/>
          <w:szCs w:val="16"/>
          <w:lang w:val="sq-AL"/>
        </w:rPr>
        <w:t>,</w:t>
      </w:r>
      <w:r w:rsidRPr="006D20A2">
        <w:rPr>
          <w:rFonts w:ascii="Garamond" w:hAnsi="Garamond"/>
          <w:sz w:val="16"/>
          <w:szCs w:val="16"/>
          <w:lang w:val="sq-AL"/>
        </w:rPr>
        <w:t xml:space="preserve"> lidhur me procedurat e prokurimit publik, koncesionet/partneritetet publike private, ankandet publike dhe procedurat e konkurrimit për lejet minerare.</w:t>
      </w:r>
    </w:p>
  </w:footnote>
  <w:footnote w:id="52">
    <w:p w14:paraId="2B52B8B7" w14:textId="644EBEF5" w:rsidR="002B3F8E" w:rsidRPr="006D20A2" w:rsidRDefault="002B3F8E" w:rsidP="00E12F43">
      <w:pPr>
        <w:jc w:val="both"/>
        <w:rPr>
          <w:rFonts w:ascii="Garamond" w:hAnsi="Garamond"/>
          <w:sz w:val="16"/>
          <w:szCs w:val="16"/>
        </w:rPr>
      </w:pPr>
      <w:r w:rsidRPr="00D73B52">
        <w:rPr>
          <w:rFonts w:ascii="Garamond" w:hAnsi="Garamond"/>
          <w:sz w:val="16"/>
          <w:szCs w:val="16"/>
          <w:vertAlign w:val="superscript"/>
        </w:rPr>
        <w:footnoteRef/>
      </w:r>
      <w:r w:rsidRPr="006D20A2">
        <w:rPr>
          <w:rFonts w:ascii="Garamond" w:hAnsi="Garamond"/>
          <w:sz w:val="16"/>
          <w:szCs w:val="16"/>
        </w:rPr>
        <w:t xml:space="preserve"> Metodologjia është përgatitur në vitin 2023.</w:t>
      </w:r>
    </w:p>
  </w:footnote>
  <w:footnote w:id="53">
    <w:p w14:paraId="1F85199A" w14:textId="7DAEC9DD" w:rsidR="002B3F8E" w:rsidRPr="006D20A2" w:rsidRDefault="002B3F8E" w:rsidP="00E12F43">
      <w:pPr>
        <w:jc w:val="both"/>
        <w:rPr>
          <w:rFonts w:ascii="Garamond" w:hAnsi="Garamond"/>
          <w:sz w:val="16"/>
          <w:szCs w:val="16"/>
        </w:rPr>
      </w:pPr>
      <w:r w:rsidRPr="00AD1479">
        <w:rPr>
          <w:rFonts w:ascii="Garamond" w:hAnsi="Garamond"/>
          <w:sz w:val="16"/>
          <w:szCs w:val="16"/>
          <w:vertAlign w:val="superscript"/>
        </w:rPr>
        <w:footnoteRef/>
      </w:r>
      <w:r w:rsidRPr="006D20A2">
        <w:rPr>
          <w:rFonts w:ascii="Garamond" w:hAnsi="Garamond"/>
          <w:sz w:val="16"/>
          <w:szCs w:val="16"/>
        </w:rPr>
        <w:t xml:space="preserve"> Gjashtë vende të lira pune.</w:t>
      </w:r>
    </w:p>
  </w:footnote>
  <w:footnote w:id="54">
    <w:p w14:paraId="5033E99C" w14:textId="34A6A663" w:rsidR="002B3F8E" w:rsidRPr="006D20A2" w:rsidRDefault="002B3F8E" w:rsidP="00E12F43">
      <w:pPr>
        <w:jc w:val="both"/>
        <w:rPr>
          <w:rFonts w:ascii="Garamond" w:hAnsi="Garamond"/>
          <w:sz w:val="16"/>
          <w:szCs w:val="16"/>
        </w:rPr>
      </w:pPr>
      <w:r w:rsidRPr="00AD1479">
        <w:rPr>
          <w:rFonts w:ascii="Garamond" w:hAnsi="Garamond"/>
          <w:sz w:val="16"/>
          <w:szCs w:val="16"/>
          <w:vertAlign w:val="superscript"/>
        </w:rPr>
        <w:footnoteRef/>
      </w:r>
      <w:r w:rsidRPr="00AD1479">
        <w:rPr>
          <w:rFonts w:ascii="Garamond" w:hAnsi="Garamond"/>
          <w:sz w:val="16"/>
          <w:szCs w:val="16"/>
          <w:vertAlign w:val="superscript"/>
        </w:rPr>
        <w:t xml:space="preserve"> </w:t>
      </w:r>
      <w:r w:rsidRPr="006D20A2">
        <w:rPr>
          <w:rFonts w:ascii="Garamond" w:hAnsi="Garamond"/>
          <w:sz w:val="16"/>
          <w:szCs w:val="16"/>
        </w:rPr>
        <w:t xml:space="preserve">Trajnimi është ofruar në bashkëpunim me Universitetin e Tiranës dhe organizata të tjera kombëtare dhe ndërkombëtare. 15 inspektorë janë trajnuar 25 orë në vitin 2023 dhe </w:t>
      </w:r>
      <w:r>
        <w:rPr>
          <w:rFonts w:ascii="Garamond" w:hAnsi="Garamond"/>
          <w:sz w:val="16"/>
          <w:szCs w:val="16"/>
        </w:rPr>
        <w:t>i</w:t>
      </w:r>
      <w:r w:rsidRPr="006D20A2">
        <w:rPr>
          <w:rFonts w:ascii="Garamond" w:hAnsi="Garamond"/>
          <w:sz w:val="16"/>
          <w:szCs w:val="16"/>
        </w:rPr>
        <w:t xml:space="preserve"> njëjti trajnim është parashikuar edhe për vitin 2024.</w:t>
      </w:r>
    </w:p>
  </w:footnote>
  <w:footnote w:id="55">
    <w:p w14:paraId="7295D624" w14:textId="04C12F78" w:rsidR="002B3F8E" w:rsidRPr="006D20A2" w:rsidRDefault="002B3F8E" w:rsidP="00E12F43">
      <w:pPr>
        <w:jc w:val="both"/>
        <w:rPr>
          <w:rFonts w:ascii="Garamond" w:hAnsi="Garamond"/>
          <w:sz w:val="16"/>
          <w:szCs w:val="16"/>
        </w:rPr>
      </w:pPr>
      <w:r w:rsidRPr="00AD1479">
        <w:rPr>
          <w:rFonts w:ascii="Garamond" w:hAnsi="Garamond"/>
          <w:sz w:val="16"/>
          <w:szCs w:val="16"/>
          <w:vertAlign w:val="superscript"/>
        </w:rPr>
        <w:footnoteRef/>
      </w:r>
      <w:r w:rsidRPr="006D20A2">
        <w:rPr>
          <w:rFonts w:ascii="Garamond" w:hAnsi="Garamond"/>
          <w:sz w:val="16"/>
          <w:szCs w:val="16"/>
        </w:rPr>
        <w:t xml:space="preserve"> ISO 37001:2016 specifikon kërkesat dhe ofron udhëzime për krijimin, zbatimin, mirëmbajtjen, rishikimin dhe përmirësimin e një sistemi të menaxhimit kundër ryshfetit.</w:t>
      </w:r>
    </w:p>
  </w:footnote>
  <w:footnote w:id="56">
    <w:p w14:paraId="7945266D" w14:textId="3AE9C521" w:rsidR="002B3F8E" w:rsidRPr="006D20A2" w:rsidRDefault="002B3F8E" w:rsidP="001B4E34">
      <w:pPr>
        <w:rPr>
          <w:rFonts w:ascii="Garamond" w:hAnsi="Garamond"/>
          <w:sz w:val="16"/>
          <w:szCs w:val="16"/>
        </w:rPr>
      </w:pPr>
      <w:r w:rsidRPr="00AD1479">
        <w:rPr>
          <w:rFonts w:ascii="Garamond" w:hAnsi="Garamond"/>
          <w:sz w:val="16"/>
          <w:szCs w:val="16"/>
          <w:vertAlign w:val="superscript"/>
        </w:rPr>
        <w:footnoteRef/>
      </w:r>
      <w:r w:rsidRPr="006D20A2">
        <w:rPr>
          <w:rFonts w:ascii="Garamond" w:hAnsi="Garamond"/>
          <w:sz w:val="16"/>
          <w:szCs w:val="16"/>
        </w:rPr>
        <w:t xml:space="preserve"> Raporti vjetor për zbatimin e SMB publikohet që nga viti 2023.</w:t>
      </w:r>
    </w:p>
  </w:footnote>
  <w:footnote w:id="57">
    <w:p w14:paraId="6CE00D78" w14:textId="1DB496BD" w:rsidR="002B3F8E" w:rsidRPr="006D20A2" w:rsidRDefault="002B3F8E" w:rsidP="001B4E34">
      <w:pPr>
        <w:rPr>
          <w:sz w:val="16"/>
          <w:szCs w:val="16"/>
        </w:rPr>
      </w:pPr>
      <w:r w:rsidRPr="00424F1D">
        <w:rPr>
          <w:rFonts w:ascii="Garamond" w:hAnsi="Garamond"/>
          <w:sz w:val="16"/>
          <w:szCs w:val="16"/>
          <w:vertAlign w:val="superscript"/>
        </w:rPr>
        <w:footnoteRef/>
      </w:r>
      <w:r>
        <w:rPr>
          <w:rFonts w:ascii="Garamond" w:hAnsi="Garamond"/>
          <w:sz w:val="16"/>
          <w:szCs w:val="16"/>
        </w:rPr>
        <w:t xml:space="preserve"> </w:t>
      </w:r>
      <w:r w:rsidRPr="006D20A2">
        <w:rPr>
          <w:rFonts w:ascii="Garamond" w:hAnsi="Garamond"/>
          <w:sz w:val="16"/>
          <w:szCs w:val="16"/>
        </w:rPr>
        <w:t>Në veçanti të dhëna për zhvillimet kryesore makroekonomike në vend.</w:t>
      </w:r>
    </w:p>
  </w:footnote>
  <w:footnote w:id="58">
    <w:p w14:paraId="6A71A7C2" w14:textId="18846AD0" w:rsidR="002B3F8E" w:rsidRPr="006D20A2" w:rsidRDefault="002B3F8E" w:rsidP="00F80234">
      <w:pPr>
        <w:rPr>
          <w:rFonts w:ascii="Garamond" w:hAnsi="Garamond"/>
          <w:sz w:val="16"/>
          <w:szCs w:val="16"/>
        </w:rPr>
      </w:pPr>
      <w:r w:rsidRPr="00424F1D">
        <w:rPr>
          <w:rFonts w:ascii="Garamond" w:hAnsi="Garamond"/>
          <w:sz w:val="16"/>
          <w:szCs w:val="16"/>
          <w:vertAlign w:val="superscript"/>
        </w:rPr>
        <w:footnoteRef/>
      </w:r>
      <w:r w:rsidRPr="006D20A2">
        <w:rPr>
          <w:rFonts w:ascii="Garamond" w:hAnsi="Garamond"/>
          <w:sz w:val="16"/>
          <w:szCs w:val="16"/>
        </w:rPr>
        <w:t xml:space="preserve"> Kuadri VRK i zbatuar për rastet e reja të operacioneve të garancisë ose huadhënies.</w:t>
      </w:r>
    </w:p>
  </w:footnote>
  <w:footnote w:id="59">
    <w:p w14:paraId="253D9E5C" w14:textId="195C740B" w:rsidR="002B3F8E" w:rsidRPr="006D20A2" w:rsidRDefault="002B3F8E" w:rsidP="00F80234">
      <w:pPr>
        <w:rPr>
          <w:sz w:val="16"/>
          <w:szCs w:val="16"/>
        </w:rPr>
      </w:pPr>
      <w:r w:rsidRPr="00424F1D">
        <w:rPr>
          <w:rFonts w:ascii="Garamond" w:hAnsi="Garamond"/>
          <w:sz w:val="16"/>
          <w:szCs w:val="16"/>
          <w:vertAlign w:val="superscript"/>
        </w:rPr>
        <w:footnoteRef/>
      </w:r>
      <w:r w:rsidRPr="006D20A2">
        <w:rPr>
          <w:rFonts w:ascii="Garamond" w:hAnsi="Garamond"/>
          <w:sz w:val="16"/>
          <w:szCs w:val="16"/>
        </w:rPr>
        <w:t xml:space="preserve"> Sugjeruar nga Banka Botërore </w:t>
      </w:r>
      <w:r w:rsidRPr="006D20A2">
        <w:rPr>
          <w:rFonts w:ascii="Garamond" w:hAnsi="Garamond"/>
          <w:i/>
          <w:sz w:val="16"/>
          <w:szCs w:val="16"/>
        </w:rPr>
        <w:t>Aide Memoire</w:t>
      </w:r>
      <w:r w:rsidRPr="006D20A2">
        <w:rPr>
          <w:rFonts w:ascii="Garamond" w:hAnsi="Garamond"/>
          <w:sz w:val="16"/>
          <w:szCs w:val="16"/>
        </w:rPr>
        <w:t>, shtator 2023.</w:t>
      </w:r>
    </w:p>
  </w:footnote>
  <w:footnote w:id="60">
    <w:p w14:paraId="47F103F1" w14:textId="3D9EB93A" w:rsidR="002B3F8E" w:rsidRPr="006D20A2" w:rsidRDefault="002B3F8E" w:rsidP="00021BAD">
      <w:pPr>
        <w:rPr>
          <w:rFonts w:ascii="Garamond" w:hAnsi="Garamond"/>
          <w:sz w:val="16"/>
          <w:szCs w:val="16"/>
        </w:rPr>
      </w:pPr>
      <w:r w:rsidRPr="00500AEA">
        <w:rPr>
          <w:rFonts w:ascii="Garamond" w:hAnsi="Garamond"/>
          <w:sz w:val="16"/>
          <w:szCs w:val="16"/>
          <w:vertAlign w:val="superscript"/>
        </w:rPr>
        <w:footnoteRef/>
      </w:r>
      <w:r w:rsidRPr="006D20A2">
        <w:rPr>
          <w:rFonts w:ascii="Garamond" w:hAnsi="Garamond"/>
          <w:sz w:val="16"/>
          <w:szCs w:val="16"/>
        </w:rPr>
        <w:t xml:space="preserve"> Udhëzimi nr. 40, përfshirë inventarizimin dhe vlerësimin e aseteve publike</w:t>
      </w:r>
    </w:p>
  </w:footnote>
  <w:footnote w:id="61">
    <w:p w14:paraId="04310A33" w14:textId="0653DE96" w:rsidR="002B3F8E" w:rsidRPr="006D20A2" w:rsidRDefault="002B3F8E" w:rsidP="00350919">
      <w:pPr>
        <w:jc w:val="both"/>
        <w:rPr>
          <w:rFonts w:ascii="Garamond" w:hAnsi="Garamond"/>
          <w:sz w:val="16"/>
          <w:szCs w:val="16"/>
        </w:rPr>
      </w:pPr>
      <w:r w:rsidRPr="00500AEA">
        <w:rPr>
          <w:rFonts w:ascii="Garamond" w:hAnsi="Garamond"/>
          <w:sz w:val="16"/>
          <w:szCs w:val="16"/>
          <w:vertAlign w:val="superscript"/>
        </w:rPr>
        <w:footnoteRef/>
      </w:r>
      <w:r w:rsidRPr="006D20A2">
        <w:rPr>
          <w:rFonts w:ascii="Garamond" w:hAnsi="Garamond"/>
          <w:sz w:val="16"/>
          <w:szCs w:val="16"/>
        </w:rPr>
        <w:t xml:space="preserve"> Ligji nr. 110, datë 15.10.2015</w:t>
      </w:r>
      <w:r>
        <w:rPr>
          <w:rFonts w:ascii="Garamond" w:hAnsi="Garamond"/>
          <w:sz w:val="16"/>
          <w:szCs w:val="16"/>
        </w:rPr>
        <w:t>,</w:t>
      </w:r>
      <w:r w:rsidRPr="006D20A2">
        <w:rPr>
          <w:rFonts w:ascii="Garamond" w:hAnsi="Garamond"/>
          <w:sz w:val="16"/>
          <w:szCs w:val="16"/>
        </w:rPr>
        <w:t xml:space="preserve"> “Për menaxhimin financiar dhe kontrollin”.</w:t>
      </w:r>
    </w:p>
  </w:footnote>
  <w:footnote w:id="62">
    <w:p w14:paraId="6860EB3D" w14:textId="5A8ED8B0" w:rsidR="002B3F8E" w:rsidRPr="006D20A2" w:rsidRDefault="002B3F8E" w:rsidP="00350919">
      <w:pPr>
        <w:jc w:val="both"/>
        <w:rPr>
          <w:rFonts w:ascii="Garamond" w:hAnsi="Garamond"/>
          <w:sz w:val="16"/>
          <w:szCs w:val="16"/>
        </w:rPr>
      </w:pPr>
      <w:r w:rsidRPr="00500AEA">
        <w:rPr>
          <w:rFonts w:ascii="Garamond" w:hAnsi="Garamond"/>
          <w:sz w:val="16"/>
          <w:szCs w:val="16"/>
          <w:vertAlign w:val="superscript"/>
        </w:rPr>
        <w:footnoteRef/>
      </w:r>
      <w:r w:rsidRPr="006D20A2">
        <w:rPr>
          <w:rFonts w:ascii="Garamond" w:hAnsi="Garamond"/>
          <w:sz w:val="16"/>
          <w:szCs w:val="16"/>
        </w:rPr>
        <w:t xml:space="preserve"> https://financa.gov.al/wp-content/uploads/2018/06/Manuali_i_MFK_2016_1.pdf</w:t>
      </w:r>
      <w:r>
        <w:rPr>
          <w:rFonts w:ascii="Garamond" w:hAnsi="Garamond"/>
          <w:sz w:val="16"/>
          <w:szCs w:val="16"/>
        </w:rPr>
        <w:t>.</w:t>
      </w:r>
    </w:p>
  </w:footnote>
  <w:footnote w:id="63">
    <w:p w14:paraId="692D8383" w14:textId="2D7B731E" w:rsidR="002B3F8E" w:rsidRPr="006D20A2" w:rsidRDefault="002B3F8E" w:rsidP="00350919">
      <w:pPr>
        <w:jc w:val="both"/>
        <w:rPr>
          <w:sz w:val="16"/>
          <w:szCs w:val="16"/>
        </w:rPr>
      </w:pPr>
      <w:r w:rsidRPr="00500AEA">
        <w:rPr>
          <w:rFonts w:ascii="Garamond" w:hAnsi="Garamond"/>
          <w:sz w:val="16"/>
          <w:szCs w:val="16"/>
          <w:vertAlign w:val="superscript"/>
        </w:rPr>
        <w:footnoteRef/>
      </w:r>
      <w:r w:rsidRPr="006D20A2">
        <w:rPr>
          <w:rFonts w:ascii="Garamond" w:hAnsi="Garamond"/>
          <w:sz w:val="16"/>
          <w:szCs w:val="16"/>
        </w:rPr>
        <w:t xml:space="preserve"> https://financa.gov.al/pyetesori-i-vetevleresimit-per-vitin-2018-per-komponentet-e-menaxhimit-financiar-dhe-kontrollit/.</w:t>
      </w:r>
    </w:p>
  </w:footnote>
  <w:footnote w:id="64">
    <w:p w14:paraId="121B1834" w14:textId="46F14A67" w:rsidR="002B3F8E" w:rsidRPr="006D20A2" w:rsidRDefault="002B3F8E" w:rsidP="00AC5EAE">
      <w:pPr>
        <w:jc w:val="both"/>
        <w:rPr>
          <w:rFonts w:ascii="Garamond" w:hAnsi="Garamond"/>
          <w:sz w:val="16"/>
          <w:szCs w:val="16"/>
        </w:rPr>
      </w:pPr>
      <w:r w:rsidRPr="002645BF">
        <w:rPr>
          <w:rFonts w:ascii="Garamond" w:hAnsi="Garamond"/>
          <w:sz w:val="16"/>
          <w:szCs w:val="16"/>
          <w:vertAlign w:val="superscript"/>
        </w:rPr>
        <w:footnoteRef/>
      </w:r>
      <w:r w:rsidRPr="006D20A2">
        <w:rPr>
          <w:rFonts w:ascii="Garamond" w:hAnsi="Garamond"/>
          <w:sz w:val="16"/>
          <w:szCs w:val="16"/>
        </w:rPr>
        <w:t xml:space="preserve"> Raporti i Progresit SIGMA për Shqipërinë.</w:t>
      </w:r>
    </w:p>
  </w:footnote>
  <w:footnote w:id="65">
    <w:p w14:paraId="347C2DAD" w14:textId="4263688F" w:rsidR="002B3F8E" w:rsidRPr="006D20A2" w:rsidRDefault="002B3F8E" w:rsidP="00AC5EAE">
      <w:pPr>
        <w:jc w:val="both"/>
        <w:rPr>
          <w:rFonts w:ascii="Garamond" w:hAnsi="Garamond"/>
          <w:sz w:val="16"/>
          <w:szCs w:val="16"/>
        </w:rPr>
      </w:pPr>
      <w:r w:rsidRPr="002645BF">
        <w:rPr>
          <w:rFonts w:ascii="Garamond" w:hAnsi="Garamond"/>
          <w:sz w:val="16"/>
          <w:szCs w:val="16"/>
          <w:vertAlign w:val="superscript"/>
        </w:rPr>
        <w:footnoteRef/>
      </w:r>
      <w:r w:rsidRPr="002645BF">
        <w:rPr>
          <w:rFonts w:ascii="Garamond" w:hAnsi="Garamond"/>
          <w:sz w:val="16"/>
          <w:szCs w:val="16"/>
          <w:vertAlign w:val="superscript"/>
        </w:rPr>
        <w:t xml:space="preserve"> </w:t>
      </w:r>
      <w:r w:rsidRPr="006D20A2">
        <w:rPr>
          <w:rFonts w:ascii="Garamond" w:hAnsi="Garamond"/>
          <w:sz w:val="16"/>
          <w:szCs w:val="16"/>
        </w:rPr>
        <w:t xml:space="preserve">Për t’u dakordësuar. Projekti i financuar nga SECO për financat lokale gjithashtu ofron mbështetje në këtë fushë. </w:t>
      </w:r>
    </w:p>
  </w:footnote>
  <w:footnote w:id="66">
    <w:p w14:paraId="1AF114D3" w14:textId="45A3FD5A" w:rsidR="002B3F8E" w:rsidRPr="006D20A2" w:rsidRDefault="002B3F8E" w:rsidP="00AC5EAE">
      <w:pPr>
        <w:jc w:val="both"/>
        <w:rPr>
          <w:rFonts w:ascii="Garamond" w:hAnsi="Garamond"/>
          <w:sz w:val="16"/>
          <w:szCs w:val="16"/>
        </w:rPr>
      </w:pPr>
      <w:r w:rsidRPr="002645BF">
        <w:rPr>
          <w:rFonts w:ascii="Garamond" w:hAnsi="Garamond"/>
          <w:sz w:val="16"/>
          <w:szCs w:val="16"/>
          <w:vertAlign w:val="superscript"/>
        </w:rPr>
        <w:footnoteRef/>
      </w:r>
      <w:r w:rsidRPr="006D20A2">
        <w:rPr>
          <w:rFonts w:ascii="Garamond" w:hAnsi="Garamond"/>
          <w:sz w:val="16"/>
          <w:szCs w:val="16"/>
        </w:rPr>
        <w:t xml:space="preserve"> Udhëzimi nr. 4, datë 29.1.2020, “Për delegimin e të drejtave dhe detyrave në njësitë e qeverisjes së përgjithshme”.</w:t>
      </w:r>
    </w:p>
  </w:footnote>
  <w:footnote w:id="67">
    <w:p w14:paraId="2DB8A75D" w14:textId="785D9523" w:rsidR="002B3F8E" w:rsidRPr="006D20A2" w:rsidRDefault="002B3F8E" w:rsidP="00AC5EAE">
      <w:pPr>
        <w:jc w:val="both"/>
        <w:rPr>
          <w:rFonts w:ascii="Garamond" w:hAnsi="Garamond"/>
          <w:sz w:val="16"/>
          <w:szCs w:val="16"/>
        </w:rPr>
      </w:pPr>
      <w:r w:rsidRPr="002645BF">
        <w:rPr>
          <w:rFonts w:ascii="Garamond" w:hAnsi="Garamond"/>
          <w:sz w:val="16"/>
          <w:szCs w:val="16"/>
          <w:vertAlign w:val="superscript"/>
        </w:rPr>
        <w:footnoteRef/>
      </w:r>
      <w:r w:rsidRPr="006D20A2">
        <w:rPr>
          <w:rFonts w:ascii="Garamond" w:hAnsi="Garamond"/>
          <w:sz w:val="16"/>
          <w:szCs w:val="16"/>
        </w:rPr>
        <w:t xml:space="preserve"> BE ka planifikuar mbështetje në bashkëpunim me SIGMA</w:t>
      </w:r>
      <w:r>
        <w:rPr>
          <w:rFonts w:ascii="Garamond" w:hAnsi="Garamond"/>
          <w:sz w:val="16"/>
          <w:szCs w:val="16"/>
        </w:rPr>
        <w:t>-n</w:t>
      </w:r>
      <w:r w:rsidRPr="006D20A2">
        <w:rPr>
          <w:rFonts w:ascii="Garamond" w:hAnsi="Garamond"/>
          <w:sz w:val="16"/>
          <w:szCs w:val="16"/>
        </w:rPr>
        <w:t>. Projekti i financuar nga SECO për financat lokale</w:t>
      </w:r>
      <w:r>
        <w:rPr>
          <w:rFonts w:ascii="Garamond" w:hAnsi="Garamond"/>
          <w:sz w:val="16"/>
          <w:szCs w:val="16"/>
        </w:rPr>
        <w:t>,</w:t>
      </w:r>
      <w:r w:rsidRPr="006D20A2">
        <w:rPr>
          <w:rFonts w:ascii="Garamond" w:hAnsi="Garamond"/>
          <w:sz w:val="16"/>
          <w:szCs w:val="16"/>
        </w:rPr>
        <w:t xml:space="preserve"> gjithashtu</w:t>
      </w:r>
      <w:r>
        <w:rPr>
          <w:rFonts w:ascii="Garamond" w:hAnsi="Garamond"/>
          <w:sz w:val="16"/>
          <w:szCs w:val="16"/>
        </w:rPr>
        <w:t>,</w:t>
      </w:r>
      <w:r w:rsidRPr="006D20A2">
        <w:rPr>
          <w:rFonts w:ascii="Garamond" w:hAnsi="Garamond"/>
          <w:sz w:val="16"/>
          <w:szCs w:val="16"/>
        </w:rPr>
        <w:t xml:space="preserve"> ofron mbështetje në këtë fushë. </w:t>
      </w:r>
    </w:p>
  </w:footnote>
  <w:footnote w:id="68">
    <w:p w14:paraId="1FF963EB" w14:textId="167B725D" w:rsidR="002B3F8E" w:rsidRPr="006D20A2" w:rsidRDefault="002B3F8E" w:rsidP="00FE42D4">
      <w:pPr>
        <w:jc w:val="both"/>
        <w:rPr>
          <w:rFonts w:ascii="Garamond" w:hAnsi="Garamond"/>
          <w:sz w:val="16"/>
          <w:szCs w:val="16"/>
        </w:rPr>
      </w:pPr>
      <w:r w:rsidRPr="002645BF">
        <w:rPr>
          <w:rFonts w:ascii="Garamond" w:hAnsi="Garamond"/>
          <w:sz w:val="16"/>
          <w:szCs w:val="16"/>
          <w:vertAlign w:val="superscript"/>
        </w:rPr>
        <w:footnoteRef/>
      </w:r>
      <w:r w:rsidRPr="006D20A2">
        <w:rPr>
          <w:rFonts w:ascii="Garamond" w:hAnsi="Garamond"/>
          <w:sz w:val="16"/>
          <w:szCs w:val="16"/>
        </w:rPr>
        <w:t xml:space="preserve"> Projekti i financuar nga SECO për financat lokale</w:t>
      </w:r>
      <w:r>
        <w:rPr>
          <w:rFonts w:ascii="Garamond" w:hAnsi="Garamond"/>
          <w:sz w:val="16"/>
          <w:szCs w:val="16"/>
        </w:rPr>
        <w:t>,</w:t>
      </w:r>
      <w:r w:rsidRPr="006D20A2">
        <w:rPr>
          <w:rFonts w:ascii="Garamond" w:hAnsi="Garamond"/>
          <w:sz w:val="16"/>
          <w:szCs w:val="16"/>
        </w:rPr>
        <w:t xml:space="preserve"> gjithashtu</w:t>
      </w:r>
      <w:r>
        <w:rPr>
          <w:rFonts w:ascii="Garamond" w:hAnsi="Garamond"/>
          <w:sz w:val="16"/>
          <w:szCs w:val="16"/>
        </w:rPr>
        <w:t>,</w:t>
      </w:r>
      <w:r w:rsidRPr="006D20A2">
        <w:rPr>
          <w:rFonts w:ascii="Garamond" w:hAnsi="Garamond"/>
          <w:sz w:val="16"/>
          <w:szCs w:val="16"/>
        </w:rPr>
        <w:t xml:space="preserve"> ofron mbështetje në këtë fushë.</w:t>
      </w:r>
    </w:p>
  </w:footnote>
  <w:footnote w:id="69">
    <w:p w14:paraId="3D7AECA3" w14:textId="5A28AFB8" w:rsidR="002B3F8E" w:rsidRPr="006D20A2" w:rsidRDefault="002B3F8E" w:rsidP="00FE42D4">
      <w:pPr>
        <w:jc w:val="both"/>
        <w:rPr>
          <w:sz w:val="16"/>
          <w:szCs w:val="16"/>
        </w:rPr>
      </w:pPr>
      <w:r w:rsidRPr="00F853EB">
        <w:rPr>
          <w:rFonts w:ascii="Garamond" w:hAnsi="Garamond"/>
          <w:sz w:val="16"/>
          <w:szCs w:val="16"/>
          <w:vertAlign w:val="superscript"/>
        </w:rPr>
        <w:footnoteRef/>
      </w:r>
      <w:r w:rsidRPr="006D20A2">
        <w:rPr>
          <w:rFonts w:ascii="Garamond" w:hAnsi="Garamond"/>
          <w:sz w:val="16"/>
          <w:szCs w:val="16"/>
        </w:rPr>
        <w:t xml:space="preserve"> Rishikimi i efektivitetit të ligjit të MFK-së</w:t>
      </w:r>
      <w:r>
        <w:rPr>
          <w:rFonts w:ascii="Garamond" w:hAnsi="Garamond"/>
          <w:sz w:val="16"/>
          <w:szCs w:val="16"/>
        </w:rPr>
        <w:t>,</w:t>
      </w:r>
      <w:r w:rsidRPr="006D20A2">
        <w:rPr>
          <w:rFonts w:ascii="Garamond" w:hAnsi="Garamond"/>
          <w:sz w:val="16"/>
          <w:szCs w:val="16"/>
        </w:rPr>
        <w:t xml:space="preserve"> si dhe harmonizimi i nevojshëm me ligjet e tjera dhe përgatitja e ndryshimeve nëse është e nevojshme.</w:t>
      </w:r>
    </w:p>
  </w:footnote>
  <w:footnote w:id="70">
    <w:p w14:paraId="2FD500E2" w14:textId="2BAC47AA" w:rsidR="002B3F8E" w:rsidRPr="006D20A2" w:rsidRDefault="002B3F8E" w:rsidP="00FE42D4">
      <w:pPr>
        <w:jc w:val="both"/>
        <w:rPr>
          <w:rFonts w:ascii="Garamond" w:hAnsi="Garamond"/>
          <w:sz w:val="16"/>
          <w:szCs w:val="16"/>
        </w:rPr>
      </w:pPr>
      <w:r w:rsidRPr="00F853EB">
        <w:rPr>
          <w:rFonts w:ascii="Garamond" w:hAnsi="Garamond"/>
          <w:sz w:val="16"/>
          <w:szCs w:val="16"/>
          <w:vertAlign w:val="superscript"/>
        </w:rPr>
        <w:footnoteRef/>
      </w:r>
      <w:r w:rsidRPr="006D20A2">
        <w:rPr>
          <w:rFonts w:ascii="Garamond" w:hAnsi="Garamond"/>
          <w:sz w:val="16"/>
          <w:szCs w:val="16"/>
        </w:rPr>
        <w:t xml:space="preserve"> Për t’u dakordësuar.</w:t>
      </w:r>
    </w:p>
  </w:footnote>
  <w:footnote w:id="71">
    <w:p w14:paraId="198FA583" w14:textId="0B461084" w:rsidR="002B3F8E" w:rsidRPr="006D20A2" w:rsidRDefault="002B3F8E" w:rsidP="00FE42D4">
      <w:pPr>
        <w:jc w:val="both"/>
        <w:rPr>
          <w:rFonts w:ascii="Garamond" w:hAnsi="Garamond"/>
          <w:sz w:val="16"/>
          <w:szCs w:val="16"/>
        </w:rPr>
      </w:pPr>
      <w:r w:rsidRPr="00F853EB">
        <w:rPr>
          <w:rFonts w:ascii="Garamond" w:hAnsi="Garamond"/>
          <w:sz w:val="16"/>
          <w:szCs w:val="16"/>
          <w:vertAlign w:val="superscript"/>
        </w:rPr>
        <w:footnoteRef/>
      </w:r>
      <w:r w:rsidRPr="006D20A2">
        <w:rPr>
          <w:rFonts w:ascii="Garamond" w:hAnsi="Garamond"/>
          <w:sz w:val="16"/>
          <w:szCs w:val="16"/>
        </w:rPr>
        <w:t xml:space="preserve"> Standardet e reja NAB do të publikohen në janar 2024 dhe do të hyjnë në fuqi në janar 2025.</w:t>
      </w:r>
    </w:p>
  </w:footnote>
  <w:footnote w:id="72">
    <w:p w14:paraId="7C9E24FD" w14:textId="0B7E57FD" w:rsidR="002B3F8E" w:rsidRPr="006D20A2" w:rsidRDefault="002B3F8E" w:rsidP="00FE42D4">
      <w:pPr>
        <w:jc w:val="both"/>
        <w:rPr>
          <w:sz w:val="16"/>
          <w:szCs w:val="16"/>
        </w:rPr>
      </w:pPr>
      <w:r w:rsidRPr="00F853EB">
        <w:rPr>
          <w:rFonts w:ascii="Garamond" w:hAnsi="Garamond"/>
          <w:sz w:val="16"/>
          <w:szCs w:val="16"/>
          <w:vertAlign w:val="superscript"/>
        </w:rPr>
        <w:footnoteRef/>
      </w:r>
      <w:r w:rsidRPr="006D20A2">
        <w:rPr>
          <w:rFonts w:ascii="Garamond" w:hAnsi="Garamond"/>
          <w:sz w:val="16"/>
          <w:szCs w:val="16"/>
        </w:rPr>
        <w:t xml:space="preserve"> Aktualisht, janë identifikuar temat e mëposhtme të trajnimit: auditimi i performancës, auditimi bazë i TI-së, auditimi i projektit. Prezantimi i auditimeve gjithëpërfshirëse të TI-së për subjektet publike që operojnë në një mjedis kompleks të TI-së është identifikuar</w:t>
      </w:r>
      <w:r>
        <w:rPr>
          <w:rFonts w:ascii="Garamond" w:hAnsi="Garamond"/>
          <w:sz w:val="16"/>
          <w:szCs w:val="16"/>
        </w:rPr>
        <w:t>,</w:t>
      </w:r>
      <w:r w:rsidRPr="006D20A2">
        <w:rPr>
          <w:rFonts w:ascii="Garamond" w:hAnsi="Garamond"/>
          <w:sz w:val="16"/>
          <w:szCs w:val="16"/>
        </w:rPr>
        <w:t xml:space="preserve"> gjithashtu</w:t>
      </w:r>
      <w:r>
        <w:rPr>
          <w:rFonts w:ascii="Garamond" w:hAnsi="Garamond"/>
          <w:sz w:val="16"/>
          <w:szCs w:val="16"/>
        </w:rPr>
        <w:t>,</w:t>
      </w:r>
      <w:r w:rsidRPr="006D20A2">
        <w:rPr>
          <w:rFonts w:ascii="Garamond" w:hAnsi="Garamond"/>
          <w:sz w:val="16"/>
          <w:szCs w:val="16"/>
        </w:rPr>
        <w:t xml:space="preserve"> si nevojë dhe është parashikuar për periudhën 2027</w:t>
      </w:r>
      <w:r>
        <w:rPr>
          <w:rFonts w:ascii="Garamond" w:hAnsi="Garamond"/>
          <w:sz w:val="16"/>
          <w:szCs w:val="16"/>
        </w:rPr>
        <w:t>–</w:t>
      </w:r>
      <w:r w:rsidRPr="006D20A2">
        <w:rPr>
          <w:rFonts w:ascii="Garamond" w:hAnsi="Garamond"/>
          <w:sz w:val="16"/>
          <w:szCs w:val="16"/>
        </w:rPr>
        <w:t>2030.</w:t>
      </w:r>
    </w:p>
  </w:footnote>
  <w:footnote w:id="73">
    <w:p w14:paraId="59FE096D" w14:textId="3FA8B508" w:rsidR="002B3F8E" w:rsidRPr="006D20A2" w:rsidRDefault="002B3F8E" w:rsidP="004719D2">
      <w:pPr>
        <w:pStyle w:val="FootnoteText"/>
        <w:spacing w:line="200" w:lineRule="exact"/>
        <w:ind w:left="284" w:hanging="284"/>
        <w:jc w:val="both"/>
        <w:rPr>
          <w:rFonts w:ascii="Garamond" w:hAnsi="Garamond"/>
          <w:sz w:val="16"/>
          <w:szCs w:val="16"/>
          <w:lang w:val="sq-AL"/>
        </w:rPr>
      </w:pPr>
      <w:r w:rsidRPr="006D20A2">
        <w:rPr>
          <w:rFonts w:ascii="Garamond" w:hAnsi="Garamond"/>
          <w:sz w:val="16"/>
          <w:szCs w:val="16"/>
          <w:vertAlign w:val="superscript"/>
          <w:lang w:val="sq-AL"/>
        </w:rPr>
        <w:footnoteRef/>
      </w:r>
      <w:r w:rsidRPr="006D20A2">
        <w:rPr>
          <w:rFonts w:ascii="Garamond" w:hAnsi="Garamond"/>
          <w:sz w:val="16"/>
          <w:szCs w:val="16"/>
          <w:lang w:val="sq-AL"/>
        </w:rPr>
        <w:t xml:space="preserve"> </w:t>
      </w:r>
      <w:r w:rsidRPr="006D20A2">
        <w:rPr>
          <w:rFonts w:ascii="Garamond" w:hAnsi="Garamond"/>
          <w:sz w:val="16"/>
          <w:szCs w:val="16"/>
          <w:lang w:val="sq-AL"/>
        </w:rPr>
        <w:tab/>
        <w:t>Ligji nr. 112, datë 15.10.2015</w:t>
      </w:r>
      <w:r>
        <w:rPr>
          <w:rFonts w:ascii="Garamond" w:hAnsi="Garamond"/>
          <w:sz w:val="16"/>
          <w:szCs w:val="16"/>
          <w:lang w:val="sq-AL"/>
        </w:rPr>
        <w:t>,</w:t>
      </w:r>
      <w:r w:rsidRPr="006D20A2">
        <w:rPr>
          <w:rFonts w:ascii="Garamond" w:hAnsi="Garamond"/>
          <w:sz w:val="16"/>
          <w:szCs w:val="16"/>
          <w:lang w:val="sq-AL"/>
        </w:rPr>
        <w:t xml:space="preserve"> “Për inspektimin financiar”</w:t>
      </w:r>
      <w:r>
        <w:rPr>
          <w:rFonts w:ascii="Garamond" w:hAnsi="Garamond"/>
          <w:sz w:val="16"/>
          <w:szCs w:val="16"/>
          <w:lang w:val="sq-AL"/>
        </w:rPr>
        <w:t>.</w:t>
      </w:r>
    </w:p>
  </w:footnote>
  <w:footnote w:id="74">
    <w:p w14:paraId="01BC7CD5" w14:textId="5D6ABF40" w:rsidR="002B3F8E" w:rsidRPr="006D20A2" w:rsidRDefault="002B3F8E" w:rsidP="008438A2">
      <w:pPr>
        <w:jc w:val="both"/>
        <w:rPr>
          <w:rFonts w:ascii="Garamond" w:hAnsi="Garamond"/>
          <w:sz w:val="16"/>
          <w:szCs w:val="16"/>
        </w:rPr>
      </w:pPr>
      <w:r w:rsidRPr="004E7351">
        <w:rPr>
          <w:rFonts w:ascii="Garamond" w:hAnsi="Garamond"/>
          <w:sz w:val="16"/>
          <w:szCs w:val="16"/>
          <w:vertAlign w:val="superscript"/>
        </w:rPr>
        <w:footnoteRef/>
      </w:r>
      <w:r w:rsidRPr="006D20A2">
        <w:rPr>
          <w:rFonts w:ascii="Garamond" w:hAnsi="Garamond"/>
          <w:sz w:val="16"/>
          <w:szCs w:val="16"/>
        </w:rPr>
        <w:t xml:space="preserve"> Për t’u dakordësuar. ZEKM</w:t>
      </w:r>
      <w:r>
        <w:rPr>
          <w:rFonts w:ascii="Garamond" w:hAnsi="Garamond"/>
          <w:sz w:val="16"/>
          <w:szCs w:val="16"/>
        </w:rPr>
        <w:t>-ja</w:t>
      </w:r>
      <w:r w:rsidRPr="006D20A2">
        <w:rPr>
          <w:rFonts w:ascii="Garamond" w:hAnsi="Garamond"/>
          <w:sz w:val="16"/>
          <w:szCs w:val="16"/>
        </w:rPr>
        <w:t xml:space="preserve"> mund të ofrojë mbështetje për të forcuar funksionin e koordinimit të ShKKM</w:t>
      </w:r>
      <w:r>
        <w:rPr>
          <w:rFonts w:ascii="Garamond" w:hAnsi="Garamond"/>
          <w:sz w:val="16"/>
          <w:szCs w:val="16"/>
        </w:rPr>
        <w:t>-së.</w:t>
      </w:r>
      <w:r w:rsidRPr="006D20A2">
        <w:rPr>
          <w:rFonts w:ascii="Garamond" w:hAnsi="Garamond"/>
          <w:sz w:val="16"/>
          <w:szCs w:val="16"/>
        </w:rPr>
        <w:t xml:space="preserve"> nëpërmjet angazhimit të saj të rregullt me MF</w:t>
      </w:r>
      <w:r>
        <w:rPr>
          <w:rFonts w:ascii="Garamond" w:hAnsi="Garamond"/>
          <w:sz w:val="16"/>
          <w:szCs w:val="16"/>
        </w:rPr>
        <w:t>–</w:t>
      </w:r>
      <w:r w:rsidRPr="006D20A2">
        <w:rPr>
          <w:rFonts w:ascii="Garamond" w:hAnsi="Garamond"/>
          <w:sz w:val="16"/>
          <w:szCs w:val="16"/>
        </w:rPr>
        <w:t>DIFP.</w:t>
      </w:r>
    </w:p>
  </w:footnote>
  <w:footnote w:id="75">
    <w:p w14:paraId="370DAFE0" w14:textId="211710DC" w:rsidR="002B3F8E" w:rsidRPr="006D20A2" w:rsidRDefault="002B3F8E" w:rsidP="008438A2">
      <w:pPr>
        <w:jc w:val="both"/>
        <w:rPr>
          <w:sz w:val="16"/>
          <w:szCs w:val="16"/>
        </w:rPr>
      </w:pPr>
      <w:r w:rsidRPr="004E7351">
        <w:rPr>
          <w:rFonts w:ascii="Garamond" w:hAnsi="Garamond"/>
          <w:sz w:val="16"/>
          <w:szCs w:val="16"/>
          <w:vertAlign w:val="superscript"/>
        </w:rPr>
        <w:footnoteRef/>
      </w:r>
      <w:r>
        <w:rPr>
          <w:rFonts w:ascii="Garamond" w:hAnsi="Garamond"/>
          <w:sz w:val="16"/>
          <w:szCs w:val="16"/>
        </w:rPr>
        <w:t xml:space="preserve"> </w:t>
      </w:r>
      <w:r w:rsidRPr="006D20A2">
        <w:rPr>
          <w:rFonts w:ascii="Garamond" w:hAnsi="Garamond"/>
          <w:sz w:val="16"/>
          <w:szCs w:val="16"/>
        </w:rPr>
        <w:t xml:space="preserve">Ligji </w:t>
      </w:r>
      <w:r>
        <w:rPr>
          <w:rFonts w:ascii="Garamond" w:hAnsi="Garamond"/>
          <w:sz w:val="16"/>
          <w:szCs w:val="16"/>
        </w:rPr>
        <w:t xml:space="preserve">nr. </w:t>
      </w:r>
      <w:r w:rsidRPr="006D20A2">
        <w:rPr>
          <w:rFonts w:ascii="Garamond" w:hAnsi="Garamond"/>
          <w:sz w:val="16"/>
          <w:szCs w:val="16"/>
        </w:rPr>
        <w:t>65/2022</w:t>
      </w:r>
      <w:r>
        <w:rPr>
          <w:rFonts w:ascii="Garamond" w:hAnsi="Garamond"/>
          <w:sz w:val="16"/>
          <w:szCs w:val="16"/>
        </w:rPr>
        <w:t>.</w:t>
      </w:r>
    </w:p>
  </w:footnote>
  <w:footnote w:id="76">
    <w:p w14:paraId="2320FC92" w14:textId="386A76E7" w:rsidR="002B3F8E" w:rsidRPr="006D20A2" w:rsidRDefault="002B3F8E" w:rsidP="000D6E78">
      <w:pPr>
        <w:jc w:val="both"/>
        <w:rPr>
          <w:rFonts w:ascii="Garamond" w:hAnsi="Garamond"/>
          <w:sz w:val="16"/>
          <w:szCs w:val="16"/>
        </w:rPr>
      </w:pPr>
      <w:r w:rsidRPr="004E7351">
        <w:rPr>
          <w:rFonts w:ascii="Garamond" w:hAnsi="Garamond"/>
          <w:sz w:val="16"/>
          <w:szCs w:val="16"/>
          <w:vertAlign w:val="superscript"/>
        </w:rPr>
        <w:footnoteRef/>
      </w:r>
      <w:r>
        <w:rPr>
          <w:rFonts w:ascii="Garamond" w:hAnsi="Garamond"/>
          <w:sz w:val="16"/>
          <w:szCs w:val="16"/>
        </w:rPr>
        <w:t xml:space="preserve"> </w:t>
      </w:r>
      <w:r w:rsidRPr="006D20A2">
        <w:rPr>
          <w:rFonts w:ascii="Garamond" w:hAnsi="Garamond"/>
          <w:sz w:val="16"/>
          <w:szCs w:val="16"/>
        </w:rPr>
        <w:t>Në përputhje me Marrëveshjen Kuadër të Partneritetit Financiar ndërmjet Komisionit Evropian dhe Republikës së Shqipërisë”</w:t>
      </w:r>
      <w:r>
        <w:rPr>
          <w:rFonts w:ascii="Garamond" w:hAnsi="Garamond"/>
          <w:sz w:val="16"/>
          <w:szCs w:val="16"/>
        </w:rPr>
        <w:t>.</w:t>
      </w:r>
    </w:p>
  </w:footnote>
  <w:footnote w:id="77">
    <w:p w14:paraId="43862F80" w14:textId="32D50AA4" w:rsidR="002B3F8E" w:rsidRPr="006D3D02" w:rsidRDefault="002B3F8E" w:rsidP="00921C57">
      <w:pPr>
        <w:rPr>
          <w:rFonts w:ascii="Garamond" w:hAnsi="Garamond"/>
          <w:sz w:val="16"/>
          <w:szCs w:val="16"/>
        </w:rPr>
      </w:pPr>
      <w:r w:rsidRPr="006D3D02">
        <w:rPr>
          <w:rFonts w:ascii="Garamond" w:hAnsi="Garamond"/>
          <w:sz w:val="16"/>
          <w:szCs w:val="16"/>
          <w:vertAlign w:val="superscript"/>
        </w:rPr>
        <w:footnoteRef/>
      </w:r>
      <w:r w:rsidRPr="006D3D02">
        <w:rPr>
          <w:rFonts w:ascii="Garamond" w:hAnsi="Garamond"/>
          <w:sz w:val="16"/>
          <w:szCs w:val="16"/>
        </w:rPr>
        <w:t xml:space="preserve"> Ligji “Për organizimin dhe funksionimin e Kontrollit të Lartë të Shtetit”, miratuar në vitin 2014.</w:t>
      </w:r>
    </w:p>
  </w:footnote>
  <w:footnote w:id="78">
    <w:p w14:paraId="0DD91FC3" w14:textId="26E6B6AA" w:rsidR="002B3F8E" w:rsidRPr="006D3D02" w:rsidRDefault="002B3F8E" w:rsidP="00921C57">
      <w:pPr>
        <w:rPr>
          <w:sz w:val="16"/>
          <w:szCs w:val="16"/>
        </w:rPr>
      </w:pPr>
      <w:r w:rsidRPr="006D3D02">
        <w:rPr>
          <w:rFonts w:ascii="Garamond" w:hAnsi="Garamond"/>
          <w:sz w:val="16"/>
          <w:szCs w:val="16"/>
          <w:vertAlign w:val="superscript"/>
        </w:rPr>
        <w:footnoteRef/>
      </w:r>
      <w:r w:rsidRPr="006D3D02">
        <w:rPr>
          <w:rFonts w:ascii="Garamond" w:hAnsi="Garamond"/>
          <w:sz w:val="16"/>
          <w:szCs w:val="16"/>
        </w:rPr>
        <w:t xml:space="preserve"> Raporti i performancës së KLSH</w:t>
      </w:r>
      <w:r>
        <w:rPr>
          <w:rFonts w:ascii="Garamond" w:hAnsi="Garamond"/>
          <w:sz w:val="16"/>
          <w:szCs w:val="16"/>
        </w:rPr>
        <w:t>-së</w:t>
      </w:r>
      <w:r w:rsidRPr="006D3D02">
        <w:rPr>
          <w:rFonts w:ascii="Garamond" w:hAnsi="Garamond"/>
          <w:sz w:val="16"/>
          <w:szCs w:val="16"/>
        </w:rPr>
        <w:t xml:space="preserve">, miratuar me </w:t>
      </w:r>
      <w:r>
        <w:rPr>
          <w:rFonts w:ascii="Garamond" w:hAnsi="Garamond"/>
          <w:sz w:val="16"/>
          <w:szCs w:val="16"/>
        </w:rPr>
        <w:t>v</w:t>
      </w:r>
      <w:r w:rsidRPr="006D3D02">
        <w:rPr>
          <w:rFonts w:ascii="Garamond" w:hAnsi="Garamond"/>
          <w:sz w:val="16"/>
          <w:szCs w:val="16"/>
        </w:rPr>
        <w:t xml:space="preserve">endim të </w:t>
      </w:r>
      <w:r>
        <w:rPr>
          <w:rFonts w:ascii="Garamond" w:hAnsi="Garamond"/>
          <w:sz w:val="16"/>
          <w:szCs w:val="16"/>
        </w:rPr>
        <w:t>k</w:t>
      </w:r>
      <w:r w:rsidRPr="006D3D02">
        <w:rPr>
          <w:rFonts w:ascii="Garamond" w:hAnsi="Garamond"/>
          <w:sz w:val="16"/>
          <w:szCs w:val="16"/>
        </w:rPr>
        <w:t>ryetarit të KLSH-së nr. 225, datë 2.12.2022.</w:t>
      </w:r>
    </w:p>
  </w:footnote>
  <w:footnote w:id="79">
    <w:p w14:paraId="5DA442A5" w14:textId="4DD8507A" w:rsidR="002B3F8E" w:rsidRPr="000A1CFC" w:rsidRDefault="002B3F8E" w:rsidP="009727B3">
      <w:pPr>
        <w:jc w:val="both"/>
        <w:rPr>
          <w:rFonts w:ascii="Garamond" w:hAnsi="Garamond"/>
          <w:sz w:val="16"/>
          <w:szCs w:val="16"/>
        </w:rPr>
      </w:pPr>
      <w:r w:rsidRPr="00105FDB">
        <w:rPr>
          <w:rFonts w:ascii="Garamond" w:hAnsi="Garamond"/>
          <w:sz w:val="16"/>
          <w:szCs w:val="16"/>
          <w:vertAlign w:val="superscript"/>
        </w:rPr>
        <w:footnoteRef/>
      </w:r>
      <w:r w:rsidRPr="000A1CFC">
        <w:rPr>
          <w:rFonts w:ascii="Garamond" w:hAnsi="Garamond"/>
          <w:sz w:val="16"/>
          <w:szCs w:val="16"/>
        </w:rPr>
        <w:t xml:space="preserve"> https://staging.parlament.al/</w:t>
      </w:r>
    </w:p>
  </w:footnote>
  <w:footnote w:id="80">
    <w:p w14:paraId="019DA6BC" w14:textId="2F09860B" w:rsidR="002B3F8E" w:rsidRPr="000A1CFC" w:rsidRDefault="002B3F8E" w:rsidP="0092382F">
      <w:pPr>
        <w:jc w:val="both"/>
        <w:rPr>
          <w:rFonts w:ascii="Garamond" w:hAnsi="Garamond"/>
          <w:sz w:val="16"/>
          <w:szCs w:val="16"/>
        </w:rPr>
      </w:pPr>
      <w:r w:rsidRPr="00105FDB">
        <w:rPr>
          <w:rFonts w:ascii="Garamond" w:hAnsi="Garamond"/>
          <w:sz w:val="16"/>
          <w:szCs w:val="16"/>
          <w:vertAlign w:val="superscript"/>
        </w:rPr>
        <w:footnoteRef/>
      </w:r>
      <w:r w:rsidRPr="000A1CFC">
        <w:rPr>
          <w:rFonts w:ascii="Garamond" w:hAnsi="Garamond"/>
          <w:sz w:val="16"/>
          <w:szCs w:val="16"/>
        </w:rPr>
        <w:t xml:space="preserve"> Treguesi PEFA 31 Shqyrtimi legjislativ i raporteve të auditimit: rezultati B</w:t>
      </w:r>
      <w:r>
        <w:rPr>
          <w:rFonts w:ascii="Garamond" w:hAnsi="Garamond"/>
          <w:sz w:val="16"/>
          <w:szCs w:val="16"/>
        </w:rPr>
        <w:t>,</w:t>
      </w:r>
      <w:r w:rsidRPr="000A1CFC">
        <w:rPr>
          <w:rFonts w:ascii="Garamond" w:hAnsi="Garamond"/>
          <w:sz w:val="16"/>
          <w:szCs w:val="16"/>
        </w:rPr>
        <w:t xml:space="preserve"> në një shkallë nga A në D (burimi: PEFA 2017) dhe treguesi SIGMA 2.7.1 Shqyrtimi parlamentar i politikëbërjes së qeverisë: rezultati 4 nga 5 (burimi: SIGMA 2021).</w:t>
      </w:r>
    </w:p>
  </w:footnote>
  <w:footnote w:id="81">
    <w:p w14:paraId="18123844" w14:textId="1A96D255" w:rsidR="002B3F8E" w:rsidRPr="008D50DE" w:rsidRDefault="002B3F8E" w:rsidP="0092382F">
      <w:pPr>
        <w:jc w:val="both"/>
        <w:rPr>
          <w:rFonts w:ascii="Garamond" w:hAnsi="Garamond"/>
          <w:sz w:val="16"/>
          <w:szCs w:val="16"/>
        </w:rPr>
      </w:pPr>
      <w:r w:rsidRPr="00105FDB">
        <w:rPr>
          <w:rFonts w:ascii="Garamond" w:hAnsi="Garamond"/>
          <w:sz w:val="16"/>
          <w:szCs w:val="16"/>
          <w:vertAlign w:val="superscript"/>
        </w:rPr>
        <w:footnoteRef/>
      </w:r>
      <w:r w:rsidRPr="008D50DE">
        <w:rPr>
          <w:rFonts w:ascii="Garamond" w:hAnsi="Garamond"/>
          <w:sz w:val="16"/>
          <w:szCs w:val="16"/>
        </w:rPr>
        <w:t xml:space="preserve"> OECD (2019), buxhetimi dhe shpenzimet publike në vendet e OECD 2019, </w:t>
      </w:r>
      <w:r>
        <w:rPr>
          <w:rFonts w:ascii="Garamond" w:hAnsi="Garamond"/>
          <w:sz w:val="16"/>
          <w:szCs w:val="16"/>
        </w:rPr>
        <w:t>k</w:t>
      </w:r>
      <w:r w:rsidRPr="008D50DE">
        <w:rPr>
          <w:rFonts w:ascii="Garamond" w:hAnsi="Garamond"/>
          <w:sz w:val="16"/>
          <w:szCs w:val="16"/>
        </w:rPr>
        <w:t>apitulli 5 Roli i Parlamentit në buxhetim.</w:t>
      </w:r>
    </w:p>
  </w:footnote>
  <w:footnote w:id="82">
    <w:p w14:paraId="0E054480" w14:textId="6E2B98E5" w:rsidR="002B3F8E" w:rsidRPr="008D50DE" w:rsidRDefault="002B3F8E" w:rsidP="0092382F">
      <w:pPr>
        <w:jc w:val="both"/>
        <w:rPr>
          <w:rFonts w:ascii="Garamond" w:hAnsi="Garamond"/>
          <w:sz w:val="16"/>
          <w:szCs w:val="16"/>
        </w:rPr>
      </w:pPr>
      <w:r w:rsidRPr="00105FDB">
        <w:rPr>
          <w:rFonts w:ascii="Garamond" w:hAnsi="Garamond"/>
          <w:sz w:val="16"/>
          <w:szCs w:val="16"/>
          <w:vertAlign w:val="superscript"/>
        </w:rPr>
        <w:footnoteRef/>
      </w:r>
      <w:r w:rsidRPr="008D50DE">
        <w:rPr>
          <w:rFonts w:ascii="Garamond" w:hAnsi="Garamond"/>
          <w:sz w:val="16"/>
          <w:szCs w:val="16"/>
        </w:rPr>
        <w:t xml:space="preserve"> Objekti i planit të zhvillimit mund të përfshijë mandatin, strukturën e nënkomisionit, bashkëpunimin me partnerë si KLSH, institucionin e pavarur fiskal/Këshillin Fiskal (që do të krijohet) dhe Bankën Qendrore të Shqipërisë; shërbimet e nevojshme kërkimore dhe mbështetëse, kërkesat e personelit, nevojat për zhvillimin e kapaciteteve, komunikimin, transparencën dhe pjesëmarrjen e publikut.</w:t>
      </w:r>
    </w:p>
  </w:footnote>
  <w:footnote w:id="83">
    <w:p w14:paraId="7B219F87" w14:textId="13F5B470" w:rsidR="002B3F8E" w:rsidRPr="008D50DE" w:rsidRDefault="002B3F8E" w:rsidP="0092382F">
      <w:pPr>
        <w:jc w:val="both"/>
        <w:rPr>
          <w:sz w:val="16"/>
          <w:szCs w:val="16"/>
        </w:rPr>
      </w:pPr>
      <w:r w:rsidRPr="00105FDB">
        <w:rPr>
          <w:rFonts w:ascii="Garamond" w:hAnsi="Garamond"/>
          <w:sz w:val="16"/>
          <w:szCs w:val="16"/>
          <w:vertAlign w:val="superscript"/>
        </w:rPr>
        <w:footnoteRef/>
      </w:r>
      <w:r w:rsidRPr="008D50DE">
        <w:rPr>
          <w:rFonts w:ascii="Garamond" w:hAnsi="Garamond"/>
          <w:sz w:val="16"/>
          <w:szCs w:val="16"/>
        </w:rPr>
        <w:t xml:space="preserve"> Nëntreguesit e PEFA-s 31.2 Seancat dëgjimore mbi gjetjet e auditimit (vlerësimi C në 2017) dhe nëntreguesi 31.3 Rekomandimet për auditimin nga legjislativi (vlerësimi C në 2017) janë përmirësuar me një rezultat më të lartë se B.</w:t>
      </w:r>
    </w:p>
  </w:footnote>
  <w:footnote w:id="84">
    <w:p w14:paraId="53F1E901" w14:textId="607253A6" w:rsidR="002B3F8E" w:rsidRPr="008D50DE" w:rsidRDefault="002B3F8E" w:rsidP="00474723">
      <w:pPr>
        <w:jc w:val="both"/>
        <w:rPr>
          <w:rFonts w:ascii="Garamond" w:hAnsi="Garamond"/>
          <w:sz w:val="16"/>
          <w:szCs w:val="16"/>
        </w:rPr>
      </w:pPr>
      <w:r w:rsidRPr="00105FDB">
        <w:rPr>
          <w:rFonts w:ascii="Garamond" w:hAnsi="Garamond"/>
          <w:sz w:val="16"/>
          <w:szCs w:val="16"/>
          <w:vertAlign w:val="superscript"/>
        </w:rPr>
        <w:footnoteRef/>
      </w:r>
      <w:r w:rsidRPr="008D50DE">
        <w:rPr>
          <w:rFonts w:ascii="Garamond" w:hAnsi="Garamond"/>
          <w:sz w:val="16"/>
          <w:szCs w:val="16"/>
        </w:rPr>
        <w:t xml:space="preserve"> Për të siguruar zbatimin efektiv të </w:t>
      </w:r>
      <w:r>
        <w:rPr>
          <w:rFonts w:ascii="Garamond" w:hAnsi="Garamond"/>
          <w:sz w:val="16"/>
          <w:szCs w:val="16"/>
        </w:rPr>
        <w:t>s</w:t>
      </w:r>
      <w:r w:rsidRPr="008D50DE">
        <w:rPr>
          <w:rFonts w:ascii="Garamond" w:hAnsi="Garamond"/>
          <w:sz w:val="16"/>
          <w:szCs w:val="16"/>
        </w:rPr>
        <w:t xml:space="preserve">trategjisë së reformës dhe për të lehtësuar bashkërendimin e përpjekjeve, u krijua një komitet drejtues me </w:t>
      </w:r>
      <w:r>
        <w:rPr>
          <w:rFonts w:ascii="Garamond" w:hAnsi="Garamond"/>
          <w:sz w:val="16"/>
          <w:szCs w:val="16"/>
        </w:rPr>
        <w:t>u</w:t>
      </w:r>
      <w:r w:rsidRPr="008D50DE">
        <w:rPr>
          <w:rFonts w:ascii="Garamond" w:hAnsi="Garamond"/>
          <w:sz w:val="16"/>
          <w:szCs w:val="16"/>
        </w:rPr>
        <w:t>rdhrin e Kryeministrit nr. 202, datë 25.8.2014.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9091C"/>
    <w:multiLevelType w:val="hybridMultilevel"/>
    <w:tmpl w:val="348416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9E48D3"/>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46565F"/>
    <w:multiLevelType w:val="hybridMultilevel"/>
    <w:tmpl w:val="E690BF64"/>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E97691B"/>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B0B3580"/>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FC50AF4"/>
    <w:multiLevelType w:val="hybridMultilevel"/>
    <w:tmpl w:val="A72E311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AE121EE"/>
    <w:multiLevelType w:val="hybridMultilevel"/>
    <w:tmpl w:val="E59AC6C4"/>
    <w:lvl w:ilvl="0" w:tplc="04C2FE0E">
      <w:start w:val="2"/>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2F0211BC"/>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3F4463A"/>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8846B51"/>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C956560"/>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27551CD"/>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2EA4754"/>
    <w:multiLevelType w:val="hybridMultilevel"/>
    <w:tmpl w:val="EDEE74D4"/>
    <w:lvl w:ilvl="0" w:tplc="8DCEC092">
      <w:start w:val="1"/>
      <w:numFmt w:val="decimal"/>
      <w:pStyle w:val="N-Number"/>
      <w:lvlText w:val="%1."/>
      <w:lvlJc w:val="left"/>
      <w:pPr>
        <w:ind w:left="360" w:hanging="360"/>
      </w:pPr>
      <w:rPr>
        <w:rFonts w:hint="default"/>
        <w:b w:val="0"/>
        <w:i w:val="0"/>
        <w:color w:val="auto"/>
        <w:sz w:val="18"/>
        <w:szCs w:val="2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43DA382E"/>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45190CAA"/>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6F56F14"/>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B98571E"/>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D377654"/>
    <w:multiLevelType w:val="hybridMultilevel"/>
    <w:tmpl w:val="E084B914"/>
    <w:lvl w:ilvl="0" w:tplc="EB42F70E">
      <w:start w:val="1"/>
      <w:numFmt w:val="decimal"/>
      <w:pStyle w:val="T-number"/>
      <w:lvlText w:val="%1."/>
      <w:lvlJc w:val="left"/>
      <w:pPr>
        <w:ind w:left="360" w:hanging="360"/>
      </w:pPr>
      <w:rPr>
        <w:rFonts w:ascii="Garamond" w:hAnsi="Garamond"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0F33953"/>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35361B8"/>
    <w:multiLevelType w:val="hybridMultilevel"/>
    <w:tmpl w:val="194CC72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53782B"/>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B7157CE"/>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FFB68CB"/>
    <w:multiLevelType w:val="hybridMultilevel"/>
    <w:tmpl w:val="AE627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D74AD7"/>
    <w:multiLevelType w:val="hybridMultilevel"/>
    <w:tmpl w:val="A72E311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D1E6CDA"/>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F387E2F"/>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FD638BA"/>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0E83E6E"/>
    <w:multiLevelType w:val="hybridMultilevel"/>
    <w:tmpl w:val="AE661D56"/>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1DC5991"/>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7"/>
  </w:num>
  <w:num w:numId="2">
    <w:abstractNumId w:val="10"/>
  </w:num>
  <w:num w:numId="3">
    <w:abstractNumId w:val="17"/>
    <w:lvlOverride w:ilvl="0">
      <w:startOverride w:val="1"/>
    </w:lvlOverride>
  </w:num>
  <w:num w:numId="4">
    <w:abstractNumId w:val="12"/>
  </w:num>
  <w:num w:numId="5">
    <w:abstractNumId w:val="25"/>
  </w:num>
  <w:num w:numId="6">
    <w:abstractNumId w:val="14"/>
  </w:num>
  <w:num w:numId="7">
    <w:abstractNumId w:val="15"/>
  </w:num>
  <w:num w:numId="8">
    <w:abstractNumId w:val="9"/>
  </w:num>
  <w:num w:numId="9">
    <w:abstractNumId w:val="18"/>
  </w:num>
  <w:num w:numId="10">
    <w:abstractNumId w:val="2"/>
  </w:num>
  <w:num w:numId="11">
    <w:abstractNumId w:val="8"/>
  </w:num>
  <w:num w:numId="12">
    <w:abstractNumId w:val="11"/>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4"/>
  </w:num>
  <w:num w:numId="19">
    <w:abstractNumId w:val="24"/>
  </w:num>
  <w:num w:numId="20">
    <w:abstractNumId w:val="19"/>
  </w:num>
  <w:num w:numId="21">
    <w:abstractNumId w:val="5"/>
  </w:num>
  <w:num w:numId="22">
    <w:abstractNumId w:val="3"/>
  </w:num>
  <w:num w:numId="23">
    <w:abstractNumId w:val="7"/>
  </w:num>
  <w:num w:numId="24">
    <w:abstractNumId w:val="23"/>
  </w:num>
  <w:num w:numId="25">
    <w:abstractNumId w:val="26"/>
  </w:num>
  <w:num w:numId="26">
    <w:abstractNumId w:val="13"/>
  </w:num>
  <w:num w:numId="27">
    <w:abstractNumId w:val="27"/>
  </w:num>
  <w:num w:numId="28">
    <w:abstractNumId w:val="0"/>
  </w:num>
  <w:num w:numId="29">
    <w:abstractNumId w:val="22"/>
  </w:num>
  <w:num w:numId="30">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0"/>
  <w:gutterAtTop/>
  <w:hideSpellingErrors/>
  <w:hideGrammaticalErrors/>
  <w:stylePaneFormatFilter w:val="3D08" w:allStyles="0" w:customStyles="0" w:latentStyles="0" w:stylesInUse="1" w:headingStyles="0" w:numberingStyles="0" w:tableStyles="0" w:directFormattingOnRuns="1" w:directFormattingOnParagraphs="0"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LQ0MzQ1MbO0MDI3tTBT0lEKTi0uzszPAykwqgUA9UxDGiwAAAA="/>
  </w:docVars>
  <w:rsids>
    <w:rsidRoot w:val="00D72318"/>
    <w:rsid w:val="00000D49"/>
    <w:rsid w:val="00002E36"/>
    <w:rsid w:val="00005239"/>
    <w:rsid w:val="00013DAF"/>
    <w:rsid w:val="00017794"/>
    <w:rsid w:val="00020C04"/>
    <w:rsid w:val="00021777"/>
    <w:rsid w:val="00021BAD"/>
    <w:rsid w:val="000243CC"/>
    <w:rsid w:val="00024FEB"/>
    <w:rsid w:val="00026DB2"/>
    <w:rsid w:val="00027E71"/>
    <w:rsid w:val="00032419"/>
    <w:rsid w:val="0003250A"/>
    <w:rsid w:val="000335BD"/>
    <w:rsid w:val="00033B62"/>
    <w:rsid w:val="000426D1"/>
    <w:rsid w:val="00045836"/>
    <w:rsid w:val="00051242"/>
    <w:rsid w:val="0005591C"/>
    <w:rsid w:val="00056518"/>
    <w:rsid w:val="00056667"/>
    <w:rsid w:val="000575E2"/>
    <w:rsid w:val="00061547"/>
    <w:rsid w:val="00063DFC"/>
    <w:rsid w:val="0006778D"/>
    <w:rsid w:val="00076485"/>
    <w:rsid w:val="0007722A"/>
    <w:rsid w:val="00080482"/>
    <w:rsid w:val="000838D5"/>
    <w:rsid w:val="000944CB"/>
    <w:rsid w:val="0009638C"/>
    <w:rsid w:val="000978AB"/>
    <w:rsid w:val="000A0A75"/>
    <w:rsid w:val="000A0BB8"/>
    <w:rsid w:val="000A1CFC"/>
    <w:rsid w:val="000A4BE5"/>
    <w:rsid w:val="000A5420"/>
    <w:rsid w:val="000A63F2"/>
    <w:rsid w:val="000A6D10"/>
    <w:rsid w:val="000A75B4"/>
    <w:rsid w:val="000B25C2"/>
    <w:rsid w:val="000B272E"/>
    <w:rsid w:val="000B4E83"/>
    <w:rsid w:val="000B76FA"/>
    <w:rsid w:val="000B7914"/>
    <w:rsid w:val="000B79ED"/>
    <w:rsid w:val="000C1553"/>
    <w:rsid w:val="000C2439"/>
    <w:rsid w:val="000C30A9"/>
    <w:rsid w:val="000C381B"/>
    <w:rsid w:val="000C4F4A"/>
    <w:rsid w:val="000C4FC4"/>
    <w:rsid w:val="000C5521"/>
    <w:rsid w:val="000D02A8"/>
    <w:rsid w:val="000D0EBF"/>
    <w:rsid w:val="000D3E60"/>
    <w:rsid w:val="000D50A7"/>
    <w:rsid w:val="000D599B"/>
    <w:rsid w:val="000D5CDC"/>
    <w:rsid w:val="000D5E7F"/>
    <w:rsid w:val="000D6E78"/>
    <w:rsid w:val="000E4078"/>
    <w:rsid w:val="000E4B4C"/>
    <w:rsid w:val="000E53DC"/>
    <w:rsid w:val="000F2779"/>
    <w:rsid w:val="000F2E16"/>
    <w:rsid w:val="000F3E51"/>
    <w:rsid w:val="000F5B65"/>
    <w:rsid w:val="00100E9A"/>
    <w:rsid w:val="00101AD1"/>
    <w:rsid w:val="00105FDB"/>
    <w:rsid w:val="001068B4"/>
    <w:rsid w:val="001104A1"/>
    <w:rsid w:val="00115731"/>
    <w:rsid w:val="00121010"/>
    <w:rsid w:val="00121AA1"/>
    <w:rsid w:val="00123DE2"/>
    <w:rsid w:val="0012757C"/>
    <w:rsid w:val="00130B9D"/>
    <w:rsid w:val="00131A12"/>
    <w:rsid w:val="00132285"/>
    <w:rsid w:val="001326BB"/>
    <w:rsid w:val="00135F41"/>
    <w:rsid w:val="00136349"/>
    <w:rsid w:val="00137393"/>
    <w:rsid w:val="00140060"/>
    <w:rsid w:val="00140B53"/>
    <w:rsid w:val="001415B2"/>
    <w:rsid w:val="0014253A"/>
    <w:rsid w:val="0014515A"/>
    <w:rsid w:val="00145C33"/>
    <w:rsid w:val="001510DE"/>
    <w:rsid w:val="00152D39"/>
    <w:rsid w:val="00160150"/>
    <w:rsid w:val="00161410"/>
    <w:rsid w:val="00162853"/>
    <w:rsid w:val="00162B1A"/>
    <w:rsid w:val="00163B57"/>
    <w:rsid w:val="00165A28"/>
    <w:rsid w:val="00167037"/>
    <w:rsid w:val="0017065A"/>
    <w:rsid w:val="00171B9A"/>
    <w:rsid w:val="001750A8"/>
    <w:rsid w:val="0018004E"/>
    <w:rsid w:val="00181975"/>
    <w:rsid w:val="0018266B"/>
    <w:rsid w:val="00182D0D"/>
    <w:rsid w:val="00183B13"/>
    <w:rsid w:val="00183D28"/>
    <w:rsid w:val="00184E0B"/>
    <w:rsid w:val="001868E6"/>
    <w:rsid w:val="0018777C"/>
    <w:rsid w:val="00190EFD"/>
    <w:rsid w:val="00193527"/>
    <w:rsid w:val="0019442B"/>
    <w:rsid w:val="00197AAB"/>
    <w:rsid w:val="001A15E0"/>
    <w:rsid w:val="001A171C"/>
    <w:rsid w:val="001A642E"/>
    <w:rsid w:val="001B0FE8"/>
    <w:rsid w:val="001B424C"/>
    <w:rsid w:val="001B4E34"/>
    <w:rsid w:val="001B542F"/>
    <w:rsid w:val="001B5EB2"/>
    <w:rsid w:val="001C0478"/>
    <w:rsid w:val="001C071A"/>
    <w:rsid w:val="001C3859"/>
    <w:rsid w:val="001C5313"/>
    <w:rsid w:val="001D1A7A"/>
    <w:rsid w:val="001D3BF2"/>
    <w:rsid w:val="001D4F9C"/>
    <w:rsid w:val="001D5EDA"/>
    <w:rsid w:val="001D7FDB"/>
    <w:rsid w:val="001E0B53"/>
    <w:rsid w:val="001E2EFB"/>
    <w:rsid w:val="001E3DEC"/>
    <w:rsid w:val="001E4912"/>
    <w:rsid w:val="001E6D72"/>
    <w:rsid w:val="001F0FA4"/>
    <w:rsid w:val="001F3660"/>
    <w:rsid w:val="0020114D"/>
    <w:rsid w:val="0020480D"/>
    <w:rsid w:val="002065EE"/>
    <w:rsid w:val="002071D3"/>
    <w:rsid w:val="0020734A"/>
    <w:rsid w:val="0020763D"/>
    <w:rsid w:val="00210895"/>
    <w:rsid w:val="00210CDE"/>
    <w:rsid w:val="002121D5"/>
    <w:rsid w:val="00212D22"/>
    <w:rsid w:val="00213756"/>
    <w:rsid w:val="002144AF"/>
    <w:rsid w:val="0021542B"/>
    <w:rsid w:val="00216727"/>
    <w:rsid w:val="00220E12"/>
    <w:rsid w:val="002216B2"/>
    <w:rsid w:val="0022292C"/>
    <w:rsid w:val="0022368C"/>
    <w:rsid w:val="002255E8"/>
    <w:rsid w:val="0023332A"/>
    <w:rsid w:val="002339CF"/>
    <w:rsid w:val="002342B2"/>
    <w:rsid w:val="00237DD7"/>
    <w:rsid w:val="00242BAA"/>
    <w:rsid w:val="00244CB3"/>
    <w:rsid w:val="00246007"/>
    <w:rsid w:val="002545DE"/>
    <w:rsid w:val="00260B6B"/>
    <w:rsid w:val="002619E8"/>
    <w:rsid w:val="00262BFA"/>
    <w:rsid w:val="0026369E"/>
    <w:rsid w:val="00263F35"/>
    <w:rsid w:val="002645BF"/>
    <w:rsid w:val="00266F23"/>
    <w:rsid w:val="002675BF"/>
    <w:rsid w:val="00270BB6"/>
    <w:rsid w:val="00283DD1"/>
    <w:rsid w:val="00284C79"/>
    <w:rsid w:val="002872A6"/>
    <w:rsid w:val="002875B3"/>
    <w:rsid w:val="00290FDA"/>
    <w:rsid w:val="00294002"/>
    <w:rsid w:val="00295614"/>
    <w:rsid w:val="00295719"/>
    <w:rsid w:val="002974D6"/>
    <w:rsid w:val="00297A50"/>
    <w:rsid w:val="00297B3C"/>
    <w:rsid w:val="002A0334"/>
    <w:rsid w:val="002A0385"/>
    <w:rsid w:val="002A0AFE"/>
    <w:rsid w:val="002A46A0"/>
    <w:rsid w:val="002A5682"/>
    <w:rsid w:val="002A5A5B"/>
    <w:rsid w:val="002A5B80"/>
    <w:rsid w:val="002B1F80"/>
    <w:rsid w:val="002B2DE0"/>
    <w:rsid w:val="002B3ECC"/>
    <w:rsid w:val="002B3F8E"/>
    <w:rsid w:val="002B54EA"/>
    <w:rsid w:val="002B7080"/>
    <w:rsid w:val="002C06AA"/>
    <w:rsid w:val="002C19BB"/>
    <w:rsid w:val="002C4288"/>
    <w:rsid w:val="002C48CE"/>
    <w:rsid w:val="002C51DD"/>
    <w:rsid w:val="002C5C37"/>
    <w:rsid w:val="002C792C"/>
    <w:rsid w:val="002D1356"/>
    <w:rsid w:val="002D39A9"/>
    <w:rsid w:val="002D41D7"/>
    <w:rsid w:val="002E2041"/>
    <w:rsid w:val="002E485C"/>
    <w:rsid w:val="002E6043"/>
    <w:rsid w:val="002E7AD7"/>
    <w:rsid w:val="002F08B1"/>
    <w:rsid w:val="002F30D2"/>
    <w:rsid w:val="002F333A"/>
    <w:rsid w:val="002F3F73"/>
    <w:rsid w:val="002F5372"/>
    <w:rsid w:val="002F5ED0"/>
    <w:rsid w:val="00301E74"/>
    <w:rsid w:val="003028DC"/>
    <w:rsid w:val="00302A16"/>
    <w:rsid w:val="003042D3"/>
    <w:rsid w:val="003056A5"/>
    <w:rsid w:val="0030660F"/>
    <w:rsid w:val="003068BB"/>
    <w:rsid w:val="00312F86"/>
    <w:rsid w:val="0031692E"/>
    <w:rsid w:val="00317130"/>
    <w:rsid w:val="003263C4"/>
    <w:rsid w:val="00344225"/>
    <w:rsid w:val="00344A41"/>
    <w:rsid w:val="00347410"/>
    <w:rsid w:val="003479D4"/>
    <w:rsid w:val="00350919"/>
    <w:rsid w:val="00352178"/>
    <w:rsid w:val="00355103"/>
    <w:rsid w:val="00355A4A"/>
    <w:rsid w:val="00357E0A"/>
    <w:rsid w:val="00360B29"/>
    <w:rsid w:val="00360CE3"/>
    <w:rsid w:val="00362D17"/>
    <w:rsid w:val="003659D9"/>
    <w:rsid w:val="00365D48"/>
    <w:rsid w:val="003704AD"/>
    <w:rsid w:val="00370898"/>
    <w:rsid w:val="0037208D"/>
    <w:rsid w:val="00372677"/>
    <w:rsid w:val="003731E6"/>
    <w:rsid w:val="00374167"/>
    <w:rsid w:val="00376C4B"/>
    <w:rsid w:val="003827BC"/>
    <w:rsid w:val="00382AAA"/>
    <w:rsid w:val="00384FFE"/>
    <w:rsid w:val="0038695A"/>
    <w:rsid w:val="003A16A4"/>
    <w:rsid w:val="003A26A0"/>
    <w:rsid w:val="003A2ACF"/>
    <w:rsid w:val="003A3841"/>
    <w:rsid w:val="003A6AFC"/>
    <w:rsid w:val="003B0298"/>
    <w:rsid w:val="003B0581"/>
    <w:rsid w:val="003B1996"/>
    <w:rsid w:val="003B1EF6"/>
    <w:rsid w:val="003B2C59"/>
    <w:rsid w:val="003B6839"/>
    <w:rsid w:val="003B76A0"/>
    <w:rsid w:val="003C2209"/>
    <w:rsid w:val="003C2D23"/>
    <w:rsid w:val="003C40C4"/>
    <w:rsid w:val="003D0C3A"/>
    <w:rsid w:val="003D2C05"/>
    <w:rsid w:val="003D2F2A"/>
    <w:rsid w:val="003D342E"/>
    <w:rsid w:val="003D3930"/>
    <w:rsid w:val="003D5C89"/>
    <w:rsid w:val="003D5E04"/>
    <w:rsid w:val="003E0673"/>
    <w:rsid w:val="003E0E17"/>
    <w:rsid w:val="003E2C1C"/>
    <w:rsid w:val="003F325D"/>
    <w:rsid w:val="003F349F"/>
    <w:rsid w:val="003F3A47"/>
    <w:rsid w:val="003F6DCF"/>
    <w:rsid w:val="003F76DB"/>
    <w:rsid w:val="0040094D"/>
    <w:rsid w:val="0040383C"/>
    <w:rsid w:val="004062EA"/>
    <w:rsid w:val="00406B07"/>
    <w:rsid w:val="004074B6"/>
    <w:rsid w:val="00414906"/>
    <w:rsid w:val="00414A86"/>
    <w:rsid w:val="00420887"/>
    <w:rsid w:val="00420989"/>
    <w:rsid w:val="004235A6"/>
    <w:rsid w:val="00424F1D"/>
    <w:rsid w:val="0042778C"/>
    <w:rsid w:val="00430430"/>
    <w:rsid w:val="00431193"/>
    <w:rsid w:val="0043277A"/>
    <w:rsid w:val="00434B2B"/>
    <w:rsid w:val="00437108"/>
    <w:rsid w:val="00437192"/>
    <w:rsid w:val="00446A7E"/>
    <w:rsid w:val="00447A4C"/>
    <w:rsid w:val="00452929"/>
    <w:rsid w:val="00453840"/>
    <w:rsid w:val="00455D1D"/>
    <w:rsid w:val="00456AA4"/>
    <w:rsid w:val="00465FDF"/>
    <w:rsid w:val="004719D2"/>
    <w:rsid w:val="00473489"/>
    <w:rsid w:val="00473A30"/>
    <w:rsid w:val="00474723"/>
    <w:rsid w:val="00477E4F"/>
    <w:rsid w:val="004816CB"/>
    <w:rsid w:val="00482653"/>
    <w:rsid w:val="00483C1B"/>
    <w:rsid w:val="004862BE"/>
    <w:rsid w:val="00491504"/>
    <w:rsid w:val="00491BC9"/>
    <w:rsid w:val="004943F2"/>
    <w:rsid w:val="00494B6A"/>
    <w:rsid w:val="00495298"/>
    <w:rsid w:val="004973B6"/>
    <w:rsid w:val="004A052C"/>
    <w:rsid w:val="004A11B7"/>
    <w:rsid w:val="004A391E"/>
    <w:rsid w:val="004A39EB"/>
    <w:rsid w:val="004A3C0D"/>
    <w:rsid w:val="004A47DC"/>
    <w:rsid w:val="004A5630"/>
    <w:rsid w:val="004A7EE7"/>
    <w:rsid w:val="004B02CE"/>
    <w:rsid w:val="004B1C67"/>
    <w:rsid w:val="004B3078"/>
    <w:rsid w:val="004B3C5A"/>
    <w:rsid w:val="004B4D6F"/>
    <w:rsid w:val="004B4F3E"/>
    <w:rsid w:val="004B5037"/>
    <w:rsid w:val="004B740A"/>
    <w:rsid w:val="004B74CF"/>
    <w:rsid w:val="004B7863"/>
    <w:rsid w:val="004C00FA"/>
    <w:rsid w:val="004C0B0D"/>
    <w:rsid w:val="004C2B0C"/>
    <w:rsid w:val="004C2B25"/>
    <w:rsid w:val="004C3077"/>
    <w:rsid w:val="004C55DC"/>
    <w:rsid w:val="004C58B1"/>
    <w:rsid w:val="004C7CE8"/>
    <w:rsid w:val="004C7EB3"/>
    <w:rsid w:val="004D4659"/>
    <w:rsid w:val="004D48B6"/>
    <w:rsid w:val="004E0002"/>
    <w:rsid w:val="004E0CC9"/>
    <w:rsid w:val="004E5C5E"/>
    <w:rsid w:val="004E71E3"/>
    <w:rsid w:val="004E7351"/>
    <w:rsid w:val="004F050A"/>
    <w:rsid w:val="004F0C34"/>
    <w:rsid w:val="004F28EB"/>
    <w:rsid w:val="004F29F2"/>
    <w:rsid w:val="004F45AE"/>
    <w:rsid w:val="004F793A"/>
    <w:rsid w:val="004F799D"/>
    <w:rsid w:val="00500AEA"/>
    <w:rsid w:val="0050389C"/>
    <w:rsid w:val="00504D8D"/>
    <w:rsid w:val="0050549C"/>
    <w:rsid w:val="00510359"/>
    <w:rsid w:val="0051492A"/>
    <w:rsid w:val="00517AE8"/>
    <w:rsid w:val="00521846"/>
    <w:rsid w:val="00521C1D"/>
    <w:rsid w:val="00522FA6"/>
    <w:rsid w:val="0052508C"/>
    <w:rsid w:val="0052629F"/>
    <w:rsid w:val="00526965"/>
    <w:rsid w:val="0053345A"/>
    <w:rsid w:val="00533EFC"/>
    <w:rsid w:val="00536EDE"/>
    <w:rsid w:val="00541CEC"/>
    <w:rsid w:val="00541F8D"/>
    <w:rsid w:val="00546209"/>
    <w:rsid w:val="0055154B"/>
    <w:rsid w:val="00555C65"/>
    <w:rsid w:val="00560436"/>
    <w:rsid w:val="00566D92"/>
    <w:rsid w:val="00573F94"/>
    <w:rsid w:val="005747F2"/>
    <w:rsid w:val="005751E4"/>
    <w:rsid w:val="00583EE9"/>
    <w:rsid w:val="00585BF2"/>
    <w:rsid w:val="0058669C"/>
    <w:rsid w:val="00586ED3"/>
    <w:rsid w:val="00587C7E"/>
    <w:rsid w:val="00591755"/>
    <w:rsid w:val="005947FB"/>
    <w:rsid w:val="005A1E66"/>
    <w:rsid w:val="005A2A99"/>
    <w:rsid w:val="005A591D"/>
    <w:rsid w:val="005A5BD0"/>
    <w:rsid w:val="005B2CF4"/>
    <w:rsid w:val="005B33B7"/>
    <w:rsid w:val="005B4021"/>
    <w:rsid w:val="005B5919"/>
    <w:rsid w:val="005B5D9C"/>
    <w:rsid w:val="005C026A"/>
    <w:rsid w:val="005C1D74"/>
    <w:rsid w:val="005C23DA"/>
    <w:rsid w:val="005C3401"/>
    <w:rsid w:val="005C713B"/>
    <w:rsid w:val="005C733D"/>
    <w:rsid w:val="005D20AB"/>
    <w:rsid w:val="005D3A87"/>
    <w:rsid w:val="005D49DE"/>
    <w:rsid w:val="005D7AAD"/>
    <w:rsid w:val="005D7E62"/>
    <w:rsid w:val="005F2D7A"/>
    <w:rsid w:val="005F30A3"/>
    <w:rsid w:val="005F79B8"/>
    <w:rsid w:val="0060063E"/>
    <w:rsid w:val="00604B85"/>
    <w:rsid w:val="00605041"/>
    <w:rsid w:val="00606CF6"/>
    <w:rsid w:val="00607FB9"/>
    <w:rsid w:val="00610D03"/>
    <w:rsid w:val="00614743"/>
    <w:rsid w:val="006164C0"/>
    <w:rsid w:val="00616FE0"/>
    <w:rsid w:val="00620B2E"/>
    <w:rsid w:val="00621818"/>
    <w:rsid w:val="0062578A"/>
    <w:rsid w:val="006322F0"/>
    <w:rsid w:val="006357A3"/>
    <w:rsid w:val="00642BE3"/>
    <w:rsid w:val="0064363F"/>
    <w:rsid w:val="006505C0"/>
    <w:rsid w:val="00652BC8"/>
    <w:rsid w:val="006545A1"/>
    <w:rsid w:val="006569FA"/>
    <w:rsid w:val="00657A9E"/>
    <w:rsid w:val="00664CCA"/>
    <w:rsid w:val="006666A1"/>
    <w:rsid w:val="00667DD5"/>
    <w:rsid w:val="00670C32"/>
    <w:rsid w:val="00673798"/>
    <w:rsid w:val="00675310"/>
    <w:rsid w:val="00677390"/>
    <w:rsid w:val="00677F60"/>
    <w:rsid w:val="006800A9"/>
    <w:rsid w:val="006874F6"/>
    <w:rsid w:val="00690CD9"/>
    <w:rsid w:val="0069135E"/>
    <w:rsid w:val="00693A32"/>
    <w:rsid w:val="00694052"/>
    <w:rsid w:val="00694F74"/>
    <w:rsid w:val="006A1991"/>
    <w:rsid w:val="006A77C8"/>
    <w:rsid w:val="006B0CFF"/>
    <w:rsid w:val="006B56DC"/>
    <w:rsid w:val="006B7609"/>
    <w:rsid w:val="006C11A0"/>
    <w:rsid w:val="006C3CEC"/>
    <w:rsid w:val="006C4143"/>
    <w:rsid w:val="006D20A2"/>
    <w:rsid w:val="006D3D02"/>
    <w:rsid w:val="006D45BD"/>
    <w:rsid w:val="006D4864"/>
    <w:rsid w:val="006E125A"/>
    <w:rsid w:val="006E21CC"/>
    <w:rsid w:val="006E2CD6"/>
    <w:rsid w:val="006E3EDC"/>
    <w:rsid w:val="006E4D5B"/>
    <w:rsid w:val="006F2521"/>
    <w:rsid w:val="006F31F7"/>
    <w:rsid w:val="006F491E"/>
    <w:rsid w:val="006F6069"/>
    <w:rsid w:val="00705BFE"/>
    <w:rsid w:val="00706742"/>
    <w:rsid w:val="00711DDE"/>
    <w:rsid w:val="007128C7"/>
    <w:rsid w:val="00712A76"/>
    <w:rsid w:val="0071638B"/>
    <w:rsid w:val="00720940"/>
    <w:rsid w:val="00720FDE"/>
    <w:rsid w:val="0072119F"/>
    <w:rsid w:val="007219F0"/>
    <w:rsid w:val="007237A4"/>
    <w:rsid w:val="0072491E"/>
    <w:rsid w:val="00731A47"/>
    <w:rsid w:val="00732B6D"/>
    <w:rsid w:val="00734ACF"/>
    <w:rsid w:val="00735E8B"/>
    <w:rsid w:val="00736334"/>
    <w:rsid w:val="00737110"/>
    <w:rsid w:val="007403EB"/>
    <w:rsid w:val="007479C1"/>
    <w:rsid w:val="007500C7"/>
    <w:rsid w:val="007530EB"/>
    <w:rsid w:val="007534E2"/>
    <w:rsid w:val="00754BCF"/>
    <w:rsid w:val="0076279A"/>
    <w:rsid w:val="0076356B"/>
    <w:rsid w:val="0076471B"/>
    <w:rsid w:val="00767496"/>
    <w:rsid w:val="0077180E"/>
    <w:rsid w:val="00771ACE"/>
    <w:rsid w:val="0077224D"/>
    <w:rsid w:val="00773E38"/>
    <w:rsid w:val="00775A55"/>
    <w:rsid w:val="00782372"/>
    <w:rsid w:val="0078279A"/>
    <w:rsid w:val="00782A83"/>
    <w:rsid w:val="007858C9"/>
    <w:rsid w:val="00785DEE"/>
    <w:rsid w:val="00786544"/>
    <w:rsid w:val="00786B74"/>
    <w:rsid w:val="00790115"/>
    <w:rsid w:val="007906B9"/>
    <w:rsid w:val="00792C89"/>
    <w:rsid w:val="0079714C"/>
    <w:rsid w:val="007A18E2"/>
    <w:rsid w:val="007A624C"/>
    <w:rsid w:val="007B648F"/>
    <w:rsid w:val="007B7652"/>
    <w:rsid w:val="007B7FE3"/>
    <w:rsid w:val="007C1987"/>
    <w:rsid w:val="007C6F20"/>
    <w:rsid w:val="007D15E8"/>
    <w:rsid w:val="007D52CB"/>
    <w:rsid w:val="007D7BF8"/>
    <w:rsid w:val="007E032A"/>
    <w:rsid w:val="007E19EA"/>
    <w:rsid w:val="007E1C18"/>
    <w:rsid w:val="007E1F57"/>
    <w:rsid w:val="007E6CF3"/>
    <w:rsid w:val="007F34FE"/>
    <w:rsid w:val="007F6F7E"/>
    <w:rsid w:val="007F71FC"/>
    <w:rsid w:val="007F730A"/>
    <w:rsid w:val="007F755E"/>
    <w:rsid w:val="0080353E"/>
    <w:rsid w:val="008107FB"/>
    <w:rsid w:val="00810C45"/>
    <w:rsid w:val="00814B39"/>
    <w:rsid w:val="00825C4C"/>
    <w:rsid w:val="008276F3"/>
    <w:rsid w:val="008317C9"/>
    <w:rsid w:val="00834087"/>
    <w:rsid w:val="00843145"/>
    <w:rsid w:val="008438A2"/>
    <w:rsid w:val="00843DC3"/>
    <w:rsid w:val="00844990"/>
    <w:rsid w:val="0084680F"/>
    <w:rsid w:val="00852EED"/>
    <w:rsid w:val="0085490A"/>
    <w:rsid w:val="00854C91"/>
    <w:rsid w:val="00860A81"/>
    <w:rsid w:val="008649AC"/>
    <w:rsid w:val="00865856"/>
    <w:rsid w:val="008659C8"/>
    <w:rsid w:val="008723D2"/>
    <w:rsid w:val="00872B1E"/>
    <w:rsid w:val="00875754"/>
    <w:rsid w:val="00876B95"/>
    <w:rsid w:val="00877C23"/>
    <w:rsid w:val="00877F11"/>
    <w:rsid w:val="008808C9"/>
    <w:rsid w:val="0088160B"/>
    <w:rsid w:val="0088447F"/>
    <w:rsid w:val="00885532"/>
    <w:rsid w:val="00887310"/>
    <w:rsid w:val="0089422E"/>
    <w:rsid w:val="00897DFD"/>
    <w:rsid w:val="008A0DE4"/>
    <w:rsid w:val="008A13A4"/>
    <w:rsid w:val="008A1FEF"/>
    <w:rsid w:val="008A7391"/>
    <w:rsid w:val="008B0377"/>
    <w:rsid w:val="008B3DA4"/>
    <w:rsid w:val="008B3F18"/>
    <w:rsid w:val="008B4A99"/>
    <w:rsid w:val="008C0DB8"/>
    <w:rsid w:val="008C212A"/>
    <w:rsid w:val="008C2253"/>
    <w:rsid w:val="008C51D9"/>
    <w:rsid w:val="008C759A"/>
    <w:rsid w:val="008D04FF"/>
    <w:rsid w:val="008D3AA4"/>
    <w:rsid w:val="008D50DE"/>
    <w:rsid w:val="008D58A8"/>
    <w:rsid w:val="008D7B8C"/>
    <w:rsid w:val="008E08F2"/>
    <w:rsid w:val="008E1C74"/>
    <w:rsid w:val="008E1DC4"/>
    <w:rsid w:val="008E471A"/>
    <w:rsid w:val="008F1144"/>
    <w:rsid w:val="008F36F0"/>
    <w:rsid w:val="008F42FF"/>
    <w:rsid w:val="008F5BB8"/>
    <w:rsid w:val="00904317"/>
    <w:rsid w:val="009052E2"/>
    <w:rsid w:val="00906D9D"/>
    <w:rsid w:val="00914ECB"/>
    <w:rsid w:val="00920BB7"/>
    <w:rsid w:val="00921383"/>
    <w:rsid w:val="00921C57"/>
    <w:rsid w:val="0092382F"/>
    <w:rsid w:val="00923F5A"/>
    <w:rsid w:val="009269F3"/>
    <w:rsid w:val="009276ED"/>
    <w:rsid w:val="00930315"/>
    <w:rsid w:val="009309DC"/>
    <w:rsid w:val="009351CD"/>
    <w:rsid w:val="0093737B"/>
    <w:rsid w:val="00940E87"/>
    <w:rsid w:val="00941F7B"/>
    <w:rsid w:val="009461BA"/>
    <w:rsid w:val="00946E81"/>
    <w:rsid w:val="00952495"/>
    <w:rsid w:val="0095686B"/>
    <w:rsid w:val="009621CF"/>
    <w:rsid w:val="00962437"/>
    <w:rsid w:val="009638CF"/>
    <w:rsid w:val="00966329"/>
    <w:rsid w:val="009700E3"/>
    <w:rsid w:val="009715AC"/>
    <w:rsid w:val="00971D7C"/>
    <w:rsid w:val="00972055"/>
    <w:rsid w:val="009727B3"/>
    <w:rsid w:val="00974FB6"/>
    <w:rsid w:val="009754A7"/>
    <w:rsid w:val="00977A52"/>
    <w:rsid w:val="00980BB0"/>
    <w:rsid w:val="00981E9F"/>
    <w:rsid w:val="00983B00"/>
    <w:rsid w:val="00984B42"/>
    <w:rsid w:val="009855C8"/>
    <w:rsid w:val="0099082C"/>
    <w:rsid w:val="0099164F"/>
    <w:rsid w:val="00992F84"/>
    <w:rsid w:val="009978B5"/>
    <w:rsid w:val="009A091D"/>
    <w:rsid w:val="009A12DE"/>
    <w:rsid w:val="009A22B4"/>
    <w:rsid w:val="009B1121"/>
    <w:rsid w:val="009B1779"/>
    <w:rsid w:val="009B3420"/>
    <w:rsid w:val="009B6775"/>
    <w:rsid w:val="009C01FC"/>
    <w:rsid w:val="009C2719"/>
    <w:rsid w:val="009C32E2"/>
    <w:rsid w:val="009C3A6A"/>
    <w:rsid w:val="009C409D"/>
    <w:rsid w:val="009D1BD8"/>
    <w:rsid w:val="009D764B"/>
    <w:rsid w:val="009E0019"/>
    <w:rsid w:val="009E0BBC"/>
    <w:rsid w:val="009E61BF"/>
    <w:rsid w:val="009F21F0"/>
    <w:rsid w:val="009F4BAE"/>
    <w:rsid w:val="009F5FF6"/>
    <w:rsid w:val="009F6B08"/>
    <w:rsid w:val="00A00607"/>
    <w:rsid w:val="00A0309A"/>
    <w:rsid w:val="00A10DDE"/>
    <w:rsid w:val="00A1734D"/>
    <w:rsid w:val="00A204AF"/>
    <w:rsid w:val="00A2291E"/>
    <w:rsid w:val="00A25B2F"/>
    <w:rsid w:val="00A34DBE"/>
    <w:rsid w:val="00A354DA"/>
    <w:rsid w:val="00A365E9"/>
    <w:rsid w:val="00A4214B"/>
    <w:rsid w:val="00A43069"/>
    <w:rsid w:val="00A4708F"/>
    <w:rsid w:val="00A546B5"/>
    <w:rsid w:val="00A575D4"/>
    <w:rsid w:val="00A63327"/>
    <w:rsid w:val="00A657CB"/>
    <w:rsid w:val="00A6788B"/>
    <w:rsid w:val="00A7158D"/>
    <w:rsid w:val="00A736C9"/>
    <w:rsid w:val="00A73B3D"/>
    <w:rsid w:val="00A7493B"/>
    <w:rsid w:val="00A7771A"/>
    <w:rsid w:val="00A81306"/>
    <w:rsid w:val="00A82C8C"/>
    <w:rsid w:val="00A83E9A"/>
    <w:rsid w:val="00A90564"/>
    <w:rsid w:val="00A91C7C"/>
    <w:rsid w:val="00A95681"/>
    <w:rsid w:val="00A962E2"/>
    <w:rsid w:val="00A97F96"/>
    <w:rsid w:val="00AA1BF4"/>
    <w:rsid w:val="00AA3490"/>
    <w:rsid w:val="00AA5142"/>
    <w:rsid w:val="00AA531C"/>
    <w:rsid w:val="00AA5A9C"/>
    <w:rsid w:val="00AA718F"/>
    <w:rsid w:val="00AB0C37"/>
    <w:rsid w:val="00AB1083"/>
    <w:rsid w:val="00AB485C"/>
    <w:rsid w:val="00AC0ABA"/>
    <w:rsid w:val="00AC210E"/>
    <w:rsid w:val="00AC2A48"/>
    <w:rsid w:val="00AC3C3F"/>
    <w:rsid w:val="00AC44BB"/>
    <w:rsid w:val="00AC5EAE"/>
    <w:rsid w:val="00AD0BF7"/>
    <w:rsid w:val="00AD1479"/>
    <w:rsid w:val="00AD2F6B"/>
    <w:rsid w:val="00AD3825"/>
    <w:rsid w:val="00AD3AE7"/>
    <w:rsid w:val="00AD4550"/>
    <w:rsid w:val="00AD7240"/>
    <w:rsid w:val="00AD7779"/>
    <w:rsid w:val="00AE0918"/>
    <w:rsid w:val="00AE438A"/>
    <w:rsid w:val="00AE5164"/>
    <w:rsid w:val="00AE5484"/>
    <w:rsid w:val="00AE65F8"/>
    <w:rsid w:val="00AE664A"/>
    <w:rsid w:val="00B01FED"/>
    <w:rsid w:val="00B02EB8"/>
    <w:rsid w:val="00B05964"/>
    <w:rsid w:val="00B15731"/>
    <w:rsid w:val="00B23547"/>
    <w:rsid w:val="00B23CEE"/>
    <w:rsid w:val="00B2411C"/>
    <w:rsid w:val="00B24600"/>
    <w:rsid w:val="00B306F5"/>
    <w:rsid w:val="00B32B41"/>
    <w:rsid w:val="00B40650"/>
    <w:rsid w:val="00B4330D"/>
    <w:rsid w:val="00B44D35"/>
    <w:rsid w:val="00B45C47"/>
    <w:rsid w:val="00B526E3"/>
    <w:rsid w:val="00B56CC1"/>
    <w:rsid w:val="00B6443C"/>
    <w:rsid w:val="00B6662C"/>
    <w:rsid w:val="00B7021B"/>
    <w:rsid w:val="00B7027A"/>
    <w:rsid w:val="00B70EB3"/>
    <w:rsid w:val="00B73EF4"/>
    <w:rsid w:val="00B7476A"/>
    <w:rsid w:val="00B74C40"/>
    <w:rsid w:val="00B74DF8"/>
    <w:rsid w:val="00B75784"/>
    <w:rsid w:val="00B7721B"/>
    <w:rsid w:val="00B8774F"/>
    <w:rsid w:val="00B91F81"/>
    <w:rsid w:val="00BA40CB"/>
    <w:rsid w:val="00BA7D1D"/>
    <w:rsid w:val="00BA7E81"/>
    <w:rsid w:val="00BB3377"/>
    <w:rsid w:val="00BB4EC3"/>
    <w:rsid w:val="00BB72CB"/>
    <w:rsid w:val="00BC304D"/>
    <w:rsid w:val="00BC6446"/>
    <w:rsid w:val="00BC68BB"/>
    <w:rsid w:val="00BC7C53"/>
    <w:rsid w:val="00BD290D"/>
    <w:rsid w:val="00BD4D84"/>
    <w:rsid w:val="00BD7849"/>
    <w:rsid w:val="00BE0DAD"/>
    <w:rsid w:val="00BE1EAD"/>
    <w:rsid w:val="00BE2B20"/>
    <w:rsid w:val="00BE3BC6"/>
    <w:rsid w:val="00BE5C3B"/>
    <w:rsid w:val="00BF64AB"/>
    <w:rsid w:val="00C0023A"/>
    <w:rsid w:val="00C005D1"/>
    <w:rsid w:val="00C05AC2"/>
    <w:rsid w:val="00C108BF"/>
    <w:rsid w:val="00C12DA0"/>
    <w:rsid w:val="00C135D2"/>
    <w:rsid w:val="00C15BE0"/>
    <w:rsid w:val="00C21AD9"/>
    <w:rsid w:val="00C271F8"/>
    <w:rsid w:val="00C27450"/>
    <w:rsid w:val="00C319F2"/>
    <w:rsid w:val="00C40139"/>
    <w:rsid w:val="00C40602"/>
    <w:rsid w:val="00C42B36"/>
    <w:rsid w:val="00C432B8"/>
    <w:rsid w:val="00C436C8"/>
    <w:rsid w:val="00C44135"/>
    <w:rsid w:val="00C52D86"/>
    <w:rsid w:val="00C54106"/>
    <w:rsid w:val="00C54D68"/>
    <w:rsid w:val="00C621AB"/>
    <w:rsid w:val="00C62631"/>
    <w:rsid w:val="00C63BCA"/>
    <w:rsid w:val="00C65F1B"/>
    <w:rsid w:val="00C66BE7"/>
    <w:rsid w:val="00C82B15"/>
    <w:rsid w:val="00C84F1F"/>
    <w:rsid w:val="00C90D8D"/>
    <w:rsid w:val="00C910D8"/>
    <w:rsid w:val="00C92B27"/>
    <w:rsid w:val="00C9330F"/>
    <w:rsid w:val="00C951B7"/>
    <w:rsid w:val="00C96C4C"/>
    <w:rsid w:val="00C96D47"/>
    <w:rsid w:val="00CA18B7"/>
    <w:rsid w:val="00CA3904"/>
    <w:rsid w:val="00CA492E"/>
    <w:rsid w:val="00CA4F0E"/>
    <w:rsid w:val="00CA7026"/>
    <w:rsid w:val="00CB04F4"/>
    <w:rsid w:val="00CB2EDC"/>
    <w:rsid w:val="00CB36DC"/>
    <w:rsid w:val="00CB3922"/>
    <w:rsid w:val="00CB3E62"/>
    <w:rsid w:val="00CB423A"/>
    <w:rsid w:val="00CB4D44"/>
    <w:rsid w:val="00CB4F3F"/>
    <w:rsid w:val="00CC017F"/>
    <w:rsid w:val="00CC047B"/>
    <w:rsid w:val="00CC0CCC"/>
    <w:rsid w:val="00CC76CB"/>
    <w:rsid w:val="00CD33E9"/>
    <w:rsid w:val="00CD34FD"/>
    <w:rsid w:val="00CE0017"/>
    <w:rsid w:val="00CE48EA"/>
    <w:rsid w:val="00CE670A"/>
    <w:rsid w:val="00CE6AE5"/>
    <w:rsid w:val="00CF368A"/>
    <w:rsid w:val="00CF5110"/>
    <w:rsid w:val="00CF7195"/>
    <w:rsid w:val="00CF7CEC"/>
    <w:rsid w:val="00CF7D1E"/>
    <w:rsid w:val="00D0028E"/>
    <w:rsid w:val="00D01712"/>
    <w:rsid w:val="00D01F3B"/>
    <w:rsid w:val="00D0231F"/>
    <w:rsid w:val="00D023C7"/>
    <w:rsid w:val="00D03165"/>
    <w:rsid w:val="00D043A8"/>
    <w:rsid w:val="00D07E84"/>
    <w:rsid w:val="00D104A4"/>
    <w:rsid w:val="00D10B7E"/>
    <w:rsid w:val="00D11EDF"/>
    <w:rsid w:val="00D132AB"/>
    <w:rsid w:val="00D14B25"/>
    <w:rsid w:val="00D16C56"/>
    <w:rsid w:val="00D23D4B"/>
    <w:rsid w:val="00D2601B"/>
    <w:rsid w:val="00D30F5D"/>
    <w:rsid w:val="00D34AB3"/>
    <w:rsid w:val="00D35578"/>
    <w:rsid w:val="00D35C45"/>
    <w:rsid w:val="00D46F84"/>
    <w:rsid w:val="00D507B4"/>
    <w:rsid w:val="00D51B9E"/>
    <w:rsid w:val="00D52493"/>
    <w:rsid w:val="00D56BDE"/>
    <w:rsid w:val="00D571AD"/>
    <w:rsid w:val="00D60CD9"/>
    <w:rsid w:val="00D64370"/>
    <w:rsid w:val="00D65061"/>
    <w:rsid w:val="00D6567A"/>
    <w:rsid w:val="00D705AD"/>
    <w:rsid w:val="00D70BDE"/>
    <w:rsid w:val="00D72318"/>
    <w:rsid w:val="00D7293A"/>
    <w:rsid w:val="00D73B52"/>
    <w:rsid w:val="00D74247"/>
    <w:rsid w:val="00D81652"/>
    <w:rsid w:val="00D824A4"/>
    <w:rsid w:val="00D8370E"/>
    <w:rsid w:val="00D8562F"/>
    <w:rsid w:val="00D919D3"/>
    <w:rsid w:val="00D92A46"/>
    <w:rsid w:val="00DA038B"/>
    <w:rsid w:val="00DA42D5"/>
    <w:rsid w:val="00DA49BC"/>
    <w:rsid w:val="00DA7ACD"/>
    <w:rsid w:val="00DB193E"/>
    <w:rsid w:val="00DB1D7E"/>
    <w:rsid w:val="00DB5987"/>
    <w:rsid w:val="00DC05DF"/>
    <w:rsid w:val="00DC2AA0"/>
    <w:rsid w:val="00DC772A"/>
    <w:rsid w:val="00DD1E23"/>
    <w:rsid w:val="00DD4D3F"/>
    <w:rsid w:val="00DE2AD2"/>
    <w:rsid w:val="00DE44CF"/>
    <w:rsid w:val="00DE4932"/>
    <w:rsid w:val="00DE6892"/>
    <w:rsid w:val="00DE6BE5"/>
    <w:rsid w:val="00DE7B79"/>
    <w:rsid w:val="00DF1A20"/>
    <w:rsid w:val="00DF2DD0"/>
    <w:rsid w:val="00DF5459"/>
    <w:rsid w:val="00E00129"/>
    <w:rsid w:val="00E00ADC"/>
    <w:rsid w:val="00E016DB"/>
    <w:rsid w:val="00E02BB3"/>
    <w:rsid w:val="00E0417D"/>
    <w:rsid w:val="00E04637"/>
    <w:rsid w:val="00E06DAF"/>
    <w:rsid w:val="00E12F43"/>
    <w:rsid w:val="00E26AEA"/>
    <w:rsid w:val="00E31153"/>
    <w:rsid w:val="00E33A13"/>
    <w:rsid w:val="00E3416B"/>
    <w:rsid w:val="00E34A96"/>
    <w:rsid w:val="00E37C83"/>
    <w:rsid w:val="00E4626C"/>
    <w:rsid w:val="00E500A4"/>
    <w:rsid w:val="00E560DD"/>
    <w:rsid w:val="00E56995"/>
    <w:rsid w:val="00E5792A"/>
    <w:rsid w:val="00E61487"/>
    <w:rsid w:val="00E64341"/>
    <w:rsid w:val="00E64C6F"/>
    <w:rsid w:val="00E64F36"/>
    <w:rsid w:val="00E71253"/>
    <w:rsid w:val="00E723BD"/>
    <w:rsid w:val="00E7748A"/>
    <w:rsid w:val="00E7781A"/>
    <w:rsid w:val="00E77978"/>
    <w:rsid w:val="00E801D1"/>
    <w:rsid w:val="00E814D7"/>
    <w:rsid w:val="00E81D17"/>
    <w:rsid w:val="00E8786C"/>
    <w:rsid w:val="00E92FB5"/>
    <w:rsid w:val="00E94E4B"/>
    <w:rsid w:val="00E94F92"/>
    <w:rsid w:val="00E9785E"/>
    <w:rsid w:val="00EA2825"/>
    <w:rsid w:val="00EA386D"/>
    <w:rsid w:val="00EA3EB8"/>
    <w:rsid w:val="00EA46B0"/>
    <w:rsid w:val="00EB0EF5"/>
    <w:rsid w:val="00EB341E"/>
    <w:rsid w:val="00EB3604"/>
    <w:rsid w:val="00EB5098"/>
    <w:rsid w:val="00EC19C7"/>
    <w:rsid w:val="00EC2C94"/>
    <w:rsid w:val="00EC51DC"/>
    <w:rsid w:val="00EC52D3"/>
    <w:rsid w:val="00EC70EA"/>
    <w:rsid w:val="00ED02CE"/>
    <w:rsid w:val="00ED74D6"/>
    <w:rsid w:val="00EE6077"/>
    <w:rsid w:val="00EE6F75"/>
    <w:rsid w:val="00EE7707"/>
    <w:rsid w:val="00EF0CA6"/>
    <w:rsid w:val="00EF4E3F"/>
    <w:rsid w:val="00EF7D30"/>
    <w:rsid w:val="00F005B4"/>
    <w:rsid w:val="00F02A39"/>
    <w:rsid w:val="00F02B8D"/>
    <w:rsid w:val="00F03C3A"/>
    <w:rsid w:val="00F049E9"/>
    <w:rsid w:val="00F07952"/>
    <w:rsid w:val="00F10D7F"/>
    <w:rsid w:val="00F12D88"/>
    <w:rsid w:val="00F150C5"/>
    <w:rsid w:val="00F15158"/>
    <w:rsid w:val="00F17B83"/>
    <w:rsid w:val="00F212BB"/>
    <w:rsid w:val="00F31352"/>
    <w:rsid w:val="00F31A1E"/>
    <w:rsid w:val="00F31A26"/>
    <w:rsid w:val="00F32174"/>
    <w:rsid w:val="00F35989"/>
    <w:rsid w:val="00F36CBA"/>
    <w:rsid w:val="00F36F63"/>
    <w:rsid w:val="00F423F1"/>
    <w:rsid w:val="00F43066"/>
    <w:rsid w:val="00F45AA8"/>
    <w:rsid w:val="00F45DEB"/>
    <w:rsid w:val="00F473EA"/>
    <w:rsid w:val="00F50DA7"/>
    <w:rsid w:val="00F54B41"/>
    <w:rsid w:val="00F55CE0"/>
    <w:rsid w:val="00F5767B"/>
    <w:rsid w:val="00F6127A"/>
    <w:rsid w:val="00F620BF"/>
    <w:rsid w:val="00F63E58"/>
    <w:rsid w:val="00F653E4"/>
    <w:rsid w:val="00F65AF9"/>
    <w:rsid w:val="00F65DCA"/>
    <w:rsid w:val="00F710BF"/>
    <w:rsid w:val="00F77B5D"/>
    <w:rsid w:val="00F77BCB"/>
    <w:rsid w:val="00F80234"/>
    <w:rsid w:val="00F8023D"/>
    <w:rsid w:val="00F81BE4"/>
    <w:rsid w:val="00F84D74"/>
    <w:rsid w:val="00F853EB"/>
    <w:rsid w:val="00F903B3"/>
    <w:rsid w:val="00F90DC1"/>
    <w:rsid w:val="00F90E60"/>
    <w:rsid w:val="00F92EDC"/>
    <w:rsid w:val="00F954A1"/>
    <w:rsid w:val="00F95726"/>
    <w:rsid w:val="00F96596"/>
    <w:rsid w:val="00FA01A1"/>
    <w:rsid w:val="00FA21F6"/>
    <w:rsid w:val="00FA321F"/>
    <w:rsid w:val="00FA3DE3"/>
    <w:rsid w:val="00FA478D"/>
    <w:rsid w:val="00FA4D0A"/>
    <w:rsid w:val="00FA6711"/>
    <w:rsid w:val="00FB04FA"/>
    <w:rsid w:val="00FB0755"/>
    <w:rsid w:val="00FC361B"/>
    <w:rsid w:val="00FC5468"/>
    <w:rsid w:val="00FC6E9A"/>
    <w:rsid w:val="00FD185E"/>
    <w:rsid w:val="00FD446B"/>
    <w:rsid w:val="00FD6869"/>
    <w:rsid w:val="00FE188D"/>
    <w:rsid w:val="00FE3CD0"/>
    <w:rsid w:val="00FE42D4"/>
    <w:rsid w:val="00FE4372"/>
    <w:rsid w:val="00FE77B0"/>
    <w:rsid w:val="00FF230A"/>
    <w:rsid w:val="00FF4E93"/>
    <w:rsid w:val="00FF56B3"/>
    <w:rsid w:val="0FEF7A61"/>
    <w:rsid w:val="3E2E15D0"/>
    <w:rsid w:val="60BB11A6"/>
  </w:rsids>
  <m:mathPr>
    <m:mathFont m:val="Cambria Math"/>
    <m:brkBin m:val="before"/>
    <m:brkBinSub m:val="--"/>
    <m:smallFrac m:val="0"/>
    <m:dispDef/>
    <m:lMargin m:val="0"/>
    <m:rMargin m:val="0"/>
    <m:defJc m:val="centerGroup"/>
    <m:wrapIndent m:val="1440"/>
    <m:intLim m:val="subSup"/>
    <m:naryLim m:val="undOvr"/>
  </m:mathPr>
  <w:themeFontLang w:val="sq-A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A7752F4"/>
  <w15:chartTrackingRefBased/>
  <w15:docId w15:val="{4765700F-6769-4FE7-B49D-C4038AA96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he-IL"/>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toc 1" w:uiPriority="39"/>
    <w:lsdException w:name="toc 2"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semiHidden="1" w:uiPriority="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99" w:qFormat="1"/>
    <w:lsdException w:name="Light Shading Accent 2" w:uiPriority="99"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31" w:qFormat="1"/>
    <w:lsdException w:name="Intense Reference" w:uiPriority="32"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4719D2"/>
    <w:rPr>
      <w:sz w:val="24"/>
      <w:szCs w:val="24"/>
      <w:lang w:eastAsia="en-US" w:bidi="ar-SA"/>
    </w:rPr>
  </w:style>
  <w:style w:type="paragraph" w:styleId="Heading1">
    <w:name w:val="heading 1"/>
    <w:basedOn w:val="Normal"/>
    <w:next w:val="Normal"/>
    <w:link w:val="Heading1Char"/>
    <w:uiPriority w:val="9"/>
    <w:qFormat/>
    <w:rsid w:val="00165A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45B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rsid w:val="003068BB"/>
    <w:pPr>
      <w:keepNext/>
      <w:keepLines/>
      <w:spacing w:before="40" w:beforeAutospacing="1" w:line="256" w:lineRule="auto"/>
      <w:outlineLvl w:val="2"/>
    </w:pPr>
    <w:rPr>
      <w:rFonts w:ascii="Calibri Light" w:eastAsia="DengXian Light" w:hAnsi="Calibri Light"/>
      <w:color w:val="1F4D78"/>
      <w:lang w:eastAsia="sq-AL"/>
    </w:rPr>
  </w:style>
  <w:style w:type="paragraph" w:styleId="Heading4">
    <w:name w:val="heading 4"/>
    <w:basedOn w:val="Normal"/>
    <w:next w:val="Normal"/>
    <w:link w:val="Heading4Char"/>
    <w:qFormat/>
    <w:rsid w:val="00061547"/>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rsid w:val="004719D2"/>
    <w:pPr>
      <w:keepNext/>
      <w:keepLines/>
      <w:spacing w:before="40" w:line="288" w:lineRule="auto"/>
      <w:ind w:left="1008" w:hanging="1008"/>
      <w:outlineLvl w:val="4"/>
    </w:pPr>
    <w:rPr>
      <w:rFonts w:asciiTheme="majorHAnsi" w:eastAsiaTheme="majorEastAsia" w:hAnsiTheme="majorHAnsi" w:cstheme="majorBidi"/>
      <w:color w:val="2E74B5" w:themeColor="accent1" w:themeShade="BF"/>
      <w:sz w:val="18"/>
      <w:szCs w:val="18"/>
      <w:lang w:val="en-US"/>
    </w:rPr>
  </w:style>
  <w:style w:type="paragraph" w:styleId="Heading6">
    <w:name w:val="heading 6"/>
    <w:basedOn w:val="Normal"/>
    <w:next w:val="Normal"/>
    <w:link w:val="Heading6Char"/>
    <w:uiPriority w:val="9"/>
    <w:semiHidden/>
    <w:unhideWhenUsed/>
    <w:qFormat/>
    <w:rsid w:val="004719D2"/>
    <w:pPr>
      <w:keepNext/>
      <w:keepLines/>
      <w:spacing w:before="40" w:line="288" w:lineRule="auto"/>
      <w:ind w:left="1152" w:hanging="1152"/>
      <w:outlineLvl w:val="5"/>
    </w:pPr>
    <w:rPr>
      <w:rFonts w:asciiTheme="majorHAnsi" w:eastAsiaTheme="majorEastAsia" w:hAnsiTheme="majorHAnsi" w:cstheme="majorBidi"/>
      <w:color w:val="1F4D78" w:themeColor="accent1" w:themeShade="7F"/>
      <w:sz w:val="18"/>
      <w:szCs w:val="18"/>
      <w:lang w:val="en-US"/>
    </w:rPr>
  </w:style>
  <w:style w:type="paragraph" w:styleId="Heading7">
    <w:name w:val="heading 7"/>
    <w:basedOn w:val="Normal"/>
    <w:next w:val="Normal"/>
    <w:link w:val="Heading7Char"/>
    <w:uiPriority w:val="9"/>
    <w:semiHidden/>
    <w:unhideWhenUsed/>
    <w:qFormat/>
    <w:rsid w:val="004719D2"/>
    <w:pPr>
      <w:keepNext/>
      <w:keepLines/>
      <w:spacing w:before="40" w:line="288" w:lineRule="auto"/>
      <w:ind w:left="1296" w:hanging="1296"/>
      <w:outlineLvl w:val="6"/>
    </w:pPr>
    <w:rPr>
      <w:rFonts w:asciiTheme="majorHAnsi" w:eastAsiaTheme="majorEastAsia" w:hAnsiTheme="majorHAnsi" w:cstheme="majorBidi"/>
      <w:i/>
      <w:iCs/>
      <w:color w:val="1F4D78" w:themeColor="accent1" w:themeShade="7F"/>
      <w:sz w:val="18"/>
      <w:szCs w:val="18"/>
      <w:lang w:val="en-US"/>
    </w:rPr>
  </w:style>
  <w:style w:type="paragraph" w:styleId="Heading8">
    <w:name w:val="heading 8"/>
    <w:basedOn w:val="Normal"/>
    <w:next w:val="Normal"/>
    <w:link w:val="Heading8Char"/>
    <w:uiPriority w:val="9"/>
    <w:semiHidden/>
    <w:unhideWhenUsed/>
    <w:qFormat/>
    <w:rsid w:val="004719D2"/>
    <w:pPr>
      <w:keepNext/>
      <w:keepLines/>
      <w:spacing w:before="40" w:line="288"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qFormat/>
    <w:rsid w:val="00061547"/>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rPr>
      <w:sz w:val="24"/>
      <w:lang w:val="en-GB" w:eastAsia="en-US" w:bidi="ar-SA"/>
    </w:rPr>
  </w:style>
  <w:style w:type="character" w:customStyle="1" w:styleId="TitleChar">
    <w:name w:val="Title Char"/>
    <w:link w:val="Title"/>
    <w:rPr>
      <w:rFonts w:ascii="Arial" w:hAnsi="Arial" w:cs="Arial"/>
      <w:b/>
      <w:bCs/>
      <w:sz w:val="24"/>
      <w:szCs w:val="24"/>
      <w:lang w:val="en-US" w:eastAsia="en-US"/>
    </w:rPr>
  </w:style>
  <w:style w:type="character" w:customStyle="1" w:styleId="BalloonTextChar">
    <w:name w:val="Balloon Text Char"/>
    <w:link w:val="BalloonText"/>
    <w:uiPriority w:val="99"/>
    <w:rPr>
      <w:rFonts w:ascii="Tahoma" w:hAnsi="Tahoma" w:cs="Tahoma"/>
      <w:sz w:val="16"/>
      <w:szCs w:val="16"/>
      <w:lang w:val="en-US" w:eastAsia="en-US"/>
    </w:rPr>
  </w:style>
  <w:style w:type="paragraph" w:styleId="BalloonText">
    <w:name w:val="Balloon Text"/>
    <w:basedOn w:val="Normal"/>
    <w:link w:val="BalloonTextChar"/>
    <w:uiPriority w:val="99"/>
    <w:rPr>
      <w:rFonts w:ascii="Tahoma" w:hAnsi="Tahoma"/>
      <w:sz w:val="16"/>
      <w:szCs w:val="16"/>
    </w:rPr>
  </w:style>
  <w:style w:type="paragraph" w:styleId="Footer">
    <w:name w:val="footer"/>
    <w:basedOn w:val="Normal"/>
    <w:link w:val="FooterChar"/>
    <w:uiPriority w:val="99"/>
    <w:pPr>
      <w:tabs>
        <w:tab w:val="center" w:pos="4320"/>
        <w:tab w:val="right" w:pos="8640"/>
      </w:tabs>
    </w:pPr>
  </w:style>
  <w:style w:type="paragraph" w:styleId="Title">
    <w:name w:val="Title"/>
    <w:basedOn w:val="Normal"/>
    <w:link w:val="TitleChar"/>
    <w:qFormat/>
    <w:pPr>
      <w:autoSpaceDE w:val="0"/>
      <w:autoSpaceDN w:val="0"/>
      <w:jc w:val="center"/>
    </w:pPr>
    <w:rPr>
      <w:rFonts w:ascii="Arial" w:hAnsi="Arial"/>
      <w:b/>
      <w:bCs/>
    </w:rPr>
  </w:style>
  <w:style w:type="paragraph" w:styleId="Header">
    <w:name w:val="header"/>
    <w:basedOn w:val="Normal"/>
    <w:link w:val="HeaderChar"/>
    <w:uiPriority w:val="99"/>
    <w:pPr>
      <w:tabs>
        <w:tab w:val="center" w:pos="4153"/>
        <w:tab w:val="right" w:pos="8306"/>
      </w:tabs>
    </w:pPr>
    <w:rPr>
      <w:szCs w:val="20"/>
      <w:lang w:val="en-GB"/>
    </w:rPr>
  </w:style>
  <w:style w:type="paragraph" w:styleId="BodyText2">
    <w:name w:val="Body Text 2"/>
    <w:basedOn w:val="Normal"/>
    <w:pPr>
      <w:spacing w:after="120" w:line="480" w:lineRule="auto"/>
    </w:pPr>
  </w:style>
  <w:style w:type="paragraph" w:styleId="BodyText">
    <w:name w:val="Body Text"/>
    <w:basedOn w:val="Normal"/>
    <w:link w:val="BodyTextChar"/>
    <w:pPr>
      <w:spacing w:after="120"/>
    </w:pPr>
  </w:style>
  <w:style w:type="paragraph" w:customStyle="1" w:styleId="Char">
    <w:name w:val="Char"/>
    <w:basedOn w:val="Normal"/>
    <w:pPr>
      <w:spacing w:after="160" w:line="240" w:lineRule="exact"/>
    </w:pPr>
    <w:rPr>
      <w:rFonts w:ascii="Tahoma" w:eastAsia="MS Mincho" w:hAnsi="Tahoma"/>
      <w:sz w:val="20"/>
      <w:szCs w:val="20"/>
    </w:rPr>
  </w:style>
  <w:style w:type="paragraph" w:customStyle="1" w:styleId="ColorfulList-Accent11">
    <w:name w:val="Colorful List - Accent 11"/>
    <w:basedOn w:val="Normal"/>
    <w:uiPriority w:val="34"/>
    <w:qFormat/>
    <w:pPr>
      <w:ind w:left="720"/>
    </w:pPr>
  </w:style>
  <w:style w:type="paragraph" w:customStyle="1" w:styleId="CharCharCharCharCharCharCharCharCharCharCharCharChar">
    <w:name w:val="Char Char Char Char Char Char Char Char Char Char Char Char Char"/>
    <w:basedOn w:val="Normal"/>
    <w:pPr>
      <w:spacing w:after="160" w:line="240" w:lineRule="exact"/>
    </w:pPr>
    <w:rPr>
      <w:rFonts w:ascii="Tahoma" w:eastAsia="MS Mincho" w:hAnsi="Tahoma" w:cs="Tahoma"/>
      <w:sz w:val="20"/>
      <w:szCs w:val="20"/>
      <w:lang w:eastAsia="sq-AL"/>
    </w:rPr>
  </w:style>
  <w:style w:type="paragraph" w:customStyle="1" w:styleId="CharCharCharCharCharCharChar">
    <w:name w:val="Char Char Char Char Char Char Char"/>
    <w:basedOn w:val="Normal"/>
    <w:pPr>
      <w:spacing w:after="160" w:line="240" w:lineRule="exact"/>
    </w:pPr>
    <w:rPr>
      <w:rFonts w:ascii="Tahoma" w:eastAsia="MS Mincho" w:hAnsi="Tahoma" w:cs="Tahoma"/>
      <w:sz w:val="20"/>
      <w:szCs w:val="20"/>
      <w:lang w:eastAsia="sq-AL"/>
    </w:rPr>
  </w:style>
  <w:style w:type="character" w:styleId="Hyperlink">
    <w:name w:val="Hyperlink"/>
    <w:uiPriority w:val="99"/>
    <w:rsid w:val="0018777C"/>
    <w:rPr>
      <w:color w:val="0563C1"/>
      <w:u w:val="single"/>
    </w:rPr>
  </w:style>
  <w:style w:type="character" w:customStyle="1" w:styleId="Heading3Char">
    <w:name w:val="Heading 3 Char"/>
    <w:link w:val="Heading3"/>
    <w:uiPriority w:val="9"/>
    <w:rsid w:val="003068BB"/>
    <w:rPr>
      <w:rFonts w:ascii="Calibri Light" w:eastAsia="DengXian Light" w:hAnsi="Calibri Light"/>
      <w:color w:val="1F4D78"/>
      <w:sz w:val="24"/>
      <w:szCs w:val="24"/>
    </w:rPr>
  </w:style>
  <w:style w:type="paragraph" w:styleId="CommentText">
    <w:name w:val="annotation text"/>
    <w:basedOn w:val="Normal"/>
    <w:link w:val="CommentTextChar"/>
    <w:uiPriority w:val="99"/>
    <w:unhideWhenUsed/>
    <w:rsid w:val="00D56BDE"/>
    <w:pPr>
      <w:spacing w:after="200"/>
    </w:pPr>
    <w:rPr>
      <w:sz w:val="20"/>
      <w:szCs w:val="20"/>
      <w:lang w:val="x-none" w:eastAsia="x-none"/>
    </w:rPr>
  </w:style>
  <w:style w:type="character" w:customStyle="1" w:styleId="CommentTextChar">
    <w:name w:val="Comment Text Char"/>
    <w:link w:val="CommentText"/>
    <w:uiPriority w:val="99"/>
    <w:rsid w:val="00D56BDE"/>
    <w:rPr>
      <w:lang w:val="x-none" w:eastAsia="x-none"/>
    </w:rPr>
  </w:style>
  <w:style w:type="character" w:styleId="CommentReference">
    <w:name w:val="annotation reference"/>
    <w:uiPriority w:val="99"/>
    <w:rsid w:val="004F28EB"/>
    <w:rPr>
      <w:sz w:val="16"/>
      <w:szCs w:val="16"/>
    </w:rPr>
  </w:style>
  <w:style w:type="paragraph" w:customStyle="1" w:styleId="MediumGrid21">
    <w:name w:val="Medium Grid 21"/>
    <w:uiPriority w:val="1"/>
    <w:qFormat/>
    <w:rsid w:val="006505C0"/>
    <w:rPr>
      <w:rFonts w:eastAsia="Times New Roman"/>
      <w:sz w:val="22"/>
      <w:szCs w:val="22"/>
      <w:lang w:eastAsia="en-US" w:bidi="ar-SA"/>
    </w:rPr>
  </w:style>
  <w:style w:type="character" w:customStyle="1" w:styleId="Heading4Char">
    <w:name w:val="Heading 4 Char"/>
    <w:link w:val="Heading4"/>
    <w:rsid w:val="00061547"/>
    <w:rPr>
      <w:rFonts w:ascii="Calibri" w:eastAsia="Times New Roman" w:hAnsi="Calibri" w:cs="Times New Roman"/>
      <w:b/>
      <w:bCs/>
      <w:sz w:val="28"/>
      <w:szCs w:val="28"/>
      <w:lang w:val="sq-AL"/>
    </w:rPr>
  </w:style>
  <w:style w:type="character" w:customStyle="1" w:styleId="Heading9Char">
    <w:name w:val="Heading 9 Char"/>
    <w:link w:val="Heading9"/>
    <w:uiPriority w:val="9"/>
    <w:semiHidden/>
    <w:rsid w:val="00061547"/>
    <w:rPr>
      <w:rFonts w:ascii="Cambria" w:eastAsia="Times New Roman" w:hAnsi="Cambria" w:cs="Times New Roman"/>
      <w:sz w:val="22"/>
      <w:szCs w:val="22"/>
      <w:lang w:val="sq-AL"/>
    </w:rPr>
  </w:style>
  <w:style w:type="character" w:customStyle="1" w:styleId="FooterChar">
    <w:name w:val="Footer Char"/>
    <w:link w:val="Footer"/>
    <w:uiPriority w:val="99"/>
    <w:rsid w:val="00E4626C"/>
    <w:rPr>
      <w:sz w:val="24"/>
      <w:szCs w:val="24"/>
      <w:lang w:val="sq-AL"/>
    </w:rPr>
  </w:style>
  <w:style w:type="paragraph" w:styleId="CommentSubject">
    <w:name w:val="annotation subject"/>
    <w:basedOn w:val="CommentText"/>
    <w:next w:val="CommentText"/>
    <w:link w:val="CommentSubjectChar"/>
    <w:uiPriority w:val="99"/>
    <w:rsid w:val="002B2DE0"/>
    <w:pPr>
      <w:spacing w:after="0"/>
    </w:pPr>
    <w:rPr>
      <w:b/>
      <w:bCs/>
      <w:lang w:val="sq-AL" w:eastAsia="en-US"/>
    </w:rPr>
  </w:style>
  <w:style w:type="character" w:customStyle="1" w:styleId="CommentSubjectChar">
    <w:name w:val="Comment Subject Char"/>
    <w:link w:val="CommentSubject"/>
    <w:uiPriority w:val="99"/>
    <w:rsid w:val="002B2DE0"/>
    <w:rPr>
      <w:b/>
      <w:bCs/>
      <w:lang w:val="sq-AL" w:eastAsia="x-none"/>
    </w:rPr>
  </w:style>
  <w:style w:type="paragraph" w:styleId="ListParagraph">
    <w:name w:val="List Paragraph"/>
    <w:aliases w:val="Akapit z list¹ B,Akapit z listą BS,List Paragraph1,Bullet1,List Paragraph (numbered (a)),Normal 1,List Paragraph 1,Bullets,NumberedParas,Dot pt,F5 List Paragraph,List Paragraph Char Char Char,Indicator Text,Numbered Para 1,Bullet 1"/>
    <w:basedOn w:val="Normal"/>
    <w:link w:val="ListParagraphChar"/>
    <w:uiPriority w:val="34"/>
    <w:qFormat/>
    <w:rsid w:val="00473A30"/>
    <w:pPr>
      <w:ind w:left="720"/>
    </w:pPr>
  </w:style>
  <w:style w:type="paragraph" w:customStyle="1" w:styleId="TEKSTIII">
    <w:name w:val="TEKSTIII"/>
    <w:basedOn w:val="Normal"/>
    <w:qFormat/>
    <w:rsid w:val="00295719"/>
    <w:pPr>
      <w:ind w:firstLine="284"/>
      <w:jc w:val="both"/>
    </w:pPr>
    <w:rPr>
      <w:rFonts w:ascii="Garamond" w:hAnsi="Garamond"/>
    </w:rPr>
  </w:style>
  <w:style w:type="character" w:customStyle="1" w:styleId="Heading1Char">
    <w:name w:val="Heading 1 Char"/>
    <w:basedOn w:val="DefaultParagraphFont"/>
    <w:link w:val="Heading1"/>
    <w:uiPriority w:val="9"/>
    <w:rsid w:val="00165A28"/>
    <w:rPr>
      <w:rFonts w:asciiTheme="majorHAnsi" w:eastAsiaTheme="majorEastAsia" w:hAnsiTheme="majorHAnsi" w:cstheme="majorBidi"/>
      <w:color w:val="2E74B5" w:themeColor="accent1" w:themeShade="BF"/>
      <w:sz w:val="32"/>
      <w:szCs w:val="32"/>
      <w:lang w:eastAsia="en-US" w:bidi="ar-SA"/>
    </w:rPr>
  </w:style>
  <w:style w:type="character" w:styleId="IntenseReference">
    <w:name w:val="Intense Reference"/>
    <w:uiPriority w:val="32"/>
    <w:qFormat/>
    <w:rsid w:val="00165A28"/>
    <w:rPr>
      <w:rFonts w:ascii="Arial" w:eastAsiaTheme="minorHAnsi" w:hAnsi="Arial" w:cs="Arial"/>
      <w:i/>
      <w:color w:val="0070C0"/>
      <w:sz w:val="18"/>
      <w:szCs w:val="18"/>
    </w:rPr>
  </w:style>
  <w:style w:type="table" w:customStyle="1" w:styleId="TableGridIDEA6">
    <w:name w:val="Table Grid IDEA6"/>
    <w:basedOn w:val="TableNormal"/>
    <w:next w:val="TableGrid"/>
    <w:uiPriority w:val="39"/>
    <w:rsid w:val="00165A28"/>
    <w:rPr>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_russell,TabelEcorys,HTG,Table Grid IDEA"/>
    <w:basedOn w:val="TableNormal"/>
    <w:uiPriority w:val="39"/>
    <w:rsid w:val="00165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ullet">
    <w:name w:val="T-bullet"/>
    <w:basedOn w:val="Normal"/>
    <w:link w:val="T-bulletChar"/>
    <w:qFormat/>
    <w:rsid w:val="00EB5098"/>
    <w:pPr>
      <w:autoSpaceDE w:val="0"/>
      <w:autoSpaceDN w:val="0"/>
      <w:adjustRightInd w:val="0"/>
      <w:spacing w:line="230" w:lineRule="atLeast"/>
      <w:ind w:left="360" w:hanging="360"/>
    </w:pPr>
    <w:rPr>
      <w:rFonts w:ascii="Arial" w:hAnsi="Arial" w:cs="Arial"/>
      <w:color w:val="000000"/>
      <w:sz w:val="16"/>
      <w:szCs w:val="16"/>
      <w:lang w:eastAsia="sq-AL"/>
    </w:rPr>
  </w:style>
  <w:style w:type="paragraph" w:customStyle="1" w:styleId="N-Bullet">
    <w:name w:val="N-Bullet"/>
    <w:basedOn w:val="ListParagraph"/>
    <w:link w:val="N-BulletChar"/>
    <w:qFormat/>
    <w:rsid w:val="00EB5098"/>
    <w:pPr>
      <w:autoSpaceDE w:val="0"/>
      <w:autoSpaceDN w:val="0"/>
      <w:adjustRightInd w:val="0"/>
      <w:spacing w:line="258" w:lineRule="atLeast"/>
      <w:ind w:left="360" w:hanging="360"/>
    </w:pPr>
    <w:rPr>
      <w:rFonts w:ascii="Arial" w:hAnsi="Arial" w:cs="Arial"/>
      <w:color w:val="000000"/>
      <w:sz w:val="18"/>
      <w:szCs w:val="18"/>
      <w:lang w:eastAsia="sq-AL"/>
    </w:rPr>
  </w:style>
  <w:style w:type="paragraph" w:customStyle="1" w:styleId="T-Bullet0">
    <w:name w:val="T-Bullet"/>
    <w:basedOn w:val="Normal"/>
    <w:link w:val="T-BulletChar0"/>
    <w:qFormat/>
    <w:rsid w:val="00EB5098"/>
    <w:pPr>
      <w:tabs>
        <w:tab w:val="left" w:pos="360"/>
      </w:tabs>
      <w:autoSpaceDE w:val="0"/>
      <w:autoSpaceDN w:val="0"/>
      <w:adjustRightInd w:val="0"/>
      <w:spacing w:line="210" w:lineRule="atLeast"/>
      <w:ind w:left="360" w:hanging="360"/>
    </w:pPr>
    <w:rPr>
      <w:rFonts w:ascii="Arial" w:hAnsi="Arial" w:cs="Arial"/>
      <w:color w:val="000000"/>
      <w:sz w:val="16"/>
      <w:szCs w:val="16"/>
      <w:lang w:eastAsia="sq-AL"/>
    </w:rPr>
  </w:style>
  <w:style w:type="paragraph" w:customStyle="1" w:styleId="N-Bold">
    <w:name w:val="N-Bold"/>
    <w:basedOn w:val="Normal"/>
    <w:link w:val="N-BoldChar"/>
    <w:qFormat/>
    <w:rsid w:val="00EB5098"/>
    <w:pPr>
      <w:autoSpaceDE w:val="0"/>
      <w:autoSpaceDN w:val="0"/>
      <w:adjustRightInd w:val="0"/>
      <w:spacing w:line="258" w:lineRule="atLeast"/>
    </w:pPr>
    <w:rPr>
      <w:rFonts w:ascii="Times New Roman" w:hAnsi="Times New Roman"/>
      <w:b/>
      <w:bCs/>
      <w:color w:val="000000"/>
      <w:sz w:val="18"/>
      <w:szCs w:val="18"/>
      <w:lang w:eastAsia="sq-AL"/>
    </w:rPr>
  </w:style>
  <w:style w:type="character" w:customStyle="1" w:styleId="Heading2Char">
    <w:name w:val="Heading 2 Char"/>
    <w:basedOn w:val="DefaultParagraphFont"/>
    <w:link w:val="Heading2"/>
    <w:uiPriority w:val="9"/>
    <w:rsid w:val="006D45BD"/>
    <w:rPr>
      <w:rFonts w:asciiTheme="majorHAnsi" w:eastAsiaTheme="majorEastAsia" w:hAnsiTheme="majorHAnsi" w:cstheme="majorBidi"/>
      <w:color w:val="2E74B5" w:themeColor="accent1" w:themeShade="BF"/>
      <w:sz w:val="26"/>
      <w:szCs w:val="26"/>
      <w:lang w:eastAsia="en-US" w:bidi="ar-SA"/>
    </w:rPr>
  </w:style>
  <w:style w:type="paragraph" w:customStyle="1" w:styleId="T-normal">
    <w:name w:val="T-normal"/>
    <w:basedOn w:val="Normal"/>
    <w:link w:val="T-normalChar"/>
    <w:qFormat/>
    <w:rsid w:val="00D023C7"/>
    <w:pPr>
      <w:spacing w:line="288" w:lineRule="auto"/>
    </w:pPr>
    <w:rPr>
      <w:rFonts w:ascii="Arial" w:eastAsiaTheme="minorHAnsi" w:hAnsi="Arial" w:cs="Arial"/>
      <w:sz w:val="16"/>
      <w:szCs w:val="16"/>
      <w:lang w:val="en-US"/>
    </w:rPr>
  </w:style>
  <w:style w:type="character" w:customStyle="1" w:styleId="T-normalChar">
    <w:name w:val="T-normal Char"/>
    <w:basedOn w:val="DefaultParagraphFont"/>
    <w:link w:val="T-normal"/>
    <w:rsid w:val="00D023C7"/>
    <w:rPr>
      <w:rFonts w:ascii="Arial" w:eastAsiaTheme="minorHAnsi" w:hAnsi="Arial" w:cs="Arial"/>
      <w:sz w:val="16"/>
      <w:szCs w:val="16"/>
      <w:lang w:val="en-US" w:eastAsia="en-US" w:bidi="ar-SA"/>
    </w:rPr>
  </w:style>
  <w:style w:type="table" w:customStyle="1" w:styleId="TableGridIDEA5">
    <w:name w:val="Table Grid IDEA5"/>
    <w:basedOn w:val="TableNormal"/>
    <w:next w:val="TableGrid"/>
    <w:uiPriority w:val="39"/>
    <w:rsid w:val="007534E2"/>
    <w:rPr>
      <w:rFonts w:asciiTheme="minorHAnsi" w:eastAsiaTheme="minorHAnsi" w:hAnsiTheme="minorHAnsi" w:cstheme="minorBidi"/>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kapit z list¹ B Char,Akapit z listą BS Char,List Paragraph1 Char,Bullet1 Char,List Paragraph (numbered (a)) Char,Normal 1 Char,List Paragraph 1 Char,Bullets Char,NumberedParas Char,Dot pt Char,F5 List Paragraph Char,Bullet 1 Char"/>
    <w:link w:val="ListParagraph"/>
    <w:uiPriority w:val="34"/>
    <w:qFormat/>
    <w:locked/>
    <w:rsid w:val="001326BB"/>
    <w:rPr>
      <w:sz w:val="24"/>
      <w:szCs w:val="24"/>
      <w:lang w:eastAsia="en-US" w:bidi="ar-SA"/>
    </w:rPr>
  </w:style>
  <w:style w:type="paragraph" w:styleId="FootnoteText">
    <w:name w:val="footnote text"/>
    <w:aliases w:val="single space,footnote text,fn,ALTS FOOTNOTE,ADB,ft,Footnote Text Char1,Footnote Text Char Char,FOOTNOTES,Footnote Text Char Car Char,single space1,footnote text1,fn1,Footnote Text Char2 Char,WB-Fußnotentext,Footnote,f,AD,Fußnote, Char,FN"/>
    <w:basedOn w:val="Normal"/>
    <w:link w:val="FootnoteTextChar"/>
    <w:uiPriority w:val="99"/>
    <w:unhideWhenUsed/>
    <w:qFormat/>
    <w:rsid w:val="001326BB"/>
    <w:rPr>
      <w:rFonts w:ascii="Arial" w:eastAsiaTheme="minorHAnsi" w:hAnsi="Arial" w:cs="Arial"/>
      <w:sz w:val="20"/>
      <w:szCs w:val="20"/>
      <w:lang w:val="en-US"/>
    </w:rPr>
  </w:style>
  <w:style w:type="character" w:customStyle="1" w:styleId="FootnoteTextChar">
    <w:name w:val="Footnote Text Char"/>
    <w:aliases w:val="single space Char1,footnote text Char1,fn Char1,ALTS FOOTNOTE Char1,ADB Char1,ft Char1,Footnote Text Char1 Char1,Footnote Text Char Char Char1,FOOTNOTES Char1,Footnote Text Char Car Char Char1,single space1 Char1,footnote text1 Char1"/>
    <w:basedOn w:val="DefaultParagraphFont"/>
    <w:link w:val="FootnoteText"/>
    <w:uiPriority w:val="99"/>
    <w:rsid w:val="001326BB"/>
    <w:rPr>
      <w:rFonts w:ascii="Arial" w:eastAsiaTheme="minorHAnsi" w:hAnsi="Arial" w:cs="Arial"/>
      <w:lang w:val="en-US" w:eastAsia="en-US" w:bidi="ar-SA"/>
    </w:rPr>
  </w:style>
  <w:style w:type="character" w:styleId="FootnoteReference">
    <w:name w:val="footnote reference"/>
    <w:aliases w:val="ftref,Char Char,BVI fnr,ftref Char,BVI fnr Char,BVI fnr Car Char,Char Char Car Char,Char Char Char Char Char Char Char Char Char Char Char Char Char Char Char Char Char Char Char Char Car Char,16 Point Char,fr,R,16 Point,sobrescrito"/>
    <w:basedOn w:val="DefaultParagraphFont"/>
    <w:link w:val="BVIfnrCarCarCarCarChar"/>
    <w:uiPriority w:val="99"/>
    <w:unhideWhenUsed/>
    <w:qFormat/>
    <w:rsid w:val="001326BB"/>
    <w:rPr>
      <w:rFonts w:ascii="Arial" w:hAnsi="Arial"/>
      <w:sz w:val="18"/>
      <w:szCs w:val="14"/>
      <w:vertAlign w:val="superscript"/>
    </w:rPr>
  </w:style>
  <w:style w:type="paragraph" w:customStyle="1" w:styleId="BVIfnrCarCarCarCarChar">
    <w:name w:val="BVI fnr Car Car Car Car Char"/>
    <w:basedOn w:val="Normal"/>
    <w:link w:val="FootnoteReference"/>
    <w:uiPriority w:val="99"/>
    <w:rsid w:val="001326BB"/>
    <w:pPr>
      <w:spacing w:line="288" w:lineRule="auto"/>
      <w:ind w:left="284" w:hanging="284"/>
      <w:jc w:val="both"/>
    </w:pPr>
    <w:rPr>
      <w:rFonts w:ascii="Arial" w:hAnsi="Arial"/>
      <w:sz w:val="18"/>
      <w:szCs w:val="14"/>
      <w:vertAlign w:val="superscript"/>
      <w:lang w:eastAsia="sq-AL" w:bidi="he-IL"/>
    </w:rPr>
  </w:style>
  <w:style w:type="character" w:customStyle="1" w:styleId="N-BulletChar">
    <w:name w:val="N-Bullet Char"/>
    <w:basedOn w:val="ListParagraphChar"/>
    <w:link w:val="N-Bullet"/>
    <w:rsid w:val="001326BB"/>
    <w:rPr>
      <w:rFonts w:ascii="Arial" w:hAnsi="Arial" w:cs="Arial"/>
      <w:color w:val="000000"/>
      <w:sz w:val="18"/>
      <w:szCs w:val="18"/>
      <w:lang w:eastAsia="en-US" w:bidi="ar-SA"/>
    </w:rPr>
  </w:style>
  <w:style w:type="character" w:customStyle="1" w:styleId="rynqvb">
    <w:name w:val="rynqvb"/>
    <w:basedOn w:val="DefaultParagraphFont"/>
    <w:rsid w:val="001326BB"/>
  </w:style>
  <w:style w:type="character" w:customStyle="1" w:styleId="hwtze">
    <w:name w:val="hwtze"/>
    <w:basedOn w:val="DefaultParagraphFont"/>
    <w:rsid w:val="001326BB"/>
  </w:style>
  <w:style w:type="paragraph" w:customStyle="1" w:styleId="H5">
    <w:name w:val="H5"/>
    <w:basedOn w:val="Normal"/>
    <w:link w:val="H5Char"/>
    <w:qFormat/>
    <w:rsid w:val="00A575D4"/>
    <w:pPr>
      <w:autoSpaceDE w:val="0"/>
      <w:autoSpaceDN w:val="0"/>
      <w:adjustRightInd w:val="0"/>
      <w:spacing w:after="60" w:line="258" w:lineRule="atLeast"/>
    </w:pPr>
    <w:rPr>
      <w:rFonts w:ascii="Arial" w:hAnsi="Arial" w:cs="Arial"/>
      <w:b/>
      <w:bCs/>
      <w:color w:val="0070C0"/>
      <w:sz w:val="18"/>
      <w:szCs w:val="18"/>
      <w:lang w:eastAsia="sq-AL"/>
    </w:rPr>
  </w:style>
  <w:style w:type="character" w:customStyle="1" w:styleId="H5Char">
    <w:name w:val="H5 Char"/>
    <w:basedOn w:val="DefaultParagraphFont"/>
    <w:link w:val="H5"/>
    <w:rsid w:val="00C135D2"/>
    <w:rPr>
      <w:rFonts w:ascii="Arial" w:hAnsi="Arial" w:cs="Arial"/>
      <w:b/>
      <w:bCs/>
      <w:color w:val="0070C0"/>
      <w:sz w:val="18"/>
      <w:szCs w:val="18"/>
      <w:lang w:bidi="ar-SA"/>
    </w:rPr>
  </w:style>
  <w:style w:type="character" w:customStyle="1" w:styleId="EcorysBodyChar">
    <w:name w:val="Ecorys Body Char"/>
    <w:basedOn w:val="DefaultParagraphFont"/>
    <w:link w:val="EcorysBody"/>
    <w:locked/>
    <w:rsid w:val="00C135D2"/>
    <w:rPr>
      <w:rFonts w:ascii="Open Sans Light" w:hAnsi="Open Sans Light" w:cs="Open Sans Light"/>
      <w:sz w:val="18"/>
    </w:rPr>
  </w:style>
  <w:style w:type="paragraph" w:customStyle="1" w:styleId="EcorysBody">
    <w:name w:val="Ecorys Body"/>
    <w:link w:val="EcorysBodyChar"/>
    <w:rsid w:val="00C135D2"/>
    <w:pPr>
      <w:spacing w:line="264" w:lineRule="auto"/>
    </w:pPr>
    <w:rPr>
      <w:rFonts w:ascii="Open Sans Light" w:hAnsi="Open Sans Light" w:cs="Open Sans Light"/>
      <w:sz w:val="18"/>
    </w:rPr>
  </w:style>
  <w:style w:type="character" w:customStyle="1" w:styleId="UnresolvedMention1">
    <w:name w:val="Unresolved Mention1"/>
    <w:basedOn w:val="DefaultParagraphFont"/>
    <w:uiPriority w:val="99"/>
    <w:semiHidden/>
    <w:unhideWhenUsed/>
    <w:rsid w:val="00C135D2"/>
    <w:rPr>
      <w:color w:val="605E5C"/>
      <w:shd w:val="clear" w:color="auto" w:fill="E1DFDD"/>
    </w:rPr>
  </w:style>
  <w:style w:type="paragraph" w:customStyle="1" w:styleId="T-number">
    <w:name w:val="T-number"/>
    <w:basedOn w:val="EcorysBody"/>
    <w:link w:val="T-numberChar"/>
    <w:qFormat/>
    <w:rsid w:val="00C135D2"/>
    <w:pPr>
      <w:numPr>
        <w:numId w:val="1"/>
      </w:numPr>
    </w:pPr>
    <w:rPr>
      <w:rFonts w:ascii="Arial" w:hAnsi="Arial" w:cs="Arial"/>
      <w:sz w:val="16"/>
      <w:szCs w:val="16"/>
      <w:lang w:val="en-GB"/>
    </w:rPr>
  </w:style>
  <w:style w:type="character" w:customStyle="1" w:styleId="T-numberChar">
    <w:name w:val="T-number Char"/>
    <w:basedOn w:val="EcorysBodyChar"/>
    <w:link w:val="T-number"/>
    <w:rsid w:val="00C135D2"/>
    <w:rPr>
      <w:rFonts w:ascii="Arial" w:hAnsi="Arial" w:cs="Arial"/>
      <w:sz w:val="16"/>
      <w:szCs w:val="16"/>
      <w:lang w:val="en-GB"/>
    </w:rPr>
  </w:style>
  <w:style w:type="paragraph" w:customStyle="1" w:styleId="T-bold">
    <w:name w:val="T-bold"/>
    <w:basedOn w:val="EcorysBody"/>
    <w:link w:val="T-boldChar"/>
    <w:qFormat/>
    <w:rsid w:val="00C135D2"/>
    <w:rPr>
      <w:rFonts w:ascii="Arial" w:hAnsi="Arial" w:cs="Arial"/>
      <w:b/>
      <w:bCs/>
      <w:sz w:val="16"/>
      <w:szCs w:val="16"/>
    </w:rPr>
  </w:style>
  <w:style w:type="character" w:customStyle="1" w:styleId="T-boldChar">
    <w:name w:val="T-bold Char"/>
    <w:basedOn w:val="EcorysBodyChar"/>
    <w:link w:val="T-bold"/>
    <w:rsid w:val="00C135D2"/>
    <w:rPr>
      <w:rFonts w:ascii="Arial" w:hAnsi="Arial" w:cs="Arial"/>
      <w:b/>
      <w:bCs/>
      <w:sz w:val="16"/>
      <w:szCs w:val="16"/>
    </w:rPr>
  </w:style>
  <w:style w:type="character" w:customStyle="1" w:styleId="Heading5Char">
    <w:name w:val="Heading 5 Char"/>
    <w:basedOn w:val="DefaultParagraphFont"/>
    <w:link w:val="Heading5"/>
    <w:uiPriority w:val="9"/>
    <w:semiHidden/>
    <w:rsid w:val="004719D2"/>
    <w:rPr>
      <w:rFonts w:asciiTheme="majorHAnsi" w:eastAsiaTheme="majorEastAsia" w:hAnsiTheme="majorHAnsi" w:cstheme="majorBidi"/>
      <w:color w:val="2E74B5" w:themeColor="accent1" w:themeShade="BF"/>
      <w:sz w:val="18"/>
      <w:szCs w:val="18"/>
      <w:lang w:val="en-US" w:eastAsia="en-US" w:bidi="ar-SA"/>
    </w:rPr>
  </w:style>
  <w:style w:type="character" w:customStyle="1" w:styleId="Heading6Char">
    <w:name w:val="Heading 6 Char"/>
    <w:basedOn w:val="DefaultParagraphFont"/>
    <w:link w:val="Heading6"/>
    <w:uiPriority w:val="9"/>
    <w:semiHidden/>
    <w:rsid w:val="004719D2"/>
    <w:rPr>
      <w:rFonts w:asciiTheme="majorHAnsi" w:eastAsiaTheme="majorEastAsia" w:hAnsiTheme="majorHAnsi" w:cstheme="majorBidi"/>
      <w:color w:val="1F4D78" w:themeColor="accent1" w:themeShade="7F"/>
      <w:sz w:val="18"/>
      <w:szCs w:val="18"/>
      <w:lang w:val="en-US" w:eastAsia="en-US" w:bidi="ar-SA"/>
    </w:rPr>
  </w:style>
  <w:style w:type="character" w:customStyle="1" w:styleId="Heading7Char">
    <w:name w:val="Heading 7 Char"/>
    <w:basedOn w:val="DefaultParagraphFont"/>
    <w:link w:val="Heading7"/>
    <w:uiPriority w:val="9"/>
    <w:semiHidden/>
    <w:rsid w:val="004719D2"/>
    <w:rPr>
      <w:rFonts w:asciiTheme="majorHAnsi" w:eastAsiaTheme="majorEastAsia" w:hAnsiTheme="majorHAnsi" w:cstheme="majorBidi"/>
      <w:i/>
      <w:iCs/>
      <w:color w:val="1F4D78" w:themeColor="accent1" w:themeShade="7F"/>
      <w:sz w:val="18"/>
      <w:szCs w:val="18"/>
      <w:lang w:val="en-US" w:eastAsia="en-US" w:bidi="ar-SA"/>
    </w:rPr>
  </w:style>
  <w:style w:type="character" w:customStyle="1" w:styleId="Heading8Char">
    <w:name w:val="Heading 8 Char"/>
    <w:basedOn w:val="DefaultParagraphFont"/>
    <w:link w:val="Heading8"/>
    <w:uiPriority w:val="9"/>
    <w:semiHidden/>
    <w:rsid w:val="004719D2"/>
    <w:rPr>
      <w:rFonts w:asciiTheme="majorHAnsi" w:eastAsiaTheme="majorEastAsia" w:hAnsiTheme="majorHAnsi" w:cstheme="majorBidi"/>
      <w:color w:val="272727" w:themeColor="text1" w:themeTint="D8"/>
      <w:sz w:val="21"/>
      <w:szCs w:val="21"/>
      <w:lang w:val="en-US" w:eastAsia="en-US" w:bidi="ar-SA"/>
    </w:rPr>
  </w:style>
  <w:style w:type="paragraph" w:customStyle="1" w:styleId="normalPFM-bullet">
    <w:name w:val="normal PFM -bullet"/>
    <w:basedOn w:val="Normal"/>
    <w:uiPriority w:val="99"/>
    <w:rsid w:val="004719D2"/>
    <w:pPr>
      <w:spacing w:before="20" w:after="20" w:line="252" w:lineRule="auto"/>
      <w:jc w:val="both"/>
    </w:pPr>
    <w:rPr>
      <w:rFonts w:eastAsiaTheme="minorHAnsi"/>
      <w:b/>
      <w:sz w:val="21"/>
      <w:szCs w:val="21"/>
      <w:lang w:val="en-GB"/>
    </w:rPr>
  </w:style>
  <w:style w:type="character" w:styleId="SubtleReference">
    <w:name w:val="Subtle Reference"/>
    <w:basedOn w:val="DefaultParagraphFont"/>
    <w:uiPriority w:val="31"/>
    <w:rsid w:val="004719D2"/>
    <w:rPr>
      <w:smallCaps/>
      <w:color w:val="5A5A5A" w:themeColor="text1" w:themeTint="A5"/>
    </w:rPr>
  </w:style>
  <w:style w:type="character" w:customStyle="1" w:styleId="NormalPFM1Char">
    <w:name w:val="Normal PFM 1 Char"/>
    <w:link w:val="NormalPFM1"/>
    <w:locked/>
    <w:rsid w:val="004719D2"/>
    <w:rPr>
      <w:sz w:val="21"/>
      <w:szCs w:val="21"/>
      <w:lang w:val="en-GB"/>
    </w:rPr>
  </w:style>
  <w:style w:type="paragraph" w:customStyle="1" w:styleId="NormalPFM1">
    <w:name w:val="Normal PFM 1"/>
    <w:basedOn w:val="Normal"/>
    <w:link w:val="NormalPFM1Char"/>
    <w:rsid w:val="004719D2"/>
    <w:pPr>
      <w:spacing w:before="80" w:after="80" w:line="252" w:lineRule="auto"/>
      <w:jc w:val="both"/>
    </w:pPr>
    <w:rPr>
      <w:sz w:val="21"/>
      <w:szCs w:val="21"/>
      <w:lang w:val="en-GB" w:eastAsia="sq-AL" w:bidi="he-IL"/>
    </w:rPr>
  </w:style>
  <w:style w:type="paragraph" w:styleId="NormalWeb">
    <w:name w:val="Normal (Web)"/>
    <w:basedOn w:val="Normal"/>
    <w:uiPriority w:val="99"/>
    <w:unhideWhenUsed/>
    <w:rsid w:val="004719D2"/>
    <w:pPr>
      <w:spacing w:before="100" w:beforeAutospacing="1" w:after="100" w:afterAutospacing="1"/>
    </w:pPr>
    <w:rPr>
      <w:rFonts w:ascii="Times New Roman" w:eastAsia="Times New Roman" w:hAnsi="Times New Roman"/>
      <w:lang w:val="en-US"/>
    </w:rPr>
  </w:style>
  <w:style w:type="character" w:customStyle="1" w:styleId="jlqj4b">
    <w:name w:val="jlqj4b"/>
    <w:basedOn w:val="DefaultParagraphFont"/>
    <w:rsid w:val="004719D2"/>
  </w:style>
  <w:style w:type="character" w:customStyle="1" w:styleId="markedcontent">
    <w:name w:val="markedcontent"/>
    <w:basedOn w:val="DefaultParagraphFont"/>
    <w:rsid w:val="004719D2"/>
  </w:style>
  <w:style w:type="paragraph" w:customStyle="1" w:styleId="title-doc-first">
    <w:name w:val="title-doc-first"/>
    <w:basedOn w:val="Normal"/>
    <w:rsid w:val="004719D2"/>
    <w:pPr>
      <w:spacing w:before="100" w:beforeAutospacing="1" w:after="100" w:afterAutospacing="1"/>
    </w:pPr>
    <w:rPr>
      <w:rFonts w:ascii="Times New Roman" w:eastAsia="Times New Roman" w:hAnsi="Times New Roman"/>
      <w:lang w:val="en-US"/>
    </w:rPr>
  </w:style>
  <w:style w:type="paragraph" w:customStyle="1" w:styleId="title-doc-last">
    <w:name w:val="title-doc-last"/>
    <w:basedOn w:val="Normal"/>
    <w:rsid w:val="004719D2"/>
    <w:pPr>
      <w:spacing w:before="100" w:beforeAutospacing="1" w:after="100" w:afterAutospacing="1"/>
    </w:pPr>
    <w:rPr>
      <w:rFonts w:ascii="Times New Roman" w:eastAsia="Times New Roman" w:hAnsi="Times New Roman"/>
      <w:lang w:val="en-US"/>
    </w:rPr>
  </w:style>
  <w:style w:type="character" w:customStyle="1" w:styleId="FootnoteTextChar2">
    <w:name w:val="Footnote Text Char2"/>
    <w:aliases w:val="single space Char,footnote text Char,fn Char,ALTS FOOTNOTE Char,ADB Char,ft Char,Footnote Text Char1 Char,Footnote Text Char Char Char,FOOTNOTES Char,Footnote Text Char Car Char Char,single space1 Char,footnote text1 Char,fn1 Char"/>
    <w:uiPriority w:val="99"/>
    <w:semiHidden/>
    <w:locked/>
    <w:rsid w:val="004719D2"/>
    <w:rPr>
      <w:rFonts w:ascii="Calibri" w:hAnsi="Calibri" w:cs="Times New Roman"/>
      <w:sz w:val="21"/>
      <w:szCs w:val="21"/>
      <w:lang w:val="en-GB"/>
    </w:rPr>
  </w:style>
  <w:style w:type="character" w:styleId="Strong">
    <w:name w:val="Strong"/>
    <w:aliases w:val="H4"/>
    <w:basedOn w:val="DefaultParagraphFont"/>
    <w:uiPriority w:val="22"/>
    <w:qFormat/>
    <w:rsid w:val="004719D2"/>
    <w:rPr>
      <w:rFonts w:ascii="Arial" w:hAnsi="Arial"/>
      <w:b/>
      <w:color w:val="0070C0"/>
      <w:sz w:val="18"/>
    </w:rPr>
  </w:style>
  <w:style w:type="paragraph" w:customStyle="1" w:styleId="N-Number">
    <w:name w:val="N-Number"/>
    <w:basedOn w:val="ListParagraph"/>
    <w:link w:val="N-NumberChar"/>
    <w:qFormat/>
    <w:rsid w:val="004719D2"/>
    <w:pPr>
      <w:numPr>
        <w:numId w:val="4"/>
      </w:numPr>
      <w:spacing w:line="288" w:lineRule="auto"/>
      <w:contextualSpacing/>
    </w:pPr>
    <w:rPr>
      <w:rFonts w:ascii="Arial" w:eastAsiaTheme="minorHAnsi" w:hAnsi="Arial" w:cs="Arial"/>
      <w:sz w:val="18"/>
      <w:szCs w:val="18"/>
      <w:lang w:val="en-US"/>
    </w:rPr>
  </w:style>
  <w:style w:type="character" w:customStyle="1" w:styleId="N-NumberChar">
    <w:name w:val="N-Number Char"/>
    <w:basedOn w:val="ListParagraphChar"/>
    <w:link w:val="N-Number"/>
    <w:rsid w:val="004719D2"/>
    <w:rPr>
      <w:rFonts w:ascii="Arial" w:eastAsiaTheme="minorHAnsi" w:hAnsi="Arial" w:cs="Arial"/>
      <w:sz w:val="18"/>
      <w:szCs w:val="18"/>
      <w:lang w:val="en-US" w:eastAsia="en-US" w:bidi="ar-SA"/>
    </w:rPr>
  </w:style>
  <w:style w:type="paragraph" w:customStyle="1" w:styleId="DefaultText">
    <w:name w:val="Default Text"/>
    <w:basedOn w:val="Normal"/>
    <w:link w:val="DefaultTextChar"/>
    <w:rsid w:val="004719D2"/>
    <w:pPr>
      <w:spacing w:line="280" w:lineRule="atLeast"/>
    </w:pPr>
    <w:rPr>
      <w:rFonts w:ascii="Arial" w:eastAsia="Times New Roman" w:hAnsi="Arial"/>
      <w:sz w:val="18"/>
      <w:lang w:val="en-GB" w:eastAsia="nl-NL"/>
    </w:rPr>
  </w:style>
  <w:style w:type="character" w:customStyle="1" w:styleId="DefaultTextChar">
    <w:name w:val="Default Text Char"/>
    <w:basedOn w:val="DefaultParagraphFont"/>
    <w:link w:val="DefaultText"/>
    <w:rsid w:val="004719D2"/>
    <w:rPr>
      <w:rFonts w:ascii="Arial" w:eastAsia="Times New Roman" w:hAnsi="Arial"/>
      <w:sz w:val="18"/>
      <w:szCs w:val="24"/>
      <w:lang w:val="en-GB" w:eastAsia="nl-NL" w:bidi="ar-SA"/>
    </w:rPr>
  </w:style>
  <w:style w:type="paragraph" w:customStyle="1" w:styleId="gmail-msolistparagraph">
    <w:name w:val="gmail-msolistparagraph"/>
    <w:basedOn w:val="Normal"/>
    <w:rsid w:val="004719D2"/>
    <w:pPr>
      <w:spacing w:before="100" w:beforeAutospacing="1" w:after="100" w:afterAutospacing="1"/>
    </w:pPr>
    <w:rPr>
      <w:rFonts w:eastAsiaTheme="minorHAnsi" w:cs="Calibri"/>
      <w:sz w:val="22"/>
      <w:szCs w:val="22"/>
      <w:lang w:val="en-US"/>
    </w:rPr>
  </w:style>
  <w:style w:type="paragraph" w:customStyle="1" w:styleId="H-titel">
    <w:name w:val="H-titel"/>
    <w:basedOn w:val="Normal"/>
    <w:link w:val="H-titelChar"/>
    <w:qFormat/>
    <w:rsid w:val="004719D2"/>
    <w:pPr>
      <w:tabs>
        <w:tab w:val="right" w:pos="810"/>
      </w:tabs>
      <w:spacing w:before="120" w:after="60" w:line="288" w:lineRule="auto"/>
      <w:jc w:val="both"/>
    </w:pPr>
    <w:rPr>
      <w:rFonts w:ascii="Arial" w:eastAsiaTheme="majorEastAsia" w:hAnsi="Arial" w:cstheme="majorBidi"/>
      <w:color w:val="0070C0"/>
      <w:sz w:val="32"/>
      <w:szCs w:val="32"/>
      <w:lang w:val="en-US" w:eastAsia="lv-LV"/>
    </w:rPr>
  </w:style>
  <w:style w:type="character" w:customStyle="1" w:styleId="H-titelChar">
    <w:name w:val="H-titel Char"/>
    <w:basedOn w:val="DefaultParagraphFont"/>
    <w:link w:val="H-titel"/>
    <w:rsid w:val="004719D2"/>
    <w:rPr>
      <w:rFonts w:ascii="Arial" w:eastAsiaTheme="majorEastAsia" w:hAnsi="Arial" w:cstheme="majorBidi"/>
      <w:color w:val="0070C0"/>
      <w:sz w:val="32"/>
      <w:szCs w:val="32"/>
      <w:lang w:val="en-US" w:eastAsia="lv-LV" w:bidi="ar-SA"/>
    </w:rPr>
  </w:style>
  <w:style w:type="paragraph" w:customStyle="1" w:styleId="Default">
    <w:name w:val="Default"/>
    <w:rsid w:val="004719D2"/>
    <w:pPr>
      <w:autoSpaceDE w:val="0"/>
      <w:autoSpaceDN w:val="0"/>
      <w:adjustRightInd w:val="0"/>
    </w:pPr>
    <w:rPr>
      <w:rFonts w:ascii="Arial" w:eastAsiaTheme="minorHAnsi" w:hAnsi="Arial" w:cs="Arial"/>
      <w:color w:val="000000"/>
      <w:sz w:val="24"/>
      <w:szCs w:val="24"/>
      <w:lang w:val="en-US" w:eastAsia="en-US" w:bidi="ar-SA"/>
      <w14:ligatures w14:val="standardContextual"/>
    </w:rPr>
  </w:style>
  <w:style w:type="paragraph" w:customStyle="1" w:styleId="Titel">
    <w:name w:val="Titel"/>
    <w:basedOn w:val="Heading1"/>
    <w:link w:val="TitelChar"/>
    <w:qFormat/>
    <w:rsid w:val="004719D2"/>
    <w:pPr>
      <w:spacing w:before="0" w:line="288" w:lineRule="auto"/>
      <w:ind w:left="432" w:hanging="432"/>
    </w:pPr>
    <w:rPr>
      <w:rFonts w:ascii="Arial" w:hAnsi="Arial"/>
      <w:b/>
      <w:bCs/>
      <w:iCs/>
      <w:color w:val="0070C0"/>
      <w:sz w:val="26"/>
      <w:szCs w:val="26"/>
      <w:lang w:val="en-US"/>
    </w:rPr>
  </w:style>
  <w:style w:type="character" w:customStyle="1" w:styleId="TitelChar">
    <w:name w:val="Titel Char"/>
    <w:basedOn w:val="Heading1Char"/>
    <w:link w:val="Titel"/>
    <w:rsid w:val="004719D2"/>
    <w:rPr>
      <w:rFonts w:ascii="Arial" w:eastAsiaTheme="majorEastAsia" w:hAnsi="Arial" w:cstheme="majorBidi"/>
      <w:b/>
      <w:bCs/>
      <w:iCs/>
      <w:color w:val="0070C0"/>
      <w:sz w:val="26"/>
      <w:szCs w:val="26"/>
      <w:lang w:val="en-US" w:eastAsia="en-US" w:bidi="ar-SA"/>
    </w:rPr>
  </w:style>
  <w:style w:type="paragraph" w:styleId="TOCHeading">
    <w:name w:val="TOC Heading"/>
    <w:basedOn w:val="Heading1"/>
    <w:next w:val="Normal"/>
    <w:uiPriority w:val="39"/>
    <w:unhideWhenUsed/>
    <w:rsid w:val="004719D2"/>
    <w:pPr>
      <w:spacing w:line="259" w:lineRule="auto"/>
      <w:ind w:left="432" w:hanging="432"/>
      <w:outlineLvl w:val="9"/>
    </w:pPr>
    <w:rPr>
      <w:lang w:val="en-US"/>
    </w:rPr>
  </w:style>
  <w:style w:type="paragraph" w:styleId="TOC1">
    <w:name w:val="toc 1"/>
    <w:basedOn w:val="Normal"/>
    <w:next w:val="Normal"/>
    <w:autoRedefine/>
    <w:uiPriority w:val="39"/>
    <w:unhideWhenUsed/>
    <w:rsid w:val="004719D2"/>
    <w:pPr>
      <w:tabs>
        <w:tab w:val="left" w:pos="480"/>
        <w:tab w:val="right" w:leader="dot" w:pos="9016"/>
      </w:tabs>
      <w:spacing w:after="100" w:line="288" w:lineRule="auto"/>
    </w:pPr>
    <w:rPr>
      <w:rFonts w:ascii="Arial" w:eastAsiaTheme="minorHAnsi" w:hAnsi="Arial" w:cs="Arial"/>
      <w:sz w:val="18"/>
      <w:szCs w:val="18"/>
      <w:lang w:val="en-US"/>
    </w:rPr>
  </w:style>
  <w:style w:type="paragraph" w:styleId="TOC2">
    <w:name w:val="toc 2"/>
    <w:basedOn w:val="Normal"/>
    <w:next w:val="Normal"/>
    <w:autoRedefine/>
    <w:uiPriority w:val="39"/>
    <w:unhideWhenUsed/>
    <w:rsid w:val="004719D2"/>
    <w:pPr>
      <w:tabs>
        <w:tab w:val="left" w:pos="720"/>
        <w:tab w:val="right" w:leader="dot" w:pos="9016"/>
      </w:tabs>
      <w:spacing w:after="100" w:line="288" w:lineRule="auto"/>
      <w:ind w:left="180"/>
    </w:pPr>
    <w:rPr>
      <w:rFonts w:ascii="Arial" w:eastAsiaTheme="minorHAnsi" w:hAnsi="Arial" w:cs="Arial"/>
      <w:sz w:val="18"/>
      <w:szCs w:val="18"/>
      <w:lang w:val="en-US"/>
    </w:rPr>
  </w:style>
  <w:style w:type="paragraph" w:styleId="z-TopofForm">
    <w:name w:val="HTML Top of Form"/>
    <w:basedOn w:val="Normal"/>
    <w:next w:val="Normal"/>
    <w:link w:val="z-TopofFormChar"/>
    <w:hidden/>
    <w:uiPriority w:val="99"/>
    <w:semiHidden/>
    <w:unhideWhenUsed/>
    <w:rsid w:val="004719D2"/>
    <w:pPr>
      <w:pBdr>
        <w:bottom w:val="single" w:sz="6" w:space="1" w:color="auto"/>
      </w:pBdr>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4719D2"/>
    <w:rPr>
      <w:rFonts w:ascii="Arial" w:eastAsia="Times New Roman" w:hAnsi="Arial" w:cs="Arial"/>
      <w:vanish/>
      <w:sz w:val="16"/>
      <w:szCs w:val="16"/>
      <w:lang w:val="en-US" w:eastAsia="en-US" w:bidi="ar-SA"/>
    </w:rPr>
  </w:style>
  <w:style w:type="paragraph" w:styleId="Revision">
    <w:name w:val="Revision"/>
    <w:hidden/>
    <w:uiPriority w:val="99"/>
    <w:semiHidden/>
    <w:rsid w:val="004719D2"/>
    <w:rPr>
      <w:rFonts w:ascii="Arial" w:eastAsiaTheme="minorHAnsi" w:hAnsi="Arial" w:cs="Arial"/>
      <w:sz w:val="18"/>
      <w:szCs w:val="18"/>
      <w:lang w:val="en-US" w:eastAsia="en-US" w:bidi="ar-SA"/>
    </w:rPr>
  </w:style>
  <w:style w:type="character" w:customStyle="1" w:styleId="fontstyle01">
    <w:name w:val="fontstyle01"/>
    <w:basedOn w:val="DefaultParagraphFont"/>
    <w:rsid w:val="004719D2"/>
    <w:rPr>
      <w:rFonts w:ascii="Times New Roman" w:hAnsi="Times New Roman" w:cs="Times New Roman" w:hint="default"/>
      <w:b w:val="0"/>
      <w:bCs w:val="0"/>
      <w:i w:val="0"/>
      <w:iCs w:val="0"/>
      <w:color w:val="0D0D0D"/>
      <w:sz w:val="24"/>
      <w:szCs w:val="24"/>
    </w:rPr>
  </w:style>
  <w:style w:type="character" w:customStyle="1" w:styleId="fontstyle21">
    <w:name w:val="fontstyle21"/>
    <w:basedOn w:val="DefaultParagraphFont"/>
    <w:rsid w:val="004719D2"/>
    <w:rPr>
      <w:rFonts w:ascii="Times New Roman" w:hAnsi="Times New Roman" w:cs="Times New Roman" w:hint="default"/>
      <w:b w:val="0"/>
      <w:bCs w:val="0"/>
      <w:i/>
      <w:iCs/>
      <w:color w:val="0D0D0D"/>
      <w:sz w:val="24"/>
      <w:szCs w:val="24"/>
    </w:rPr>
  </w:style>
  <w:style w:type="character" w:customStyle="1" w:styleId="T-bulletChar">
    <w:name w:val="T-bullet Char"/>
    <w:basedOn w:val="T-normalChar"/>
    <w:link w:val="T-bullet"/>
    <w:rsid w:val="004719D2"/>
    <w:rPr>
      <w:rFonts w:ascii="Arial" w:eastAsiaTheme="minorHAnsi" w:hAnsi="Arial" w:cs="Arial"/>
      <w:color w:val="000000"/>
      <w:sz w:val="16"/>
      <w:szCs w:val="16"/>
      <w:lang w:val="en-US" w:eastAsia="en-US" w:bidi="ar-SA"/>
    </w:rPr>
  </w:style>
  <w:style w:type="character" w:customStyle="1" w:styleId="T-BulletChar0">
    <w:name w:val="T-Bullet Char"/>
    <w:basedOn w:val="T-numberChar"/>
    <w:link w:val="T-Bullet0"/>
    <w:rsid w:val="004719D2"/>
    <w:rPr>
      <w:rFonts w:ascii="Arial" w:hAnsi="Arial" w:cs="Arial"/>
      <w:color w:val="000000"/>
      <w:sz w:val="16"/>
      <w:szCs w:val="16"/>
      <w:lang w:val="en-GB" w:bidi="ar-SA"/>
    </w:rPr>
  </w:style>
  <w:style w:type="paragraph" w:customStyle="1" w:styleId="goal-text">
    <w:name w:val="goal-text"/>
    <w:basedOn w:val="Normal"/>
    <w:rsid w:val="004719D2"/>
    <w:pPr>
      <w:spacing w:before="100" w:beforeAutospacing="1" w:after="100" w:afterAutospacing="1"/>
    </w:pPr>
    <w:rPr>
      <w:rFonts w:ascii="Times New Roman" w:eastAsia="Times New Roman" w:hAnsi="Times New Roman"/>
      <w:lang w:val="en-US"/>
    </w:rPr>
  </w:style>
  <w:style w:type="character" w:customStyle="1" w:styleId="N-BoldChar">
    <w:name w:val="N-Bold Char"/>
    <w:basedOn w:val="DefaultParagraphFont"/>
    <w:link w:val="N-Bold"/>
    <w:rsid w:val="004719D2"/>
    <w:rPr>
      <w:rFonts w:ascii="Times New Roman" w:hAnsi="Times New Roman"/>
      <w:b/>
      <w:bCs/>
      <w:color w:val="000000"/>
      <w:sz w:val="18"/>
      <w:szCs w:val="18"/>
      <w:lang w:bidi="ar-SA"/>
    </w:rPr>
  </w:style>
  <w:style w:type="character" w:styleId="IntenseEmphasis">
    <w:name w:val="Intense Emphasis"/>
    <w:basedOn w:val="DefaultParagraphFont"/>
    <w:uiPriority w:val="21"/>
    <w:rsid w:val="004719D2"/>
    <w:rPr>
      <w:b/>
      <w:bCs/>
      <w:i/>
      <w:iCs/>
      <w:color w:val="5B9BD5" w:themeColor="accent1"/>
    </w:rPr>
  </w:style>
  <w:style w:type="character" w:customStyle="1" w:styleId="cf01">
    <w:name w:val="cf01"/>
    <w:basedOn w:val="DefaultParagraphFont"/>
    <w:rsid w:val="004719D2"/>
    <w:rPr>
      <w:rFonts w:ascii="Segoe UI" w:hAnsi="Segoe UI" w:cs="Segoe UI" w:hint="default"/>
      <w:i/>
      <w:iCs/>
      <w:sz w:val="18"/>
      <w:szCs w:val="18"/>
    </w:rPr>
  </w:style>
  <w:style w:type="character" w:styleId="Emphasis">
    <w:name w:val="Emphasis"/>
    <w:basedOn w:val="DefaultParagraphFont"/>
    <w:uiPriority w:val="20"/>
    <w:qFormat/>
    <w:rsid w:val="004719D2"/>
    <w:rPr>
      <w:i/>
      <w:iCs/>
    </w:rPr>
  </w:style>
  <w:style w:type="table" w:customStyle="1" w:styleId="TableGridIDEA1">
    <w:name w:val="Table Grid IDEA1"/>
    <w:basedOn w:val="TableNormal"/>
    <w:next w:val="TableGrid"/>
    <w:uiPriority w:val="39"/>
    <w:rsid w:val="004719D2"/>
    <w:rPr>
      <w:rFonts w:asciiTheme="minorHAnsi" w:eastAsiaTheme="minorHAnsi" w:hAnsiTheme="minorHAnsi" w:cstheme="minorBidi"/>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2">
    <w:name w:val="Table Grid IDEA2"/>
    <w:basedOn w:val="TableNormal"/>
    <w:next w:val="TableGrid"/>
    <w:uiPriority w:val="39"/>
    <w:rsid w:val="004719D2"/>
    <w:rPr>
      <w:rFonts w:asciiTheme="minorHAnsi" w:eastAsiaTheme="minorHAnsi" w:hAnsiTheme="minorHAnsi" w:cstheme="minorBidi"/>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3">
    <w:name w:val="Table Grid IDEA3"/>
    <w:basedOn w:val="TableNormal"/>
    <w:next w:val="TableGrid"/>
    <w:uiPriority w:val="39"/>
    <w:rsid w:val="004719D2"/>
    <w:rPr>
      <w:rFonts w:asciiTheme="minorHAnsi" w:eastAsiaTheme="minorHAnsi" w:hAnsiTheme="minorHAnsi" w:cstheme="minorBidi"/>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IDEA4">
    <w:name w:val="Table Grid IDEA4"/>
    <w:basedOn w:val="TableNormal"/>
    <w:next w:val="TableGrid"/>
    <w:uiPriority w:val="39"/>
    <w:rsid w:val="004719D2"/>
    <w:rPr>
      <w:rFonts w:asciiTheme="minorHAnsi" w:eastAsiaTheme="minorHAnsi" w:hAnsiTheme="minorHAnsi" w:cstheme="minorBidi"/>
      <w:sz w:val="22"/>
      <w:szCs w:val="22"/>
      <w:lang w:val="en-GB"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4719D2"/>
    <w:rPr>
      <w:rFonts w:ascii="Segoe UI" w:hAnsi="Segoe UI" w:cs="Segoe UI" w:hint="default"/>
      <w:sz w:val="18"/>
      <w:szCs w:val="18"/>
    </w:rPr>
  </w:style>
  <w:style w:type="character" w:customStyle="1" w:styleId="cf21">
    <w:name w:val="cf21"/>
    <w:basedOn w:val="DefaultParagraphFont"/>
    <w:rsid w:val="004719D2"/>
    <w:rPr>
      <w:rFonts w:ascii="Segoe UI" w:hAnsi="Segoe UI" w:cs="Segoe UI" w:hint="default"/>
      <w:sz w:val="18"/>
      <w:szCs w:val="18"/>
    </w:rPr>
  </w:style>
  <w:style w:type="character" w:customStyle="1" w:styleId="BodyTextChar">
    <w:name w:val="Body Text Char"/>
    <w:basedOn w:val="DefaultParagraphFont"/>
    <w:link w:val="BodyText"/>
    <w:rsid w:val="004719D2"/>
    <w:rPr>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733392">
      <w:bodyDiv w:val="1"/>
      <w:marLeft w:val="0"/>
      <w:marRight w:val="0"/>
      <w:marTop w:val="0"/>
      <w:marBottom w:val="0"/>
      <w:divBdr>
        <w:top w:val="none" w:sz="0" w:space="0" w:color="auto"/>
        <w:left w:val="none" w:sz="0" w:space="0" w:color="auto"/>
        <w:bottom w:val="none" w:sz="0" w:space="0" w:color="auto"/>
        <w:right w:val="none" w:sz="0" w:space="0" w:color="auto"/>
      </w:divBdr>
      <w:divsChild>
        <w:div w:id="626476371">
          <w:marLeft w:val="0"/>
          <w:marRight w:val="0"/>
          <w:marTop w:val="0"/>
          <w:marBottom w:val="0"/>
          <w:divBdr>
            <w:top w:val="none" w:sz="0" w:space="0" w:color="auto"/>
            <w:left w:val="none" w:sz="0" w:space="0" w:color="auto"/>
            <w:bottom w:val="none" w:sz="0" w:space="0" w:color="auto"/>
            <w:right w:val="none" w:sz="0" w:space="0" w:color="auto"/>
          </w:divBdr>
        </w:div>
        <w:div w:id="1072503240">
          <w:marLeft w:val="0"/>
          <w:marRight w:val="0"/>
          <w:marTop w:val="0"/>
          <w:marBottom w:val="0"/>
          <w:divBdr>
            <w:top w:val="none" w:sz="0" w:space="0" w:color="auto"/>
            <w:left w:val="none" w:sz="0" w:space="0" w:color="auto"/>
            <w:bottom w:val="none" w:sz="0" w:space="0" w:color="auto"/>
            <w:right w:val="none" w:sz="0" w:space="0" w:color="auto"/>
          </w:divBdr>
        </w:div>
      </w:divsChild>
    </w:div>
    <w:div w:id="920061574">
      <w:bodyDiv w:val="1"/>
      <w:marLeft w:val="0"/>
      <w:marRight w:val="0"/>
      <w:marTop w:val="0"/>
      <w:marBottom w:val="0"/>
      <w:divBdr>
        <w:top w:val="none" w:sz="0" w:space="0" w:color="auto"/>
        <w:left w:val="none" w:sz="0" w:space="0" w:color="auto"/>
        <w:bottom w:val="none" w:sz="0" w:space="0" w:color="auto"/>
        <w:right w:val="none" w:sz="0" w:space="0" w:color="auto"/>
      </w:divBdr>
      <w:divsChild>
        <w:div w:id="789860259">
          <w:marLeft w:val="0"/>
          <w:marRight w:val="0"/>
          <w:marTop w:val="0"/>
          <w:marBottom w:val="0"/>
          <w:divBdr>
            <w:top w:val="none" w:sz="0" w:space="0" w:color="auto"/>
            <w:left w:val="none" w:sz="0" w:space="0" w:color="auto"/>
            <w:bottom w:val="none" w:sz="0" w:space="0" w:color="auto"/>
            <w:right w:val="none" w:sz="0" w:space="0" w:color="auto"/>
          </w:divBdr>
        </w:div>
        <w:div w:id="1197277629">
          <w:marLeft w:val="0"/>
          <w:marRight w:val="0"/>
          <w:marTop w:val="0"/>
          <w:marBottom w:val="0"/>
          <w:divBdr>
            <w:top w:val="none" w:sz="0" w:space="0" w:color="auto"/>
            <w:left w:val="none" w:sz="0" w:space="0" w:color="auto"/>
            <w:bottom w:val="none" w:sz="0" w:space="0" w:color="auto"/>
            <w:right w:val="none" w:sz="0" w:space="0" w:color="auto"/>
          </w:divBdr>
        </w:div>
      </w:divsChild>
    </w:div>
    <w:div w:id="1303730547">
      <w:bodyDiv w:val="1"/>
      <w:marLeft w:val="0"/>
      <w:marRight w:val="0"/>
      <w:marTop w:val="0"/>
      <w:marBottom w:val="0"/>
      <w:divBdr>
        <w:top w:val="none" w:sz="0" w:space="0" w:color="auto"/>
        <w:left w:val="none" w:sz="0" w:space="0" w:color="auto"/>
        <w:bottom w:val="none" w:sz="0" w:space="0" w:color="auto"/>
        <w:right w:val="none" w:sz="0" w:space="0" w:color="auto"/>
      </w:divBdr>
      <w:divsChild>
        <w:div w:id="89592803">
          <w:marLeft w:val="0"/>
          <w:marRight w:val="0"/>
          <w:marTop w:val="0"/>
          <w:marBottom w:val="0"/>
          <w:divBdr>
            <w:top w:val="none" w:sz="0" w:space="0" w:color="auto"/>
            <w:left w:val="none" w:sz="0" w:space="0" w:color="auto"/>
            <w:bottom w:val="none" w:sz="0" w:space="0" w:color="auto"/>
            <w:right w:val="none" w:sz="0" w:space="0" w:color="auto"/>
          </w:divBdr>
        </w:div>
        <w:div w:id="943416460">
          <w:marLeft w:val="0"/>
          <w:marRight w:val="0"/>
          <w:marTop w:val="0"/>
          <w:marBottom w:val="0"/>
          <w:divBdr>
            <w:top w:val="none" w:sz="0" w:space="0" w:color="auto"/>
            <w:left w:val="none" w:sz="0" w:space="0" w:color="auto"/>
            <w:bottom w:val="none" w:sz="0" w:space="0" w:color="auto"/>
            <w:right w:val="none" w:sz="0" w:space="0" w:color="auto"/>
          </w:divBdr>
        </w:div>
        <w:div w:id="1734622534">
          <w:marLeft w:val="0"/>
          <w:marRight w:val="0"/>
          <w:marTop w:val="0"/>
          <w:marBottom w:val="0"/>
          <w:divBdr>
            <w:top w:val="none" w:sz="0" w:space="0" w:color="auto"/>
            <w:left w:val="none" w:sz="0" w:space="0" w:color="auto"/>
            <w:bottom w:val="none" w:sz="0" w:space="0" w:color="auto"/>
            <w:right w:val="none" w:sz="0" w:space="0" w:color="auto"/>
          </w:divBdr>
        </w:div>
      </w:divsChild>
    </w:div>
    <w:div w:id="187862102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7.emf"/><Relationship Id="rId21" Type="http://schemas.openxmlformats.org/officeDocument/2006/relationships/image" Target="media/image9.emf"/><Relationship Id="rId34" Type="http://schemas.openxmlformats.org/officeDocument/2006/relationships/image" Target="media/image22.emf"/><Relationship Id="rId42" Type="http://schemas.openxmlformats.org/officeDocument/2006/relationships/image" Target="media/image30.emf"/><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4.emf"/><Relationship Id="rId10" Type="http://schemas.openxmlformats.org/officeDocument/2006/relationships/webSettings" Target="webSettings.xml"/><Relationship Id="rId19" Type="http://schemas.openxmlformats.org/officeDocument/2006/relationships/image" Target="media/image7.emf"/><Relationship Id="rId31" Type="http://schemas.openxmlformats.org/officeDocument/2006/relationships/image" Target="media/image19.e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image" Target="media/image23.emf"/><Relationship Id="rId43"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emf"/><Relationship Id="rId38" Type="http://schemas.openxmlformats.org/officeDocument/2006/relationships/image" Target="media/image26.emf"/><Relationship Id="rId20" Type="http://schemas.openxmlformats.org/officeDocument/2006/relationships/image" Target="media/image8.emf"/><Relationship Id="rId41" Type="http://schemas.openxmlformats.org/officeDocument/2006/relationships/image" Target="media/image29.emf"/></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url?sa=t&amp;rct=j&amp;q=&amp;esrc=s&amp;source=web&amp;cd=&amp;cad=rja&amp;uact=8&amp;ved=2ahUKEwi_rIK-2IeEAxWoSvEDHT5lBE0QFnoECBcQAQ&amp;url=https%3A%2F%2Fwww.sigmaweb.org%2Fpublications%2FMonitoring-Report-2021-Albania.pdf&amp;usg=AOvVaw1NKg5o_4wPmxO4i1vLlUb0&amp;opi=89978449" TargetMode="External"/><Relationship Id="rId1" Type="http://schemas.openxmlformats.org/officeDocument/2006/relationships/hyperlink" Target="https://www.imf.org/en/Topics/fiscal-policies/Fiscal-Risks/Fiscal-Risks-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390</Nr_x002e__x0020_akti>
    <Data_x0020_e_x0020_Krijimit xmlns="0e656187-b300-4fb0-8bf4-3a50f872073c">2024-06-21T09:23:35Z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2024-06-21T00:00:00Z</Date_x0020_protokolli>
    <Titulli xmlns="0e656187-b300-4fb0-8bf4-3a50f872073c">Për miratimin e Strategjisë Sektoriale të Menaxhimit të Financave Publike 2023-2030</Titulli>
    <Modifikuesi xmlns="0e656187-b300-4fb0-8bf4-3a50f872073c">ermira.bukaci</Modifikuesi>
    <Nr_x002e__x0020_prot_x0020_QBZ xmlns="0e656187-b300-4fb0-8bf4-3a50f872073c">1106</Nr_x002e__x0020_prot_x0020_QBZ>
    <Data_x0020_e_x0020_Modifikimit xmlns="0e656187-b300-4fb0-8bf4-3a50f872073c">2024-06-26T09:51:42Z</Data_x0020_e_x0020_Modifikimit>
    <Dekretuar xmlns="0e656187-b300-4fb0-8bf4-3a50f872073c">false</Dekretuar>
    <Data xmlns="0e656187-b300-4fb0-8bf4-3a50f872073c">2024-06-12T00:00:00Z</Data>
    <Nr_x002e__x0020_protokolli_x0020_i_x0020_aktit xmlns="0e656187-b300-4fb0-8bf4-3a50f872073c">3257/2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94DC713BBF7F4150950A015235921F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4DC713BBF7F4150950A015235921F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B3857-234B-4504-91D7-E022D33E2207}">
  <ds:schemaRefs>
    <ds:schemaRef ds:uri="0e656187-b300-4fb0-8bf4-3a50f872073c"/>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88C72E0F-0422-4B7A-B64D-314D210AC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4E08F6-206C-4C25-ADB8-CDE01C9EF406}">
  <ds:schemaRefs>
    <ds:schemaRef ds:uri="http://schemas.microsoft.com/sharepoint/v3/contenttype/forms"/>
  </ds:schemaRefs>
</ds:datastoreItem>
</file>

<file path=customXml/itemProps4.xml><?xml version="1.0" encoding="utf-8"?>
<ds:datastoreItem xmlns:ds="http://schemas.openxmlformats.org/officeDocument/2006/customXml" ds:itemID="{67984126-3429-42E5-AFC1-8FDAE9879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CAF12C9-5858-4520-94AB-FE2042884485}">
  <ds:schemaRefs>
    <ds:schemaRef ds:uri="http://schemas.microsoft.com/sharepoint/v3/contenttype/forms"/>
  </ds:schemaRefs>
</ds:datastoreItem>
</file>

<file path=customXml/itemProps6.xml><?xml version="1.0" encoding="utf-8"?>
<ds:datastoreItem xmlns:ds="http://schemas.openxmlformats.org/officeDocument/2006/customXml" ds:itemID="{314E4D4C-BC46-433A-BE07-563762EE3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83</Pages>
  <Words>29457</Words>
  <Characters>167911</Characters>
  <Application>Microsoft Office Word</Application>
  <DocSecurity>0</DocSecurity>
  <Lines>1399</Lines>
  <Paragraphs>393</Paragraphs>
  <ScaleCrop>false</ScaleCrop>
  <HeadingPairs>
    <vt:vector size="2" baseType="variant">
      <vt:variant>
        <vt:lpstr>Title</vt:lpstr>
      </vt:variant>
      <vt:variant>
        <vt:i4>1</vt:i4>
      </vt:variant>
    </vt:vector>
  </HeadingPairs>
  <TitlesOfParts>
    <vt:vector size="1" baseType="lpstr">
      <vt:lpstr>Për miratimin e Strategjisë Sektoriale të Menaxhimit të Financave Publike 2023-2030</vt:lpstr>
    </vt:vector>
  </TitlesOfParts>
  <Company>m</Company>
  <LinksUpToDate>false</LinksUpToDate>
  <CharactersWithSpaces>196975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Sektoriale të Menaxhimit të Financave Publike 2023-2030</dc:title>
  <dc:creator>Elson Caka</dc:creator>
  <cp:lastModifiedBy>Entela Suli</cp:lastModifiedBy>
  <cp:revision>272</cp:revision>
  <cp:lastPrinted>2024-06-13T08:46:00Z</cp:lastPrinted>
  <dcterms:created xsi:type="dcterms:W3CDTF">2024-06-21T08:46:00Z</dcterms:created>
  <dcterms:modified xsi:type="dcterms:W3CDTF">2024-06-26T09:12:00Z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