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51D5E1" w14:textId="26EA7F22" w:rsidR="00DD2E54" w:rsidRPr="00FB2FC9" w:rsidRDefault="00DD2E54" w:rsidP="00DD2E54">
      <w:pPr>
        <w:autoSpaceDE w:val="0"/>
        <w:autoSpaceDN w:val="0"/>
        <w:adjustRightInd w:val="0"/>
        <w:spacing w:after="0" w:line="240" w:lineRule="auto"/>
        <w:ind w:firstLine="284"/>
        <w:jc w:val="center"/>
        <w:rPr>
          <w:rFonts w:ascii="Garamond" w:eastAsiaTheme="minorHAnsi" w:hAnsi="Garamond" w:cs="Calibri"/>
          <w:b/>
          <w:color w:val="000000"/>
          <w:sz w:val="24"/>
          <w:szCs w:val="24"/>
          <w:lang w:val="sq-AL"/>
        </w:rPr>
      </w:pPr>
      <w:r w:rsidRPr="00FB2FC9">
        <w:rPr>
          <w:rFonts w:ascii="Garamond" w:eastAsiaTheme="minorHAnsi" w:hAnsi="Garamond" w:cs="Calibri"/>
          <w:b/>
          <w:color w:val="000000"/>
          <w:sz w:val="24"/>
          <w:szCs w:val="24"/>
          <w:lang w:val="sq-AL"/>
        </w:rPr>
        <w:t>VENDIM</w:t>
      </w:r>
    </w:p>
    <w:p w14:paraId="1E7FC7A0" w14:textId="6D505B31" w:rsidR="00DD2E54" w:rsidRPr="00FB2FC9" w:rsidRDefault="00DD2E54" w:rsidP="00DD2E54">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FB2FC9">
        <w:rPr>
          <w:rFonts w:ascii="Garamond" w:eastAsiaTheme="minorHAnsi" w:hAnsi="Garamond"/>
          <w:b/>
          <w:bCs/>
          <w:color w:val="000000"/>
          <w:sz w:val="24"/>
          <w:szCs w:val="24"/>
          <w:lang w:val="sq-AL"/>
        </w:rPr>
        <w:t>Nr. 515, datë 1.8.2024</w:t>
      </w:r>
    </w:p>
    <w:p w14:paraId="2AEFD748" w14:textId="77777777" w:rsidR="00DD2E54" w:rsidRPr="00FB2FC9" w:rsidRDefault="00DD2E54" w:rsidP="00DD2E54">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14977382" w14:textId="3FA6456A" w:rsidR="00DD2E54" w:rsidRPr="00FB2FC9" w:rsidRDefault="00DD2E54" w:rsidP="00DD2E54">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FB2FC9">
        <w:rPr>
          <w:rFonts w:ascii="Garamond" w:eastAsiaTheme="minorHAnsi" w:hAnsi="Garamond"/>
          <w:b/>
          <w:bCs/>
          <w:color w:val="000000"/>
          <w:sz w:val="24"/>
          <w:szCs w:val="24"/>
          <w:lang w:val="sq-AL"/>
        </w:rPr>
        <w:t>PËR PËRCAKTIMIN E KOEFICIENTIT TË INDEKSIMIT TË BAZËS SË VLERËSUAR TË VITIT 2022, PËR LLOGARITJEN E PENSIONEVE</w:t>
      </w:r>
    </w:p>
    <w:p w14:paraId="113701FE" w14:textId="77777777" w:rsidR="00DD2E54" w:rsidRPr="00FB2FC9" w:rsidRDefault="00DD2E54" w:rsidP="00DD2E54">
      <w:pPr>
        <w:autoSpaceDE w:val="0"/>
        <w:autoSpaceDN w:val="0"/>
        <w:adjustRightInd w:val="0"/>
        <w:spacing w:after="0" w:line="240" w:lineRule="auto"/>
        <w:ind w:firstLine="284"/>
        <w:jc w:val="center"/>
        <w:rPr>
          <w:rFonts w:ascii="Garamond" w:eastAsiaTheme="minorHAnsi" w:hAnsi="Garamond"/>
          <w:color w:val="000000"/>
          <w:sz w:val="24"/>
          <w:szCs w:val="24"/>
          <w:lang w:val="sq-AL"/>
        </w:rPr>
      </w:pPr>
    </w:p>
    <w:p w14:paraId="065436DB" w14:textId="0A32173D" w:rsidR="00DD2E54" w:rsidRPr="00FB2FC9" w:rsidRDefault="00DD2E54" w:rsidP="00DD2E54">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FB2FC9">
        <w:rPr>
          <w:rFonts w:ascii="Garamond" w:eastAsiaTheme="minorHAnsi" w:hAnsi="Garamond"/>
          <w:color w:val="000000"/>
          <w:sz w:val="24"/>
          <w:szCs w:val="24"/>
          <w:lang w:val="sq-AL"/>
        </w:rPr>
        <w:t>Në mbështetje të nenit 100 të Kushtetutës dhe të pikës 1, të nenit 59, të</w:t>
      </w:r>
      <w:r w:rsidR="00FB2FC9">
        <w:rPr>
          <w:rFonts w:ascii="Garamond" w:eastAsiaTheme="minorHAnsi" w:hAnsi="Garamond"/>
          <w:color w:val="000000"/>
          <w:sz w:val="24"/>
          <w:szCs w:val="24"/>
          <w:lang w:val="sq-AL"/>
        </w:rPr>
        <w:t xml:space="preserve"> </w:t>
      </w:r>
      <w:r w:rsidRPr="00FB2FC9">
        <w:rPr>
          <w:rFonts w:ascii="Garamond" w:eastAsiaTheme="minorHAnsi" w:hAnsi="Garamond"/>
          <w:color w:val="000000"/>
          <w:sz w:val="24"/>
          <w:szCs w:val="24"/>
          <w:lang w:val="sq-AL"/>
        </w:rPr>
        <w:t>ligjit nr.</w:t>
      </w:r>
      <w:r w:rsidR="00FB2FC9">
        <w:rPr>
          <w:rFonts w:ascii="Garamond" w:eastAsiaTheme="minorHAnsi" w:hAnsi="Garamond"/>
          <w:color w:val="000000"/>
          <w:sz w:val="24"/>
          <w:szCs w:val="24"/>
          <w:lang w:val="sq-AL"/>
        </w:rPr>
        <w:t xml:space="preserve"> </w:t>
      </w:r>
      <w:r w:rsidRPr="00FB2FC9">
        <w:rPr>
          <w:rFonts w:ascii="Garamond" w:eastAsiaTheme="minorHAnsi" w:hAnsi="Garamond"/>
          <w:color w:val="000000"/>
          <w:sz w:val="24"/>
          <w:szCs w:val="24"/>
          <w:lang w:val="sq-AL"/>
        </w:rPr>
        <w:t>7703, datë 11.5.1993, “Për sigurimet shoqërore në Republikën e Shqipërisë”, të ndryshuar, me propozimin e ministrit të Ekonomisë, Kulturës dhe Inovacionit, Këshilli i Ministrave</w:t>
      </w:r>
    </w:p>
    <w:p w14:paraId="67C93145" w14:textId="77777777" w:rsidR="00DD2E54" w:rsidRPr="00FB2FC9" w:rsidRDefault="00DD2E54" w:rsidP="00DD2E54">
      <w:pPr>
        <w:autoSpaceDE w:val="0"/>
        <w:autoSpaceDN w:val="0"/>
        <w:adjustRightInd w:val="0"/>
        <w:spacing w:after="0" w:line="240" w:lineRule="auto"/>
        <w:ind w:firstLine="284"/>
        <w:rPr>
          <w:rFonts w:ascii="Garamond" w:eastAsiaTheme="minorHAnsi" w:hAnsi="Garamond"/>
          <w:b/>
          <w:bCs/>
          <w:color w:val="000000"/>
          <w:sz w:val="24"/>
          <w:szCs w:val="24"/>
          <w:lang w:val="sq-AL"/>
        </w:rPr>
      </w:pPr>
    </w:p>
    <w:p w14:paraId="2C74095F" w14:textId="719F24CC" w:rsidR="00DD2E54" w:rsidRPr="00FB2FC9" w:rsidRDefault="00DD2E54" w:rsidP="00DD2E54">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FB2FC9">
        <w:rPr>
          <w:rFonts w:ascii="Garamond" w:eastAsiaTheme="minorHAnsi" w:hAnsi="Garamond"/>
          <w:bCs/>
          <w:color w:val="000000"/>
          <w:sz w:val="24"/>
          <w:szCs w:val="24"/>
          <w:lang w:val="sq-AL"/>
        </w:rPr>
        <w:t>VENDOSI:</w:t>
      </w:r>
    </w:p>
    <w:p w14:paraId="7A984B2A" w14:textId="77777777" w:rsidR="00DD2E54" w:rsidRPr="00FB2FC9" w:rsidRDefault="00DD2E54" w:rsidP="00DD2E54">
      <w:pPr>
        <w:autoSpaceDE w:val="0"/>
        <w:autoSpaceDN w:val="0"/>
        <w:adjustRightInd w:val="0"/>
        <w:spacing w:after="0" w:line="240" w:lineRule="auto"/>
        <w:ind w:firstLine="284"/>
        <w:rPr>
          <w:rFonts w:ascii="Garamond" w:eastAsiaTheme="minorHAnsi" w:hAnsi="Garamond"/>
          <w:color w:val="000000"/>
          <w:sz w:val="24"/>
          <w:szCs w:val="24"/>
          <w:lang w:val="sq-AL"/>
        </w:rPr>
      </w:pPr>
    </w:p>
    <w:p w14:paraId="71A2604D" w14:textId="179A0157" w:rsidR="00DD2E54" w:rsidRPr="00FB2FC9" w:rsidRDefault="00DD2E54" w:rsidP="00DD2E54">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FB2FC9">
        <w:rPr>
          <w:rFonts w:ascii="Garamond" w:eastAsiaTheme="minorHAnsi" w:hAnsi="Garamond"/>
          <w:color w:val="000000"/>
          <w:sz w:val="24"/>
          <w:szCs w:val="24"/>
          <w:lang w:val="sq-AL"/>
        </w:rPr>
        <w:t>1.</w:t>
      </w:r>
      <w:r w:rsidR="00D34708" w:rsidRPr="00FB2FC9">
        <w:rPr>
          <w:rFonts w:ascii="Garamond" w:eastAsiaTheme="minorHAnsi" w:hAnsi="Garamond"/>
          <w:color w:val="000000"/>
          <w:sz w:val="24"/>
          <w:szCs w:val="24"/>
          <w:lang w:val="sq-AL"/>
        </w:rPr>
        <w:t xml:space="preserve"> </w:t>
      </w:r>
      <w:r w:rsidRPr="00FB2FC9">
        <w:rPr>
          <w:rFonts w:ascii="Garamond" w:eastAsiaTheme="minorHAnsi" w:hAnsi="Garamond"/>
          <w:color w:val="000000"/>
          <w:sz w:val="24"/>
          <w:szCs w:val="24"/>
          <w:lang w:val="sq-AL"/>
        </w:rPr>
        <w:t>Miratimin e indeksimit të bazës së vlerësuar të vitit 2022, me indeksin 13.5%, të llogaritur sipas kritereve të përcaktuara në nenin 59, të ligjit nr.</w:t>
      </w:r>
      <w:r w:rsidR="00FB2FC9">
        <w:rPr>
          <w:rFonts w:ascii="Garamond" w:eastAsiaTheme="minorHAnsi" w:hAnsi="Garamond"/>
          <w:color w:val="000000"/>
          <w:sz w:val="24"/>
          <w:szCs w:val="24"/>
          <w:lang w:val="sq-AL"/>
        </w:rPr>
        <w:t xml:space="preserve"> </w:t>
      </w:r>
      <w:r w:rsidRPr="00FB2FC9">
        <w:rPr>
          <w:rFonts w:ascii="Garamond" w:eastAsiaTheme="minorHAnsi" w:hAnsi="Garamond"/>
          <w:color w:val="000000"/>
          <w:sz w:val="24"/>
          <w:szCs w:val="24"/>
          <w:lang w:val="sq-AL"/>
        </w:rPr>
        <w:t>7703,</w:t>
      </w:r>
      <w:r w:rsidR="00D34708" w:rsidRPr="00FB2FC9">
        <w:rPr>
          <w:rFonts w:ascii="Garamond" w:eastAsiaTheme="minorHAnsi" w:hAnsi="Garamond"/>
          <w:color w:val="000000"/>
          <w:sz w:val="24"/>
          <w:szCs w:val="24"/>
          <w:lang w:val="sq-AL"/>
        </w:rPr>
        <w:t xml:space="preserve"> </w:t>
      </w:r>
      <w:r w:rsidRPr="00FB2FC9">
        <w:rPr>
          <w:rFonts w:ascii="Garamond" w:eastAsiaTheme="minorHAnsi" w:hAnsi="Garamond"/>
          <w:color w:val="000000"/>
          <w:sz w:val="24"/>
          <w:szCs w:val="24"/>
          <w:lang w:val="sq-AL"/>
        </w:rPr>
        <w:t xml:space="preserve">datë 1.5.1993, “Për sigurimet shoqërore në Republikën e Shqipërisë”, të ndryshuar. </w:t>
      </w:r>
    </w:p>
    <w:p w14:paraId="7D55684C" w14:textId="15A160E9" w:rsidR="00DD2E54" w:rsidRPr="00FB2FC9" w:rsidRDefault="00DD2E54" w:rsidP="00DD2E54">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FB2FC9">
        <w:rPr>
          <w:rFonts w:ascii="Garamond" w:eastAsiaTheme="minorHAnsi" w:hAnsi="Garamond"/>
          <w:color w:val="000000"/>
          <w:sz w:val="24"/>
          <w:szCs w:val="24"/>
          <w:lang w:val="sq-AL"/>
        </w:rPr>
        <w:t>2.</w:t>
      </w:r>
      <w:r w:rsidR="00D34708" w:rsidRPr="00FB2FC9">
        <w:rPr>
          <w:rFonts w:ascii="Garamond" w:eastAsiaTheme="minorHAnsi" w:hAnsi="Garamond"/>
          <w:color w:val="000000"/>
          <w:sz w:val="24"/>
          <w:szCs w:val="24"/>
          <w:lang w:val="sq-AL"/>
        </w:rPr>
        <w:t xml:space="preserve"> </w:t>
      </w:r>
      <w:r w:rsidRPr="00FB2FC9">
        <w:rPr>
          <w:rFonts w:ascii="Garamond" w:eastAsiaTheme="minorHAnsi" w:hAnsi="Garamond"/>
          <w:color w:val="000000"/>
          <w:sz w:val="24"/>
          <w:szCs w:val="24"/>
          <w:lang w:val="sq-AL"/>
        </w:rPr>
        <w:t>Indeksi i përcaktuar sipas pikës 1, të këtij vendimi, aplikohet për rivlerësimin e bazës së vlerësuar të arritur nëpërmjet kontributeve të derdhura dhe rivlerësimeve të tyre, të kryera deri në vitin 2022, dhe zbatohet për efekt të llogaritjes së shumës fillestare mujore të pensioneve, që do të caktohet me datë fillimi nga data 1 korrik 2024 e në vazhdim.</w:t>
      </w:r>
    </w:p>
    <w:p w14:paraId="21008BC2" w14:textId="231091A7" w:rsidR="00DD2E54" w:rsidRPr="00FB2FC9" w:rsidRDefault="00DD2E54" w:rsidP="00DD2E54">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FB2FC9">
        <w:rPr>
          <w:rFonts w:ascii="Garamond" w:eastAsiaTheme="minorHAnsi" w:hAnsi="Garamond"/>
          <w:color w:val="000000"/>
          <w:sz w:val="24"/>
          <w:szCs w:val="24"/>
          <w:lang w:val="sq-AL"/>
        </w:rPr>
        <w:t>3.</w:t>
      </w:r>
      <w:r w:rsidR="00D34708" w:rsidRPr="00FB2FC9">
        <w:rPr>
          <w:rFonts w:ascii="Garamond" w:eastAsiaTheme="minorHAnsi" w:hAnsi="Garamond"/>
          <w:color w:val="000000"/>
          <w:sz w:val="24"/>
          <w:szCs w:val="24"/>
          <w:lang w:val="sq-AL"/>
        </w:rPr>
        <w:t xml:space="preserve"> </w:t>
      </w:r>
      <w:r w:rsidRPr="00FB2FC9">
        <w:rPr>
          <w:rFonts w:ascii="Garamond" w:eastAsiaTheme="minorHAnsi" w:hAnsi="Garamond"/>
          <w:color w:val="000000"/>
          <w:sz w:val="24"/>
          <w:szCs w:val="24"/>
          <w:lang w:val="sq-AL"/>
        </w:rPr>
        <w:t xml:space="preserve">Indekset </w:t>
      </w:r>
      <w:proofErr w:type="spellStart"/>
      <w:r w:rsidRPr="00FB2FC9">
        <w:rPr>
          <w:rFonts w:ascii="Garamond" w:eastAsiaTheme="minorHAnsi" w:hAnsi="Garamond"/>
          <w:color w:val="000000"/>
          <w:sz w:val="24"/>
          <w:szCs w:val="24"/>
          <w:lang w:val="sq-AL"/>
        </w:rPr>
        <w:t>akumulative</w:t>
      </w:r>
      <w:proofErr w:type="spellEnd"/>
      <w:r w:rsidRPr="00FB2FC9">
        <w:rPr>
          <w:rFonts w:ascii="Garamond" w:eastAsiaTheme="minorHAnsi" w:hAnsi="Garamond"/>
          <w:color w:val="000000"/>
          <w:sz w:val="24"/>
          <w:szCs w:val="24"/>
          <w:lang w:val="sq-AL"/>
        </w:rPr>
        <w:t xml:space="preserve"> të bazës së vlerësuar, të arritur nëpërmjet pagave të periudhës 1994</w:t>
      </w:r>
      <w:bookmarkStart w:id="0" w:name="_GoBack"/>
      <w:bookmarkEnd w:id="0"/>
      <w:r w:rsidR="003559F0">
        <w:rPr>
          <w:rFonts w:ascii="Garamond" w:eastAsiaTheme="minorHAnsi" w:hAnsi="Garamond"/>
          <w:color w:val="000000"/>
          <w:sz w:val="24"/>
          <w:szCs w:val="24"/>
          <w:lang w:val="sq-AL"/>
        </w:rPr>
        <w:t>–</w:t>
      </w:r>
      <w:r w:rsidRPr="00FB2FC9">
        <w:rPr>
          <w:rFonts w:ascii="Garamond" w:eastAsiaTheme="minorHAnsi" w:hAnsi="Garamond"/>
          <w:color w:val="000000"/>
          <w:sz w:val="24"/>
          <w:szCs w:val="24"/>
          <w:lang w:val="sq-AL"/>
        </w:rPr>
        <w:t>2022, referuar kontributeve të derdhura sipas muajve në këtë periudhë dhe pagave referuese sipas punëve dhe profesioneve, e përcaktuar me vendimin nr.</w:t>
      </w:r>
      <w:r w:rsidR="00FB2FC9">
        <w:rPr>
          <w:rFonts w:ascii="Garamond" w:eastAsiaTheme="minorHAnsi" w:hAnsi="Garamond"/>
          <w:color w:val="000000"/>
          <w:sz w:val="24"/>
          <w:szCs w:val="24"/>
          <w:lang w:val="sq-AL"/>
        </w:rPr>
        <w:t xml:space="preserve"> </w:t>
      </w:r>
      <w:r w:rsidRPr="00FB2FC9">
        <w:rPr>
          <w:rFonts w:ascii="Garamond" w:eastAsiaTheme="minorHAnsi" w:hAnsi="Garamond"/>
          <w:color w:val="000000"/>
          <w:sz w:val="24"/>
          <w:szCs w:val="24"/>
          <w:lang w:val="sq-AL"/>
        </w:rPr>
        <w:t xml:space="preserve">561, datë 12.8.2005, të Këshillit të Ministrave, “Për përcaktimin e pagave referuese për llogaritjen e pensioneve”, të ndryshuar, sipas viteve, janë sipas shtojcës 1, që i bashkëlidhet këtij vendimi. </w:t>
      </w:r>
    </w:p>
    <w:p w14:paraId="34121A82" w14:textId="3E8C3669" w:rsidR="00DD2E54" w:rsidRPr="00FB2FC9" w:rsidRDefault="00DD2E54" w:rsidP="00DD2E54">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FB2FC9">
        <w:rPr>
          <w:rFonts w:ascii="Garamond" w:eastAsiaTheme="minorHAnsi" w:hAnsi="Garamond"/>
          <w:color w:val="000000"/>
          <w:sz w:val="24"/>
          <w:szCs w:val="24"/>
          <w:lang w:val="sq-AL"/>
        </w:rPr>
        <w:t>4.</w:t>
      </w:r>
      <w:r w:rsidR="00D34708" w:rsidRPr="00FB2FC9">
        <w:rPr>
          <w:rFonts w:ascii="Garamond" w:eastAsiaTheme="minorHAnsi" w:hAnsi="Garamond"/>
          <w:color w:val="000000"/>
          <w:sz w:val="24"/>
          <w:szCs w:val="24"/>
          <w:lang w:val="sq-AL"/>
        </w:rPr>
        <w:t xml:space="preserve"> </w:t>
      </w:r>
      <w:r w:rsidRPr="00FB2FC9">
        <w:rPr>
          <w:rFonts w:ascii="Garamond" w:eastAsiaTheme="minorHAnsi" w:hAnsi="Garamond"/>
          <w:color w:val="000000"/>
          <w:sz w:val="24"/>
          <w:szCs w:val="24"/>
          <w:lang w:val="sq-AL"/>
        </w:rPr>
        <w:t>Pas aplikimit të indeksit të vitit 2022, baza e vlerësuar për efekt të llogaritjes së shumës fillestare mujore të pensioneve, që do të caktohen me datë fillimi nga data 1 korrik 2024, nuk mund të jetë më e lartë se:</w:t>
      </w:r>
    </w:p>
    <w:p w14:paraId="67368FF5" w14:textId="1A7F350D" w:rsidR="00DD2E54" w:rsidRPr="00FB2FC9" w:rsidRDefault="00DD2E54" w:rsidP="00DD2E54">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FB2FC9">
        <w:rPr>
          <w:rFonts w:ascii="Garamond" w:eastAsiaTheme="minorHAnsi" w:hAnsi="Garamond"/>
          <w:color w:val="000000"/>
          <w:sz w:val="24"/>
          <w:szCs w:val="24"/>
          <w:lang w:val="sq-AL"/>
        </w:rPr>
        <w:t>a)</w:t>
      </w:r>
      <w:r w:rsidR="00D34708" w:rsidRPr="00FB2FC9">
        <w:rPr>
          <w:rFonts w:ascii="Garamond" w:eastAsiaTheme="minorHAnsi" w:hAnsi="Garamond"/>
          <w:color w:val="000000"/>
          <w:sz w:val="24"/>
          <w:szCs w:val="24"/>
          <w:lang w:val="sq-AL"/>
        </w:rPr>
        <w:t xml:space="preserve"> </w:t>
      </w:r>
      <w:r w:rsidRPr="00FB2FC9">
        <w:rPr>
          <w:rFonts w:ascii="Garamond" w:eastAsiaTheme="minorHAnsi" w:hAnsi="Garamond"/>
          <w:color w:val="000000"/>
          <w:sz w:val="24"/>
          <w:szCs w:val="24"/>
          <w:lang w:val="sq-AL"/>
        </w:rPr>
        <w:t>trefishi i pagës minimale në shkallë vendi, e përcaktuar me vendim të Këshillit të Ministrave, për pagat e periudhës nga viti 1994 deri në 31.12.2001;</w:t>
      </w:r>
    </w:p>
    <w:p w14:paraId="333DA63C" w14:textId="512C7ACF" w:rsidR="00DD2E54" w:rsidRPr="00FB2FC9" w:rsidRDefault="00DD2E54" w:rsidP="00DD2E54">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FB2FC9">
        <w:rPr>
          <w:rFonts w:ascii="Garamond" w:eastAsiaTheme="minorHAnsi" w:hAnsi="Garamond"/>
          <w:color w:val="000000"/>
          <w:sz w:val="24"/>
          <w:szCs w:val="24"/>
          <w:lang w:val="sq-AL"/>
        </w:rPr>
        <w:t>b)</w:t>
      </w:r>
      <w:r w:rsidR="00D34708" w:rsidRPr="00FB2FC9">
        <w:rPr>
          <w:rFonts w:ascii="Garamond" w:eastAsiaTheme="minorHAnsi" w:hAnsi="Garamond"/>
          <w:color w:val="000000"/>
          <w:sz w:val="24"/>
          <w:szCs w:val="24"/>
          <w:lang w:val="sq-AL"/>
        </w:rPr>
        <w:t xml:space="preserve"> </w:t>
      </w:r>
      <w:r w:rsidRPr="00FB2FC9">
        <w:rPr>
          <w:rFonts w:ascii="Garamond" w:eastAsiaTheme="minorHAnsi" w:hAnsi="Garamond"/>
          <w:color w:val="000000"/>
          <w:sz w:val="24"/>
          <w:szCs w:val="24"/>
          <w:lang w:val="sq-AL"/>
        </w:rPr>
        <w:t>paga maksimale në shkallë vendi,</w:t>
      </w:r>
      <w:r w:rsidR="00FB2FC9">
        <w:rPr>
          <w:rFonts w:ascii="Garamond" w:eastAsiaTheme="minorHAnsi" w:hAnsi="Garamond"/>
          <w:color w:val="000000"/>
          <w:sz w:val="24"/>
          <w:szCs w:val="24"/>
          <w:lang w:val="sq-AL"/>
        </w:rPr>
        <w:t xml:space="preserve"> </w:t>
      </w:r>
      <w:r w:rsidRPr="00FB2FC9">
        <w:rPr>
          <w:rFonts w:ascii="Garamond" w:eastAsiaTheme="minorHAnsi" w:hAnsi="Garamond"/>
          <w:color w:val="000000"/>
          <w:sz w:val="24"/>
          <w:szCs w:val="24"/>
          <w:lang w:val="sq-AL"/>
        </w:rPr>
        <w:t>e përcaktuar sipas kritereve të</w:t>
      </w:r>
      <w:r w:rsidR="00FB2FC9">
        <w:rPr>
          <w:rFonts w:ascii="Garamond" w:eastAsiaTheme="minorHAnsi" w:hAnsi="Garamond"/>
          <w:color w:val="000000"/>
          <w:sz w:val="24"/>
          <w:szCs w:val="24"/>
          <w:lang w:val="sq-AL"/>
        </w:rPr>
        <w:t xml:space="preserve"> </w:t>
      </w:r>
      <w:r w:rsidRPr="00FB2FC9">
        <w:rPr>
          <w:rFonts w:ascii="Garamond" w:eastAsiaTheme="minorHAnsi" w:hAnsi="Garamond"/>
          <w:color w:val="000000"/>
          <w:sz w:val="24"/>
          <w:szCs w:val="24"/>
          <w:lang w:val="sq-AL"/>
        </w:rPr>
        <w:t>nenit 10, të ligjit nr.</w:t>
      </w:r>
      <w:r w:rsidR="00FB2FC9">
        <w:rPr>
          <w:rFonts w:ascii="Garamond" w:eastAsiaTheme="minorHAnsi" w:hAnsi="Garamond"/>
          <w:color w:val="000000"/>
          <w:sz w:val="24"/>
          <w:szCs w:val="24"/>
          <w:lang w:val="sq-AL"/>
        </w:rPr>
        <w:t xml:space="preserve"> </w:t>
      </w:r>
      <w:r w:rsidRPr="00FB2FC9">
        <w:rPr>
          <w:rFonts w:ascii="Garamond" w:eastAsiaTheme="minorHAnsi" w:hAnsi="Garamond"/>
          <w:color w:val="000000"/>
          <w:sz w:val="24"/>
          <w:szCs w:val="24"/>
          <w:lang w:val="sq-AL"/>
        </w:rPr>
        <w:t>7703, datë 1.5.1993, “Për sigurimet shoqërore në Republikën e Shqipërisë”, të ndryshuar, për pagat nga viti 2002 e në vazhdim.</w:t>
      </w:r>
    </w:p>
    <w:p w14:paraId="49DF6548" w14:textId="106E5D8E" w:rsidR="00DD2E54" w:rsidRPr="00FB2FC9" w:rsidRDefault="00DD2E54" w:rsidP="00DD2E54">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FB2FC9">
        <w:rPr>
          <w:rFonts w:ascii="Garamond" w:eastAsiaTheme="minorHAnsi" w:hAnsi="Garamond"/>
          <w:color w:val="000000"/>
          <w:sz w:val="24"/>
          <w:szCs w:val="24"/>
          <w:lang w:val="sq-AL"/>
        </w:rPr>
        <w:t>5.</w:t>
      </w:r>
      <w:r w:rsidR="00D34708" w:rsidRPr="00FB2FC9">
        <w:rPr>
          <w:rFonts w:ascii="Garamond" w:eastAsiaTheme="minorHAnsi" w:hAnsi="Garamond"/>
          <w:color w:val="000000"/>
          <w:sz w:val="24"/>
          <w:szCs w:val="24"/>
          <w:lang w:val="sq-AL"/>
        </w:rPr>
        <w:t xml:space="preserve"> </w:t>
      </w:r>
      <w:r w:rsidRPr="00FB2FC9">
        <w:rPr>
          <w:rFonts w:ascii="Garamond" w:eastAsiaTheme="minorHAnsi" w:hAnsi="Garamond"/>
          <w:color w:val="000000"/>
          <w:sz w:val="24"/>
          <w:szCs w:val="24"/>
          <w:lang w:val="sq-AL"/>
        </w:rPr>
        <w:t>Efektet financiare, që rrjedhin nga zbatimi i këtij vendimi, lidhen me zbatimin e formulës së caktimit të pensioneve, aplikohen vetëm për pensionet që caktohen me datë fillimi nga data e hyrjes në fuqi të këtij vendimi e në vazhdim dhe përballohen brenda buxhetit vjetor, të miratuar për Institutin e Sigurimeve Shoqërore.</w:t>
      </w:r>
    </w:p>
    <w:p w14:paraId="3EFB0069" w14:textId="2A4C0A08" w:rsidR="00DD2E54" w:rsidRPr="00FB2FC9" w:rsidRDefault="00DD2E54" w:rsidP="00DD2E54">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FB2FC9">
        <w:rPr>
          <w:rFonts w:ascii="Garamond" w:eastAsiaTheme="minorHAnsi" w:hAnsi="Garamond"/>
          <w:color w:val="000000"/>
          <w:sz w:val="24"/>
          <w:szCs w:val="24"/>
          <w:lang w:val="sq-AL"/>
        </w:rPr>
        <w:t>Ky vendim hyn në fuqi pas botimit në Fletoren Zyrtare dhe i shtrin efektet financiare nga data 1 korrik 2024.</w:t>
      </w:r>
    </w:p>
    <w:p w14:paraId="4E5F5EC0" w14:textId="77777777" w:rsidR="002E7A5D" w:rsidRPr="00FB2FC9" w:rsidRDefault="002E7A5D" w:rsidP="00DD2E54">
      <w:pPr>
        <w:spacing w:after="0" w:line="240" w:lineRule="auto"/>
        <w:ind w:firstLine="284"/>
        <w:jc w:val="both"/>
        <w:rPr>
          <w:rFonts w:ascii="Garamond" w:eastAsia="Times New Roman" w:hAnsi="Garamond"/>
          <w:sz w:val="24"/>
          <w:szCs w:val="24"/>
          <w:lang w:val="sq-AL"/>
        </w:rPr>
      </w:pPr>
    </w:p>
    <w:p w14:paraId="076767AA" w14:textId="0CF5BF87" w:rsidR="00CD0033" w:rsidRPr="00FB2FC9" w:rsidRDefault="00D34708" w:rsidP="00D34708">
      <w:pPr>
        <w:spacing w:after="0" w:line="240" w:lineRule="auto"/>
        <w:ind w:firstLine="284"/>
        <w:jc w:val="right"/>
        <w:rPr>
          <w:rFonts w:ascii="Garamond" w:eastAsia="Times New Roman" w:hAnsi="Garamond"/>
          <w:sz w:val="24"/>
          <w:szCs w:val="24"/>
          <w:lang w:val="sq-AL"/>
        </w:rPr>
      </w:pPr>
      <w:r w:rsidRPr="00FB2FC9">
        <w:rPr>
          <w:rFonts w:ascii="Garamond" w:eastAsia="Times New Roman" w:hAnsi="Garamond"/>
          <w:sz w:val="24"/>
          <w:szCs w:val="24"/>
          <w:lang w:val="sq-AL"/>
        </w:rPr>
        <w:t>KRYEMINISTËR</w:t>
      </w:r>
    </w:p>
    <w:p w14:paraId="2733DFCB" w14:textId="51D15754" w:rsidR="002E7A5D" w:rsidRPr="00FB2FC9" w:rsidRDefault="00D34708" w:rsidP="00D34708">
      <w:pPr>
        <w:spacing w:after="0" w:line="240" w:lineRule="auto"/>
        <w:ind w:firstLine="284"/>
        <w:jc w:val="right"/>
        <w:rPr>
          <w:rFonts w:ascii="Garamond" w:eastAsia="Times New Roman" w:hAnsi="Garamond"/>
          <w:b/>
          <w:sz w:val="24"/>
          <w:szCs w:val="24"/>
          <w:lang w:val="sq-AL"/>
        </w:rPr>
      </w:pPr>
      <w:r w:rsidRPr="00FB2FC9">
        <w:rPr>
          <w:rFonts w:ascii="Garamond" w:eastAsia="Times New Roman" w:hAnsi="Garamond"/>
          <w:b/>
          <w:sz w:val="24"/>
          <w:szCs w:val="24"/>
          <w:lang w:val="sq-AL"/>
        </w:rPr>
        <w:t xml:space="preserve">Edi </w:t>
      </w:r>
      <w:proofErr w:type="spellStart"/>
      <w:r w:rsidRPr="00FB2FC9">
        <w:rPr>
          <w:rFonts w:ascii="Garamond" w:eastAsia="Times New Roman" w:hAnsi="Garamond"/>
          <w:b/>
          <w:sz w:val="24"/>
          <w:szCs w:val="24"/>
          <w:lang w:val="sq-AL"/>
        </w:rPr>
        <w:t>Rama</w:t>
      </w:r>
      <w:proofErr w:type="spellEnd"/>
    </w:p>
    <w:p w14:paraId="627A3E59" w14:textId="77777777" w:rsidR="00F73C7D" w:rsidRPr="00FB2FC9" w:rsidRDefault="00F73C7D" w:rsidP="00DD2E54">
      <w:pPr>
        <w:spacing w:after="0" w:line="240" w:lineRule="auto"/>
        <w:ind w:firstLine="284"/>
        <w:rPr>
          <w:rFonts w:ascii="Garamond" w:eastAsia="Times New Roman" w:hAnsi="Garamond"/>
          <w:b/>
          <w:sz w:val="24"/>
          <w:szCs w:val="24"/>
          <w:lang w:val="sq-AL"/>
        </w:rPr>
      </w:pPr>
    </w:p>
    <w:p w14:paraId="71D423BC" w14:textId="4E07766A" w:rsidR="00144254" w:rsidRPr="00FB2FC9" w:rsidRDefault="00144254" w:rsidP="00FB2FC9">
      <w:pPr>
        <w:spacing w:after="0" w:line="240" w:lineRule="auto"/>
        <w:jc w:val="center"/>
        <w:rPr>
          <w:rFonts w:ascii="Garamond" w:eastAsia="Times New Roman" w:hAnsi="Garamond"/>
          <w:b/>
          <w:sz w:val="24"/>
          <w:szCs w:val="24"/>
          <w:lang w:val="sq-AL"/>
        </w:rPr>
      </w:pPr>
      <w:r w:rsidRPr="00FB2FC9">
        <w:rPr>
          <w:rFonts w:ascii="Garamond" w:eastAsia="Times New Roman" w:hAnsi="Garamond"/>
          <w:b/>
          <w:sz w:val="24"/>
          <w:szCs w:val="24"/>
          <w:lang w:val="sq-AL"/>
        </w:rPr>
        <w:t>Shtojca 1</w:t>
      </w:r>
    </w:p>
    <w:tbl>
      <w:tblPr>
        <w:tblW w:w="3536" w:type="pct"/>
        <w:jc w:val="center"/>
        <w:tblLook w:val="04A0" w:firstRow="1" w:lastRow="0" w:firstColumn="1" w:lastColumn="0" w:noHBand="0" w:noVBand="1"/>
      </w:tblPr>
      <w:tblGrid>
        <w:gridCol w:w="4953"/>
        <w:gridCol w:w="1417"/>
      </w:tblGrid>
      <w:tr w:rsidR="00144254" w:rsidRPr="00FB2FC9" w14:paraId="596363C2" w14:textId="77777777" w:rsidTr="00FB2FC9">
        <w:trPr>
          <w:trHeight w:val="20"/>
          <w:jc w:val="center"/>
        </w:trPr>
        <w:tc>
          <w:tcPr>
            <w:tcW w:w="5000" w:type="pct"/>
            <w:gridSpan w:val="2"/>
            <w:tcBorders>
              <w:top w:val="single" w:sz="8" w:space="0" w:color="auto"/>
              <w:left w:val="single" w:sz="8" w:space="0" w:color="auto"/>
              <w:bottom w:val="single" w:sz="4" w:space="0" w:color="auto"/>
              <w:right w:val="single" w:sz="8" w:space="0" w:color="000000"/>
            </w:tcBorders>
            <w:shd w:val="clear" w:color="000000" w:fill="F2F2F2"/>
            <w:noWrap/>
            <w:vAlign w:val="center"/>
            <w:hideMark/>
          </w:tcPr>
          <w:p w14:paraId="09DC0974" w14:textId="383C4C0C" w:rsidR="00144254" w:rsidRPr="00FB2FC9" w:rsidRDefault="00144254" w:rsidP="00FB2FC9">
            <w:pPr>
              <w:spacing w:after="0" w:line="240" w:lineRule="auto"/>
              <w:jc w:val="center"/>
              <w:rPr>
                <w:rFonts w:ascii="Garamond" w:eastAsia="Times New Roman" w:hAnsi="Garamond"/>
                <w:b/>
                <w:bCs/>
                <w:color w:val="000000"/>
                <w:sz w:val="20"/>
                <w:szCs w:val="20"/>
                <w:lang w:val="sq-AL"/>
              </w:rPr>
            </w:pPr>
            <w:r w:rsidRPr="00FB2FC9">
              <w:rPr>
                <w:rFonts w:ascii="Garamond" w:eastAsia="Times New Roman" w:hAnsi="Garamond"/>
                <w:b/>
                <w:bCs/>
                <w:color w:val="000000"/>
                <w:sz w:val="20"/>
                <w:szCs w:val="20"/>
                <w:lang w:val="sq-AL" w:eastAsia="en-GB"/>
              </w:rPr>
              <w:t xml:space="preserve">Tabela e koeficienteve </w:t>
            </w:r>
            <w:proofErr w:type="spellStart"/>
            <w:r w:rsidRPr="00FB2FC9">
              <w:rPr>
                <w:rFonts w:ascii="Garamond" w:eastAsia="Times New Roman" w:hAnsi="Garamond"/>
                <w:b/>
                <w:bCs/>
                <w:color w:val="000000"/>
                <w:sz w:val="20"/>
                <w:szCs w:val="20"/>
                <w:lang w:val="sq-AL" w:eastAsia="en-GB"/>
              </w:rPr>
              <w:t>akumulative</w:t>
            </w:r>
            <w:proofErr w:type="spellEnd"/>
            <w:r w:rsidRPr="00FB2FC9">
              <w:rPr>
                <w:rFonts w:ascii="Garamond" w:eastAsia="Times New Roman" w:hAnsi="Garamond"/>
                <w:b/>
                <w:bCs/>
                <w:color w:val="000000"/>
                <w:sz w:val="20"/>
                <w:szCs w:val="20"/>
                <w:lang w:val="sq-AL" w:eastAsia="en-GB"/>
              </w:rPr>
              <w:t xml:space="preserve"> të indeksimit të bazës së vlerësuar</w:t>
            </w:r>
          </w:p>
        </w:tc>
      </w:tr>
      <w:tr w:rsidR="00144254" w:rsidRPr="00FB2FC9" w14:paraId="5E81A96C"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54F6E14B"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referuese deri më datë 31.12.1993</w:t>
            </w:r>
          </w:p>
        </w:tc>
        <w:tc>
          <w:tcPr>
            <w:tcW w:w="1112" w:type="pct"/>
            <w:tcBorders>
              <w:top w:val="nil"/>
              <w:left w:val="nil"/>
              <w:bottom w:val="single" w:sz="4" w:space="0" w:color="auto"/>
              <w:right w:val="single" w:sz="8" w:space="0" w:color="auto"/>
            </w:tcBorders>
            <w:shd w:val="clear" w:color="auto" w:fill="auto"/>
            <w:noWrap/>
            <w:vAlign w:val="center"/>
            <w:hideMark/>
          </w:tcPr>
          <w:p w14:paraId="1E2DCF98"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12.257</w:t>
            </w:r>
          </w:p>
        </w:tc>
      </w:tr>
      <w:tr w:rsidR="00144254" w:rsidRPr="00FB2FC9" w14:paraId="4420D485"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2F4D7EB5"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1994</w:t>
            </w:r>
          </w:p>
        </w:tc>
        <w:tc>
          <w:tcPr>
            <w:tcW w:w="1112" w:type="pct"/>
            <w:tcBorders>
              <w:top w:val="nil"/>
              <w:left w:val="nil"/>
              <w:bottom w:val="single" w:sz="4" w:space="0" w:color="auto"/>
              <w:right w:val="single" w:sz="8" w:space="0" w:color="auto"/>
            </w:tcBorders>
            <w:shd w:val="clear" w:color="auto" w:fill="auto"/>
            <w:noWrap/>
            <w:vAlign w:val="center"/>
            <w:hideMark/>
          </w:tcPr>
          <w:p w14:paraId="4B02C3DD"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12.257</w:t>
            </w:r>
          </w:p>
        </w:tc>
      </w:tr>
      <w:tr w:rsidR="00144254" w:rsidRPr="00FB2FC9" w14:paraId="7178D5D2"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3A85C6FC"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1995</w:t>
            </w:r>
          </w:p>
        </w:tc>
        <w:tc>
          <w:tcPr>
            <w:tcW w:w="1112" w:type="pct"/>
            <w:tcBorders>
              <w:top w:val="nil"/>
              <w:left w:val="nil"/>
              <w:bottom w:val="single" w:sz="4" w:space="0" w:color="auto"/>
              <w:right w:val="single" w:sz="8" w:space="0" w:color="auto"/>
            </w:tcBorders>
            <w:shd w:val="clear" w:color="auto" w:fill="auto"/>
            <w:noWrap/>
            <w:vAlign w:val="center"/>
            <w:hideMark/>
          </w:tcPr>
          <w:p w14:paraId="392F9521"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9.864</w:t>
            </w:r>
          </w:p>
        </w:tc>
      </w:tr>
      <w:tr w:rsidR="00144254" w:rsidRPr="00FB2FC9" w14:paraId="34CA2D5D"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43AFDA64"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1996</w:t>
            </w:r>
          </w:p>
        </w:tc>
        <w:tc>
          <w:tcPr>
            <w:tcW w:w="1112" w:type="pct"/>
            <w:tcBorders>
              <w:top w:val="nil"/>
              <w:left w:val="nil"/>
              <w:bottom w:val="single" w:sz="4" w:space="0" w:color="auto"/>
              <w:right w:val="single" w:sz="8" w:space="0" w:color="auto"/>
            </w:tcBorders>
            <w:shd w:val="clear" w:color="auto" w:fill="auto"/>
            <w:noWrap/>
            <w:vAlign w:val="center"/>
            <w:hideMark/>
          </w:tcPr>
          <w:p w14:paraId="4C5A06F8"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7.653</w:t>
            </w:r>
          </w:p>
        </w:tc>
      </w:tr>
      <w:tr w:rsidR="00144254" w:rsidRPr="00FB2FC9" w14:paraId="67F0D0E6"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4B3B1762"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1997</w:t>
            </w:r>
          </w:p>
        </w:tc>
        <w:tc>
          <w:tcPr>
            <w:tcW w:w="1112" w:type="pct"/>
            <w:tcBorders>
              <w:top w:val="nil"/>
              <w:left w:val="nil"/>
              <w:bottom w:val="single" w:sz="4" w:space="0" w:color="auto"/>
              <w:right w:val="single" w:sz="8" w:space="0" w:color="auto"/>
            </w:tcBorders>
            <w:shd w:val="clear" w:color="auto" w:fill="auto"/>
            <w:noWrap/>
            <w:vAlign w:val="center"/>
            <w:hideMark/>
          </w:tcPr>
          <w:p w14:paraId="34FCF932"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7.653</w:t>
            </w:r>
          </w:p>
        </w:tc>
      </w:tr>
      <w:tr w:rsidR="00144254" w:rsidRPr="00FB2FC9" w14:paraId="2D5D4F2A"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1C8AEA50"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1998</w:t>
            </w:r>
          </w:p>
        </w:tc>
        <w:tc>
          <w:tcPr>
            <w:tcW w:w="1112" w:type="pct"/>
            <w:tcBorders>
              <w:top w:val="nil"/>
              <w:left w:val="nil"/>
              <w:bottom w:val="single" w:sz="4" w:space="0" w:color="auto"/>
              <w:right w:val="single" w:sz="8" w:space="0" w:color="auto"/>
            </w:tcBorders>
            <w:shd w:val="clear" w:color="auto" w:fill="auto"/>
            <w:noWrap/>
            <w:vAlign w:val="center"/>
            <w:hideMark/>
          </w:tcPr>
          <w:p w14:paraId="184BC1FA"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6.395</w:t>
            </w:r>
          </w:p>
        </w:tc>
      </w:tr>
      <w:tr w:rsidR="00144254" w:rsidRPr="00FB2FC9" w14:paraId="46A3E586"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6FB2D2B3"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1999</w:t>
            </w:r>
          </w:p>
        </w:tc>
        <w:tc>
          <w:tcPr>
            <w:tcW w:w="1112" w:type="pct"/>
            <w:tcBorders>
              <w:top w:val="nil"/>
              <w:left w:val="nil"/>
              <w:bottom w:val="single" w:sz="4" w:space="0" w:color="auto"/>
              <w:right w:val="single" w:sz="8" w:space="0" w:color="auto"/>
            </w:tcBorders>
            <w:shd w:val="clear" w:color="auto" w:fill="auto"/>
            <w:noWrap/>
            <w:vAlign w:val="center"/>
            <w:hideMark/>
          </w:tcPr>
          <w:p w14:paraId="3A4A1211"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5.190</w:t>
            </w:r>
          </w:p>
        </w:tc>
      </w:tr>
      <w:tr w:rsidR="00144254" w:rsidRPr="00FB2FC9" w14:paraId="00742F4C"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18A92D3C"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2000</w:t>
            </w:r>
          </w:p>
        </w:tc>
        <w:tc>
          <w:tcPr>
            <w:tcW w:w="1112" w:type="pct"/>
            <w:tcBorders>
              <w:top w:val="nil"/>
              <w:left w:val="nil"/>
              <w:bottom w:val="single" w:sz="4" w:space="0" w:color="auto"/>
              <w:right w:val="single" w:sz="8" w:space="0" w:color="auto"/>
            </w:tcBorders>
            <w:shd w:val="clear" w:color="auto" w:fill="auto"/>
            <w:noWrap/>
            <w:vAlign w:val="center"/>
            <w:hideMark/>
          </w:tcPr>
          <w:p w14:paraId="2D390B53"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4.727</w:t>
            </w:r>
          </w:p>
        </w:tc>
      </w:tr>
      <w:tr w:rsidR="00144254" w:rsidRPr="00FB2FC9" w14:paraId="5793AE82"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0447164F"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lastRenderedPageBreak/>
              <w:t>Për pagat e vitit 2001</w:t>
            </w:r>
          </w:p>
        </w:tc>
        <w:tc>
          <w:tcPr>
            <w:tcW w:w="1112" w:type="pct"/>
            <w:tcBorders>
              <w:top w:val="nil"/>
              <w:left w:val="nil"/>
              <w:bottom w:val="single" w:sz="4" w:space="0" w:color="auto"/>
              <w:right w:val="single" w:sz="8" w:space="0" w:color="auto"/>
            </w:tcBorders>
            <w:shd w:val="clear" w:color="auto" w:fill="auto"/>
            <w:noWrap/>
            <w:vAlign w:val="center"/>
            <w:hideMark/>
          </w:tcPr>
          <w:p w14:paraId="362F81CF"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4.044</w:t>
            </w:r>
          </w:p>
        </w:tc>
      </w:tr>
      <w:tr w:rsidR="00144254" w:rsidRPr="00FB2FC9" w14:paraId="12286747"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579A96AE"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2002</w:t>
            </w:r>
          </w:p>
        </w:tc>
        <w:tc>
          <w:tcPr>
            <w:tcW w:w="1112" w:type="pct"/>
            <w:tcBorders>
              <w:top w:val="nil"/>
              <w:left w:val="nil"/>
              <w:bottom w:val="single" w:sz="4" w:space="0" w:color="auto"/>
              <w:right w:val="single" w:sz="8" w:space="0" w:color="auto"/>
            </w:tcBorders>
            <w:shd w:val="clear" w:color="auto" w:fill="auto"/>
            <w:noWrap/>
            <w:vAlign w:val="center"/>
            <w:hideMark/>
          </w:tcPr>
          <w:p w14:paraId="609368CD"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3.735</w:t>
            </w:r>
          </w:p>
        </w:tc>
      </w:tr>
      <w:tr w:rsidR="00144254" w:rsidRPr="00FB2FC9" w14:paraId="2207B23E"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330ECA5D"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2003</w:t>
            </w:r>
          </w:p>
        </w:tc>
        <w:tc>
          <w:tcPr>
            <w:tcW w:w="1112" w:type="pct"/>
            <w:tcBorders>
              <w:top w:val="nil"/>
              <w:left w:val="nil"/>
              <w:bottom w:val="single" w:sz="4" w:space="0" w:color="auto"/>
              <w:right w:val="single" w:sz="8" w:space="0" w:color="auto"/>
            </w:tcBorders>
            <w:shd w:val="clear" w:color="auto" w:fill="auto"/>
            <w:noWrap/>
            <w:vAlign w:val="center"/>
            <w:hideMark/>
          </w:tcPr>
          <w:p w14:paraId="597614C5"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3.343</w:t>
            </w:r>
          </w:p>
        </w:tc>
      </w:tr>
      <w:tr w:rsidR="00144254" w:rsidRPr="00FB2FC9" w14:paraId="13BAB4C8"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1C4DC4D9"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2004</w:t>
            </w:r>
          </w:p>
        </w:tc>
        <w:tc>
          <w:tcPr>
            <w:tcW w:w="1112" w:type="pct"/>
            <w:tcBorders>
              <w:top w:val="nil"/>
              <w:left w:val="nil"/>
              <w:bottom w:val="single" w:sz="4" w:space="0" w:color="auto"/>
              <w:right w:val="single" w:sz="8" w:space="0" w:color="auto"/>
            </w:tcBorders>
            <w:shd w:val="clear" w:color="auto" w:fill="auto"/>
            <w:noWrap/>
            <w:vAlign w:val="center"/>
            <w:hideMark/>
          </w:tcPr>
          <w:p w14:paraId="6E8587E1"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3.037</w:t>
            </w:r>
          </w:p>
        </w:tc>
      </w:tr>
      <w:tr w:rsidR="00144254" w:rsidRPr="00FB2FC9" w14:paraId="06F7EFEB"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7CB621D0"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2005</w:t>
            </w:r>
          </w:p>
        </w:tc>
        <w:tc>
          <w:tcPr>
            <w:tcW w:w="1112" w:type="pct"/>
            <w:tcBorders>
              <w:top w:val="nil"/>
              <w:left w:val="nil"/>
              <w:bottom w:val="single" w:sz="4" w:space="0" w:color="auto"/>
              <w:right w:val="single" w:sz="8" w:space="0" w:color="auto"/>
            </w:tcBorders>
            <w:shd w:val="clear" w:color="auto" w:fill="auto"/>
            <w:noWrap/>
            <w:vAlign w:val="center"/>
            <w:hideMark/>
          </w:tcPr>
          <w:p w14:paraId="723C1B80"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2.758</w:t>
            </w:r>
          </w:p>
        </w:tc>
      </w:tr>
      <w:tr w:rsidR="00144254" w:rsidRPr="00FB2FC9" w14:paraId="520294D9"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70BBCBEE"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2006</w:t>
            </w:r>
          </w:p>
        </w:tc>
        <w:tc>
          <w:tcPr>
            <w:tcW w:w="1112" w:type="pct"/>
            <w:tcBorders>
              <w:top w:val="nil"/>
              <w:left w:val="nil"/>
              <w:bottom w:val="single" w:sz="4" w:space="0" w:color="auto"/>
              <w:right w:val="single" w:sz="8" w:space="0" w:color="auto"/>
            </w:tcBorders>
            <w:shd w:val="clear" w:color="auto" w:fill="auto"/>
            <w:noWrap/>
            <w:vAlign w:val="center"/>
            <w:hideMark/>
          </w:tcPr>
          <w:p w14:paraId="6F8B6730"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2.504</w:t>
            </w:r>
          </w:p>
        </w:tc>
      </w:tr>
      <w:tr w:rsidR="00144254" w:rsidRPr="00FB2FC9" w14:paraId="5D0C3F9B"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48151EC6"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2007</w:t>
            </w:r>
          </w:p>
        </w:tc>
        <w:tc>
          <w:tcPr>
            <w:tcW w:w="1112" w:type="pct"/>
            <w:tcBorders>
              <w:top w:val="nil"/>
              <w:left w:val="nil"/>
              <w:bottom w:val="single" w:sz="4" w:space="0" w:color="auto"/>
              <w:right w:val="single" w:sz="8" w:space="0" w:color="auto"/>
            </w:tcBorders>
            <w:shd w:val="clear" w:color="auto" w:fill="auto"/>
            <w:noWrap/>
            <w:vAlign w:val="center"/>
            <w:hideMark/>
          </w:tcPr>
          <w:p w14:paraId="6D4A78E1"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2.393</w:t>
            </w:r>
          </w:p>
        </w:tc>
      </w:tr>
      <w:tr w:rsidR="00144254" w:rsidRPr="00FB2FC9" w14:paraId="14CC30FF"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39F0FE7E"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2008</w:t>
            </w:r>
          </w:p>
        </w:tc>
        <w:tc>
          <w:tcPr>
            <w:tcW w:w="1112" w:type="pct"/>
            <w:tcBorders>
              <w:top w:val="nil"/>
              <w:left w:val="nil"/>
              <w:bottom w:val="single" w:sz="4" w:space="0" w:color="auto"/>
              <w:right w:val="single" w:sz="8" w:space="0" w:color="auto"/>
            </w:tcBorders>
            <w:shd w:val="clear" w:color="auto" w:fill="auto"/>
            <w:noWrap/>
            <w:vAlign w:val="center"/>
            <w:hideMark/>
          </w:tcPr>
          <w:p w14:paraId="6D5FF1CD"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2.113</w:t>
            </w:r>
          </w:p>
        </w:tc>
      </w:tr>
      <w:tr w:rsidR="00144254" w:rsidRPr="00FB2FC9" w14:paraId="3E30B20E"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78807349"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2009</w:t>
            </w:r>
          </w:p>
        </w:tc>
        <w:tc>
          <w:tcPr>
            <w:tcW w:w="1112" w:type="pct"/>
            <w:tcBorders>
              <w:top w:val="nil"/>
              <w:left w:val="nil"/>
              <w:bottom w:val="single" w:sz="4" w:space="0" w:color="auto"/>
              <w:right w:val="single" w:sz="8" w:space="0" w:color="auto"/>
            </w:tcBorders>
            <w:shd w:val="clear" w:color="auto" w:fill="auto"/>
            <w:noWrap/>
            <w:vAlign w:val="center"/>
            <w:hideMark/>
          </w:tcPr>
          <w:p w14:paraId="72D3B0C0"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1.944</w:t>
            </w:r>
          </w:p>
        </w:tc>
      </w:tr>
      <w:tr w:rsidR="00144254" w:rsidRPr="00FB2FC9" w14:paraId="462988DD"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6D2BAA1C"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2010</w:t>
            </w:r>
          </w:p>
        </w:tc>
        <w:tc>
          <w:tcPr>
            <w:tcW w:w="1112" w:type="pct"/>
            <w:tcBorders>
              <w:top w:val="nil"/>
              <w:left w:val="nil"/>
              <w:bottom w:val="single" w:sz="4" w:space="0" w:color="auto"/>
              <w:right w:val="single" w:sz="8" w:space="0" w:color="auto"/>
            </w:tcBorders>
            <w:shd w:val="clear" w:color="auto" w:fill="auto"/>
            <w:noWrap/>
            <w:vAlign w:val="center"/>
            <w:hideMark/>
          </w:tcPr>
          <w:p w14:paraId="3F29EB02"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1.861</w:t>
            </w:r>
          </w:p>
        </w:tc>
      </w:tr>
      <w:tr w:rsidR="00144254" w:rsidRPr="00FB2FC9" w14:paraId="18F6E85B"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427457A8"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2011</w:t>
            </w:r>
          </w:p>
        </w:tc>
        <w:tc>
          <w:tcPr>
            <w:tcW w:w="1112" w:type="pct"/>
            <w:tcBorders>
              <w:top w:val="nil"/>
              <w:left w:val="nil"/>
              <w:bottom w:val="single" w:sz="4" w:space="0" w:color="auto"/>
              <w:right w:val="single" w:sz="8" w:space="0" w:color="auto"/>
            </w:tcBorders>
            <w:shd w:val="clear" w:color="auto" w:fill="auto"/>
            <w:noWrap/>
            <w:vAlign w:val="center"/>
            <w:hideMark/>
          </w:tcPr>
          <w:p w14:paraId="0453ABEA"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1.791</w:t>
            </w:r>
          </w:p>
        </w:tc>
      </w:tr>
      <w:tr w:rsidR="00144254" w:rsidRPr="00FB2FC9" w14:paraId="5A4CEA33"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533CB550"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2012</w:t>
            </w:r>
          </w:p>
        </w:tc>
        <w:tc>
          <w:tcPr>
            <w:tcW w:w="1112" w:type="pct"/>
            <w:tcBorders>
              <w:top w:val="nil"/>
              <w:left w:val="nil"/>
              <w:bottom w:val="single" w:sz="4" w:space="0" w:color="auto"/>
              <w:right w:val="single" w:sz="8" w:space="0" w:color="auto"/>
            </w:tcBorders>
            <w:shd w:val="clear" w:color="auto" w:fill="auto"/>
            <w:noWrap/>
            <w:vAlign w:val="center"/>
            <w:hideMark/>
          </w:tcPr>
          <w:p w14:paraId="5B049820"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1.723</w:t>
            </w:r>
          </w:p>
        </w:tc>
      </w:tr>
      <w:tr w:rsidR="00144254" w:rsidRPr="00FB2FC9" w14:paraId="7474C964"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53C199EB"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2013</w:t>
            </w:r>
          </w:p>
        </w:tc>
        <w:tc>
          <w:tcPr>
            <w:tcW w:w="1112" w:type="pct"/>
            <w:tcBorders>
              <w:top w:val="nil"/>
              <w:left w:val="nil"/>
              <w:bottom w:val="single" w:sz="4" w:space="0" w:color="auto"/>
              <w:right w:val="single" w:sz="8" w:space="0" w:color="auto"/>
            </w:tcBorders>
            <w:shd w:val="clear" w:color="auto" w:fill="auto"/>
            <w:noWrap/>
            <w:vAlign w:val="center"/>
            <w:hideMark/>
          </w:tcPr>
          <w:p w14:paraId="453A9BB8"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1.651</w:t>
            </w:r>
          </w:p>
        </w:tc>
      </w:tr>
      <w:tr w:rsidR="00144254" w:rsidRPr="00FB2FC9" w14:paraId="0FE2D300"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3F5F0294"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2014</w:t>
            </w:r>
          </w:p>
        </w:tc>
        <w:tc>
          <w:tcPr>
            <w:tcW w:w="1112" w:type="pct"/>
            <w:tcBorders>
              <w:top w:val="nil"/>
              <w:left w:val="nil"/>
              <w:bottom w:val="single" w:sz="4" w:space="0" w:color="auto"/>
              <w:right w:val="single" w:sz="8" w:space="0" w:color="auto"/>
            </w:tcBorders>
            <w:shd w:val="clear" w:color="auto" w:fill="auto"/>
            <w:noWrap/>
            <w:vAlign w:val="center"/>
            <w:hideMark/>
          </w:tcPr>
          <w:p w14:paraId="3AF2CE58"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1.651</w:t>
            </w:r>
          </w:p>
        </w:tc>
      </w:tr>
      <w:tr w:rsidR="00144254" w:rsidRPr="00FB2FC9" w14:paraId="5C18BFF8"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0BC54FFD"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2015</w:t>
            </w:r>
          </w:p>
        </w:tc>
        <w:tc>
          <w:tcPr>
            <w:tcW w:w="1112" w:type="pct"/>
            <w:tcBorders>
              <w:top w:val="nil"/>
              <w:left w:val="nil"/>
              <w:bottom w:val="single" w:sz="4" w:space="0" w:color="auto"/>
              <w:right w:val="single" w:sz="8" w:space="0" w:color="auto"/>
            </w:tcBorders>
            <w:shd w:val="clear" w:color="auto" w:fill="auto"/>
            <w:noWrap/>
            <w:vAlign w:val="center"/>
            <w:hideMark/>
          </w:tcPr>
          <w:p w14:paraId="2B9A5E19"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1.427</w:t>
            </w:r>
          </w:p>
        </w:tc>
      </w:tr>
      <w:tr w:rsidR="00144254" w:rsidRPr="00FB2FC9" w14:paraId="1281B90D"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3C897399"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2016</w:t>
            </w:r>
          </w:p>
        </w:tc>
        <w:tc>
          <w:tcPr>
            <w:tcW w:w="1112" w:type="pct"/>
            <w:tcBorders>
              <w:top w:val="nil"/>
              <w:left w:val="nil"/>
              <w:bottom w:val="single" w:sz="4" w:space="0" w:color="auto"/>
              <w:right w:val="single" w:sz="8" w:space="0" w:color="auto"/>
            </w:tcBorders>
            <w:shd w:val="clear" w:color="auto" w:fill="auto"/>
            <w:noWrap/>
            <w:vAlign w:val="center"/>
            <w:hideMark/>
          </w:tcPr>
          <w:p w14:paraId="00247AA5"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1.427</w:t>
            </w:r>
          </w:p>
        </w:tc>
      </w:tr>
      <w:tr w:rsidR="00144254" w:rsidRPr="00FB2FC9" w14:paraId="43431EA8"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15A4E88A"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2017</w:t>
            </w:r>
          </w:p>
        </w:tc>
        <w:tc>
          <w:tcPr>
            <w:tcW w:w="1112" w:type="pct"/>
            <w:tcBorders>
              <w:top w:val="nil"/>
              <w:left w:val="nil"/>
              <w:bottom w:val="single" w:sz="4" w:space="0" w:color="auto"/>
              <w:right w:val="single" w:sz="8" w:space="0" w:color="auto"/>
            </w:tcBorders>
            <w:shd w:val="clear" w:color="auto" w:fill="auto"/>
            <w:noWrap/>
            <w:vAlign w:val="center"/>
            <w:hideMark/>
          </w:tcPr>
          <w:p w14:paraId="7279BC8B"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1.399</w:t>
            </w:r>
          </w:p>
        </w:tc>
      </w:tr>
      <w:tr w:rsidR="00144254" w:rsidRPr="00FB2FC9" w14:paraId="7F8A31EF"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00FBF052"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2018</w:t>
            </w:r>
          </w:p>
        </w:tc>
        <w:tc>
          <w:tcPr>
            <w:tcW w:w="1112" w:type="pct"/>
            <w:tcBorders>
              <w:top w:val="nil"/>
              <w:left w:val="nil"/>
              <w:bottom w:val="single" w:sz="4" w:space="0" w:color="auto"/>
              <w:right w:val="single" w:sz="8" w:space="0" w:color="auto"/>
            </w:tcBorders>
            <w:shd w:val="clear" w:color="auto" w:fill="auto"/>
            <w:noWrap/>
            <w:vAlign w:val="center"/>
            <w:hideMark/>
          </w:tcPr>
          <w:p w14:paraId="5C3F32BC"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1.350</w:t>
            </w:r>
          </w:p>
        </w:tc>
      </w:tr>
      <w:tr w:rsidR="00144254" w:rsidRPr="00FB2FC9" w14:paraId="5194325E"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73AA88BE"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2019</w:t>
            </w:r>
          </w:p>
        </w:tc>
        <w:tc>
          <w:tcPr>
            <w:tcW w:w="1112" w:type="pct"/>
            <w:tcBorders>
              <w:top w:val="nil"/>
              <w:left w:val="nil"/>
              <w:bottom w:val="single" w:sz="4" w:space="0" w:color="auto"/>
              <w:right w:val="single" w:sz="8" w:space="0" w:color="auto"/>
            </w:tcBorders>
            <w:shd w:val="clear" w:color="auto" w:fill="auto"/>
            <w:noWrap/>
            <w:vAlign w:val="center"/>
            <w:hideMark/>
          </w:tcPr>
          <w:p w14:paraId="704CE904"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1.318</w:t>
            </w:r>
          </w:p>
        </w:tc>
      </w:tr>
      <w:tr w:rsidR="00144254" w:rsidRPr="00FB2FC9" w14:paraId="14E0BD85"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3D5D19FD"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2020</w:t>
            </w:r>
          </w:p>
        </w:tc>
        <w:tc>
          <w:tcPr>
            <w:tcW w:w="1112" w:type="pct"/>
            <w:tcBorders>
              <w:top w:val="nil"/>
              <w:left w:val="nil"/>
              <w:bottom w:val="single" w:sz="4" w:space="0" w:color="auto"/>
              <w:right w:val="single" w:sz="8" w:space="0" w:color="auto"/>
            </w:tcBorders>
            <w:shd w:val="clear" w:color="auto" w:fill="auto"/>
            <w:noWrap/>
            <w:vAlign w:val="center"/>
            <w:hideMark/>
          </w:tcPr>
          <w:p w14:paraId="37BAD095"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1.281</w:t>
            </w:r>
          </w:p>
        </w:tc>
      </w:tr>
      <w:tr w:rsidR="00144254" w:rsidRPr="00FB2FC9" w14:paraId="7298D039"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0CD3658C"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2021</w:t>
            </w:r>
          </w:p>
        </w:tc>
        <w:tc>
          <w:tcPr>
            <w:tcW w:w="1112" w:type="pct"/>
            <w:tcBorders>
              <w:top w:val="nil"/>
              <w:left w:val="nil"/>
              <w:bottom w:val="single" w:sz="4" w:space="0" w:color="auto"/>
              <w:right w:val="single" w:sz="8" w:space="0" w:color="auto"/>
            </w:tcBorders>
            <w:shd w:val="clear" w:color="auto" w:fill="auto"/>
            <w:noWrap/>
            <w:vAlign w:val="center"/>
            <w:hideMark/>
          </w:tcPr>
          <w:p w14:paraId="24EB5140"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1.236</w:t>
            </w:r>
          </w:p>
        </w:tc>
      </w:tr>
      <w:tr w:rsidR="00144254" w:rsidRPr="00FB2FC9" w14:paraId="3F7D747C"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6B7921F3"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2022</w:t>
            </w:r>
          </w:p>
        </w:tc>
        <w:tc>
          <w:tcPr>
            <w:tcW w:w="1112" w:type="pct"/>
            <w:tcBorders>
              <w:top w:val="nil"/>
              <w:left w:val="nil"/>
              <w:bottom w:val="single" w:sz="4" w:space="0" w:color="auto"/>
              <w:right w:val="single" w:sz="8" w:space="0" w:color="auto"/>
            </w:tcBorders>
            <w:shd w:val="clear" w:color="auto" w:fill="auto"/>
            <w:noWrap/>
            <w:vAlign w:val="center"/>
            <w:hideMark/>
          </w:tcPr>
          <w:p w14:paraId="2118623D"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1.135</w:t>
            </w:r>
          </w:p>
        </w:tc>
      </w:tr>
      <w:tr w:rsidR="00144254" w:rsidRPr="00FB2FC9" w14:paraId="5F14B37D" w14:textId="77777777" w:rsidTr="00FB2FC9">
        <w:trPr>
          <w:trHeight w:val="20"/>
          <w:jc w:val="center"/>
        </w:trPr>
        <w:tc>
          <w:tcPr>
            <w:tcW w:w="3888" w:type="pct"/>
            <w:tcBorders>
              <w:top w:val="nil"/>
              <w:left w:val="single" w:sz="8" w:space="0" w:color="auto"/>
              <w:bottom w:val="single" w:sz="4" w:space="0" w:color="auto"/>
              <w:right w:val="single" w:sz="4" w:space="0" w:color="auto"/>
            </w:tcBorders>
            <w:shd w:val="clear" w:color="000000" w:fill="FFFFFF"/>
            <w:noWrap/>
            <w:vAlign w:val="center"/>
            <w:hideMark/>
          </w:tcPr>
          <w:p w14:paraId="4AEA86F9"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2023</w:t>
            </w:r>
          </w:p>
        </w:tc>
        <w:tc>
          <w:tcPr>
            <w:tcW w:w="1112" w:type="pct"/>
            <w:tcBorders>
              <w:top w:val="nil"/>
              <w:left w:val="nil"/>
              <w:bottom w:val="single" w:sz="4" w:space="0" w:color="auto"/>
              <w:right w:val="single" w:sz="8" w:space="0" w:color="auto"/>
            </w:tcBorders>
            <w:shd w:val="clear" w:color="auto" w:fill="auto"/>
            <w:noWrap/>
            <w:vAlign w:val="center"/>
            <w:hideMark/>
          </w:tcPr>
          <w:p w14:paraId="2248D4B4"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1.000</w:t>
            </w:r>
          </w:p>
        </w:tc>
      </w:tr>
      <w:tr w:rsidR="00144254" w:rsidRPr="00FB2FC9" w14:paraId="7E2B1708" w14:textId="77777777" w:rsidTr="00FB2FC9">
        <w:trPr>
          <w:trHeight w:val="20"/>
          <w:jc w:val="center"/>
        </w:trPr>
        <w:tc>
          <w:tcPr>
            <w:tcW w:w="3888" w:type="pct"/>
            <w:tcBorders>
              <w:top w:val="nil"/>
              <w:left w:val="single" w:sz="8" w:space="0" w:color="auto"/>
              <w:bottom w:val="single" w:sz="8" w:space="0" w:color="auto"/>
              <w:right w:val="single" w:sz="4" w:space="0" w:color="auto"/>
            </w:tcBorders>
            <w:shd w:val="clear" w:color="000000" w:fill="FFFFFF"/>
            <w:noWrap/>
            <w:vAlign w:val="center"/>
            <w:hideMark/>
          </w:tcPr>
          <w:p w14:paraId="3836A1CB"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eastAsia="en-GB"/>
              </w:rPr>
              <w:t>Për pagat e vitit 2024</w:t>
            </w:r>
          </w:p>
        </w:tc>
        <w:tc>
          <w:tcPr>
            <w:tcW w:w="1112" w:type="pct"/>
            <w:tcBorders>
              <w:top w:val="nil"/>
              <w:left w:val="nil"/>
              <w:bottom w:val="single" w:sz="8" w:space="0" w:color="auto"/>
              <w:right w:val="single" w:sz="8" w:space="0" w:color="auto"/>
            </w:tcBorders>
            <w:shd w:val="clear" w:color="auto" w:fill="auto"/>
            <w:noWrap/>
            <w:vAlign w:val="bottom"/>
            <w:hideMark/>
          </w:tcPr>
          <w:p w14:paraId="22E9CB5B" w14:textId="77777777" w:rsidR="00144254" w:rsidRPr="00FB2FC9" w:rsidRDefault="00144254" w:rsidP="00FB2FC9">
            <w:pPr>
              <w:spacing w:after="0" w:line="240" w:lineRule="auto"/>
              <w:jc w:val="center"/>
              <w:rPr>
                <w:rFonts w:ascii="Garamond" w:eastAsia="Times New Roman" w:hAnsi="Garamond"/>
                <w:color w:val="000000"/>
                <w:sz w:val="20"/>
                <w:szCs w:val="20"/>
                <w:lang w:val="sq-AL"/>
              </w:rPr>
            </w:pPr>
            <w:r w:rsidRPr="00FB2FC9">
              <w:rPr>
                <w:rFonts w:ascii="Garamond" w:eastAsia="Times New Roman" w:hAnsi="Garamond"/>
                <w:color w:val="000000"/>
                <w:sz w:val="20"/>
                <w:szCs w:val="20"/>
                <w:lang w:val="sq-AL"/>
              </w:rPr>
              <w:t>1.000</w:t>
            </w:r>
          </w:p>
        </w:tc>
      </w:tr>
    </w:tbl>
    <w:p w14:paraId="0F56A3F1" w14:textId="77777777" w:rsidR="00144254" w:rsidRPr="00FB2FC9" w:rsidRDefault="00144254" w:rsidP="00FB2FC9">
      <w:pPr>
        <w:spacing w:after="0" w:line="240" w:lineRule="auto"/>
        <w:jc w:val="center"/>
        <w:rPr>
          <w:rFonts w:ascii="Garamond" w:eastAsia="Times New Roman" w:hAnsi="Garamond"/>
          <w:b/>
          <w:sz w:val="24"/>
          <w:szCs w:val="24"/>
          <w:lang w:val="sq-AL"/>
        </w:rPr>
      </w:pPr>
    </w:p>
    <w:sectPr w:rsidR="00144254" w:rsidRPr="00FB2FC9" w:rsidSect="00FB6BEF">
      <w:pgSz w:w="11907" w:h="16839" w:code="9"/>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00B8EF" w14:textId="77777777" w:rsidR="00FB2FC9" w:rsidRDefault="00FB2FC9" w:rsidP="00A12E72">
      <w:pPr>
        <w:spacing w:after="0" w:line="240" w:lineRule="auto"/>
      </w:pPr>
      <w:r>
        <w:separator/>
      </w:r>
    </w:p>
  </w:endnote>
  <w:endnote w:type="continuationSeparator" w:id="0">
    <w:p w14:paraId="37DDA36F" w14:textId="77777777" w:rsidR="00FB2FC9" w:rsidRDefault="00FB2FC9" w:rsidP="00A12E72">
      <w:pPr>
        <w:spacing w:after="0" w:line="240" w:lineRule="auto"/>
      </w:pPr>
      <w:r>
        <w:continuationSeparator/>
      </w:r>
    </w:p>
  </w:endnote>
  <w:endnote w:type="continuationNotice" w:id="1">
    <w:p w14:paraId="700EA99E" w14:textId="77777777" w:rsidR="00FB2FC9" w:rsidRDefault="00FB2F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F26E1E" w14:textId="77777777" w:rsidR="00FB2FC9" w:rsidRDefault="00FB2FC9" w:rsidP="00A12E72">
      <w:pPr>
        <w:spacing w:after="0" w:line="240" w:lineRule="auto"/>
      </w:pPr>
      <w:r>
        <w:separator/>
      </w:r>
    </w:p>
  </w:footnote>
  <w:footnote w:type="continuationSeparator" w:id="0">
    <w:p w14:paraId="69B98387" w14:textId="77777777" w:rsidR="00FB2FC9" w:rsidRDefault="00FB2FC9" w:rsidP="00A12E72">
      <w:pPr>
        <w:spacing w:after="0" w:line="240" w:lineRule="auto"/>
      </w:pPr>
      <w:r>
        <w:continuationSeparator/>
      </w:r>
    </w:p>
  </w:footnote>
  <w:footnote w:type="continuationNotice" w:id="1">
    <w:p w14:paraId="19131A87" w14:textId="77777777" w:rsidR="00FB2FC9" w:rsidRDefault="00FB2FC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2779A"/>
    <w:multiLevelType w:val="hybridMultilevel"/>
    <w:tmpl w:val="27B005A8"/>
    <w:lvl w:ilvl="0" w:tplc="08090017">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D93345"/>
    <w:multiLevelType w:val="hybridMultilevel"/>
    <w:tmpl w:val="4CC48D5E"/>
    <w:lvl w:ilvl="0" w:tplc="04090017">
      <w:start w:val="1"/>
      <w:numFmt w:val="lowerLetter"/>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47E06C7"/>
    <w:multiLevelType w:val="hybridMultilevel"/>
    <w:tmpl w:val="349CA4EA"/>
    <w:lvl w:ilvl="0" w:tplc="48A2F212">
      <w:start w:val="1"/>
      <w:numFmt w:val="decimal"/>
      <w:lvlText w:val="%1."/>
      <w:lvlJc w:val="left"/>
      <w:pPr>
        <w:ind w:left="360" w:hanging="360"/>
      </w:pPr>
      <w:rPr>
        <w:b w:val="0"/>
      </w:rPr>
    </w:lvl>
    <w:lvl w:ilvl="1" w:tplc="64E8932C">
      <w:start w:val="1"/>
      <w:numFmt w:val="lowerLetter"/>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
  </w:num>
  <w:num w:numId="3">
    <w:abstractNumId w:val="7"/>
  </w:num>
  <w:num w:numId="4">
    <w:abstractNumId w:val="5"/>
  </w:num>
  <w:num w:numId="5">
    <w:abstractNumId w:val="4"/>
  </w:num>
  <w:num w:numId="6">
    <w:abstractNumId w:val="2"/>
  </w:num>
  <w:num w:numId="7">
    <w:abstractNumId w:val="1"/>
  </w:num>
  <w:num w:numId="8">
    <w:abstractNumId w:val="8"/>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DC3"/>
    <w:rsid w:val="00006058"/>
    <w:rsid w:val="00007606"/>
    <w:rsid w:val="00017D65"/>
    <w:rsid w:val="0002478B"/>
    <w:rsid w:val="00026E7E"/>
    <w:rsid w:val="000277EC"/>
    <w:rsid w:val="00033AAA"/>
    <w:rsid w:val="00041D74"/>
    <w:rsid w:val="000471CC"/>
    <w:rsid w:val="00050B31"/>
    <w:rsid w:val="00051755"/>
    <w:rsid w:val="0005318A"/>
    <w:rsid w:val="0005781D"/>
    <w:rsid w:val="00060285"/>
    <w:rsid w:val="00063446"/>
    <w:rsid w:val="000640BE"/>
    <w:rsid w:val="0006701E"/>
    <w:rsid w:val="00072265"/>
    <w:rsid w:val="0008020F"/>
    <w:rsid w:val="00081604"/>
    <w:rsid w:val="0008593E"/>
    <w:rsid w:val="00093A88"/>
    <w:rsid w:val="000A055D"/>
    <w:rsid w:val="000A76F6"/>
    <w:rsid w:val="000B1197"/>
    <w:rsid w:val="000B2134"/>
    <w:rsid w:val="000B6946"/>
    <w:rsid w:val="000B71DF"/>
    <w:rsid w:val="000C0185"/>
    <w:rsid w:val="000C38F8"/>
    <w:rsid w:val="000C4C8B"/>
    <w:rsid w:val="000C7F3C"/>
    <w:rsid w:val="000E04D9"/>
    <w:rsid w:val="000E142D"/>
    <w:rsid w:val="000E55F3"/>
    <w:rsid w:val="000E5CD8"/>
    <w:rsid w:val="000E7651"/>
    <w:rsid w:val="000E7F0C"/>
    <w:rsid w:val="000F4280"/>
    <w:rsid w:val="000F61A7"/>
    <w:rsid w:val="00102746"/>
    <w:rsid w:val="001073EB"/>
    <w:rsid w:val="001107A7"/>
    <w:rsid w:val="00110B32"/>
    <w:rsid w:val="00110BE1"/>
    <w:rsid w:val="001110E3"/>
    <w:rsid w:val="00113A69"/>
    <w:rsid w:val="0011517C"/>
    <w:rsid w:val="00115D69"/>
    <w:rsid w:val="00126B70"/>
    <w:rsid w:val="00131F5D"/>
    <w:rsid w:val="0013714F"/>
    <w:rsid w:val="001402DF"/>
    <w:rsid w:val="00140ACF"/>
    <w:rsid w:val="00144254"/>
    <w:rsid w:val="0014559F"/>
    <w:rsid w:val="0014592D"/>
    <w:rsid w:val="00151B28"/>
    <w:rsid w:val="00153230"/>
    <w:rsid w:val="00155698"/>
    <w:rsid w:val="00161477"/>
    <w:rsid w:val="00171C33"/>
    <w:rsid w:val="00191E87"/>
    <w:rsid w:val="0019627A"/>
    <w:rsid w:val="001A2412"/>
    <w:rsid w:val="001B13A1"/>
    <w:rsid w:val="001B20E6"/>
    <w:rsid w:val="001B4209"/>
    <w:rsid w:val="001B740E"/>
    <w:rsid w:val="001C2250"/>
    <w:rsid w:val="001C79E0"/>
    <w:rsid w:val="001D4A69"/>
    <w:rsid w:val="001D4CE7"/>
    <w:rsid w:val="001E012F"/>
    <w:rsid w:val="001E4D7F"/>
    <w:rsid w:val="001F1E26"/>
    <w:rsid w:val="001F390C"/>
    <w:rsid w:val="001F62FA"/>
    <w:rsid w:val="001F7146"/>
    <w:rsid w:val="001F728C"/>
    <w:rsid w:val="002030B9"/>
    <w:rsid w:val="0020344C"/>
    <w:rsid w:val="002062A2"/>
    <w:rsid w:val="00206994"/>
    <w:rsid w:val="00207C25"/>
    <w:rsid w:val="002103D5"/>
    <w:rsid w:val="00213D88"/>
    <w:rsid w:val="00215CE0"/>
    <w:rsid w:val="002219CE"/>
    <w:rsid w:val="00226E6B"/>
    <w:rsid w:val="00235954"/>
    <w:rsid w:val="002379B7"/>
    <w:rsid w:val="0024483E"/>
    <w:rsid w:val="002518DD"/>
    <w:rsid w:val="002521C8"/>
    <w:rsid w:val="00255522"/>
    <w:rsid w:val="0025727B"/>
    <w:rsid w:val="00257B9F"/>
    <w:rsid w:val="00261521"/>
    <w:rsid w:val="00261C28"/>
    <w:rsid w:val="002673D2"/>
    <w:rsid w:val="00270054"/>
    <w:rsid w:val="00275A5B"/>
    <w:rsid w:val="0027610F"/>
    <w:rsid w:val="00281A90"/>
    <w:rsid w:val="00282A78"/>
    <w:rsid w:val="002838F2"/>
    <w:rsid w:val="002849BB"/>
    <w:rsid w:val="00284F25"/>
    <w:rsid w:val="00290E70"/>
    <w:rsid w:val="002937A2"/>
    <w:rsid w:val="002A1768"/>
    <w:rsid w:val="002C3358"/>
    <w:rsid w:val="002C50F1"/>
    <w:rsid w:val="002C59F0"/>
    <w:rsid w:val="002D12AF"/>
    <w:rsid w:val="002D4E42"/>
    <w:rsid w:val="002D699E"/>
    <w:rsid w:val="002E3397"/>
    <w:rsid w:val="002E453E"/>
    <w:rsid w:val="002E68F2"/>
    <w:rsid w:val="002E6A59"/>
    <w:rsid w:val="002E7A5D"/>
    <w:rsid w:val="002F07B0"/>
    <w:rsid w:val="002F21D4"/>
    <w:rsid w:val="002F3170"/>
    <w:rsid w:val="002F3F05"/>
    <w:rsid w:val="002F6A34"/>
    <w:rsid w:val="00302C90"/>
    <w:rsid w:val="003036F4"/>
    <w:rsid w:val="00304E10"/>
    <w:rsid w:val="00306615"/>
    <w:rsid w:val="00312B9C"/>
    <w:rsid w:val="00313FC7"/>
    <w:rsid w:val="00314577"/>
    <w:rsid w:val="00315C27"/>
    <w:rsid w:val="003173E6"/>
    <w:rsid w:val="00327232"/>
    <w:rsid w:val="00343564"/>
    <w:rsid w:val="00347F8E"/>
    <w:rsid w:val="003559F0"/>
    <w:rsid w:val="00362790"/>
    <w:rsid w:val="00365C7A"/>
    <w:rsid w:val="003679B1"/>
    <w:rsid w:val="003753E5"/>
    <w:rsid w:val="00376EDB"/>
    <w:rsid w:val="003969BC"/>
    <w:rsid w:val="003A1BCE"/>
    <w:rsid w:val="003A3A83"/>
    <w:rsid w:val="003A639D"/>
    <w:rsid w:val="003A799B"/>
    <w:rsid w:val="003A7F0F"/>
    <w:rsid w:val="003B0A3F"/>
    <w:rsid w:val="003B423D"/>
    <w:rsid w:val="003B452D"/>
    <w:rsid w:val="003C2599"/>
    <w:rsid w:val="003C343F"/>
    <w:rsid w:val="003C735B"/>
    <w:rsid w:val="003D761A"/>
    <w:rsid w:val="003E2371"/>
    <w:rsid w:val="003E2CE9"/>
    <w:rsid w:val="003E45AF"/>
    <w:rsid w:val="003E4B5C"/>
    <w:rsid w:val="003E7996"/>
    <w:rsid w:val="003F4DFC"/>
    <w:rsid w:val="004004E0"/>
    <w:rsid w:val="00400BE9"/>
    <w:rsid w:val="00406579"/>
    <w:rsid w:val="004113D0"/>
    <w:rsid w:val="0041245B"/>
    <w:rsid w:val="0041665A"/>
    <w:rsid w:val="0042043B"/>
    <w:rsid w:val="00425FD5"/>
    <w:rsid w:val="00426EFE"/>
    <w:rsid w:val="004347D3"/>
    <w:rsid w:val="004376BF"/>
    <w:rsid w:val="004434C6"/>
    <w:rsid w:val="004451E1"/>
    <w:rsid w:val="004467B4"/>
    <w:rsid w:val="00453B52"/>
    <w:rsid w:val="00453BBC"/>
    <w:rsid w:val="00457513"/>
    <w:rsid w:val="0046142F"/>
    <w:rsid w:val="004625BD"/>
    <w:rsid w:val="00474D0B"/>
    <w:rsid w:val="00475DD3"/>
    <w:rsid w:val="004760F1"/>
    <w:rsid w:val="00482E1D"/>
    <w:rsid w:val="004834A5"/>
    <w:rsid w:val="00490C38"/>
    <w:rsid w:val="004914DC"/>
    <w:rsid w:val="00493DCC"/>
    <w:rsid w:val="00494685"/>
    <w:rsid w:val="00495502"/>
    <w:rsid w:val="00496558"/>
    <w:rsid w:val="004978D7"/>
    <w:rsid w:val="004A0E1E"/>
    <w:rsid w:val="004A1028"/>
    <w:rsid w:val="004A21C1"/>
    <w:rsid w:val="004A3EF5"/>
    <w:rsid w:val="004A7D08"/>
    <w:rsid w:val="004B2803"/>
    <w:rsid w:val="004B3B8A"/>
    <w:rsid w:val="004C15A7"/>
    <w:rsid w:val="004C19EA"/>
    <w:rsid w:val="004D2CFB"/>
    <w:rsid w:val="004D3BAC"/>
    <w:rsid w:val="004D3F1C"/>
    <w:rsid w:val="004D4A89"/>
    <w:rsid w:val="004D5B5B"/>
    <w:rsid w:val="004D5DC3"/>
    <w:rsid w:val="004E4016"/>
    <w:rsid w:val="004E563A"/>
    <w:rsid w:val="004F19AB"/>
    <w:rsid w:val="004F7C85"/>
    <w:rsid w:val="00500E7F"/>
    <w:rsid w:val="005020BB"/>
    <w:rsid w:val="00502691"/>
    <w:rsid w:val="00506E0A"/>
    <w:rsid w:val="005116E5"/>
    <w:rsid w:val="00514574"/>
    <w:rsid w:val="00516E4D"/>
    <w:rsid w:val="00524832"/>
    <w:rsid w:val="005251F0"/>
    <w:rsid w:val="00525395"/>
    <w:rsid w:val="00525773"/>
    <w:rsid w:val="0053117E"/>
    <w:rsid w:val="00531202"/>
    <w:rsid w:val="00531E6A"/>
    <w:rsid w:val="005355F5"/>
    <w:rsid w:val="00540760"/>
    <w:rsid w:val="005444F1"/>
    <w:rsid w:val="00545A84"/>
    <w:rsid w:val="0055260E"/>
    <w:rsid w:val="005566C5"/>
    <w:rsid w:val="00557A7B"/>
    <w:rsid w:val="00562C1A"/>
    <w:rsid w:val="005702BF"/>
    <w:rsid w:val="00581C7B"/>
    <w:rsid w:val="00586297"/>
    <w:rsid w:val="00586EF1"/>
    <w:rsid w:val="0059100A"/>
    <w:rsid w:val="00593F35"/>
    <w:rsid w:val="005A0C25"/>
    <w:rsid w:val="005A1A17"/>
    <w:rsid w:val="005A2B2E"/>
    <w:rsid w:val="005A5124"/>
    <w:rsid w:val="005A65E7"/>
    <w:rsid w:val="005B13D9"/>
    <w:rsid w:val="005B5D4B"/>
    <w:rsid w:val="005D1876"/>
    <w:rsid w:val="005D1BDE"/>
    <w:rsid w:val="005D3906"/>
    <w:rsid w:val="005D40F9"/>
    <w:rsid w:val="005E3820"/>
    <w:rsid w:val="005F03BE"/>
    <w:rsid w:val="005F15A4"/>
    <w:rsid w:val="005F3240"/>
    <w:rsid w:val="005F5637"/>
    <w:rsid w:val="005F6367"/>
    <w:rsid w:val="006049CA"/>
    <w:rsid w:val="006165CC"/>
    <w:rsid w:val="006237C2"/>
    <w:rsid w:val="006336DB"/>
    <w:rsid w:val="0064143C"/>
    <w:rsid w:val="006418E6"/>
    <w:rsid w:val="00641999"/>
    <w:rsid w:val="006444E0"/>
    <w:rsid w:val="006447CD"/>
    <w:rsid w:val="0064737E"/>
    <w:rsid w:val="00647C7F"/>
    <w:rsid w:val="006573A9"/>
    <w:rsid w:val="006669B4"/>
    <w:rsid w:val="006772A3"/>
    <w:rsid w:val="00680DA7"/>
    <w:rsid w:val="00687DDC"/>
    <w:rsid w:val="006907E8"/>
    <w:rsid w:val="006938BB"/>
    <w:rsid w:val="00696930"/>
    <w:rsid w:val="006A641B"/>
    <w:rsid w:val="006B31DD"/>
    <w:rsid w:val="006B3DBD"/>
    <w:rsid w:val="006C6E2E"/>
    <w:rsid w:val="006C7E05"/>
    <w:rsid w:val="006D0806"/>
    <w:rsid w:val="006D153B"/>
    <w:rsid w:val="006D252F"/>
    <w:rsid w:val="006D72BE"/>
    <w:rsid w:val="006E03A7"/>
    <w:rsid w:val="006E041B"/>
    <w:rsid w:val="006E2507"/>
    <w:rsid w:val="006E3301"/>
    <w:rsid w:val="006E5811"/>
    <w:rsid w:val="00701621"/>
    <w:rsid w:val="00703D24"/>
    <w:rsid w:val="007059A3"/>
    <w:rsid w:val="00710135"/>
    <w:rsid w:val="00710786"/>
    <w:rsid w:val="007119BE"/>
    <w:rsid w:val="00723469"/>
    <w:rsid w:val="0072388F"/>
    <w:rsid w:val="007309F2"/>
    <w:rsid w:val="00731CDB"/>
    <w:rsid w:val="00742E74"/>
    <w:rsid w:val="007445B8"/>
    <w:rsid w:val="00745E14"/>
    <w:rsid w:val="007466B0"/>
    <w:rsid w:val="00752B37"/>
    <w:rsid w:val="00752DA6"/>
    <w:rsid w:val="007552AE"/>
    <w:rsid w:val="00767084"/>
    <w:rsid w:val="0077532C"/>
    <w:rsid w:val="00781E97"/>
    <w:rsid w:val="00783AEF"/>
    <w:rsid w:val="007851F0"/>
    <w:rsid w:val="007959AF"/>
    <w:rsid w:val="007A09FA"/>
    <w:rsid w:val="007A4880"/>
    <w:rsid w:val="007A717C"/>
    <w:rsid w:val="007A7DE6"/>
    <w:rsid w:val="007B01EA"/>
    <w:rsid w:val="007B404B"/>
    <w:rsid w:val="007B4968"/>
    <w:rsid w:val="007B68CC"/>
    <w:rsid w:val="007B7BED"/>
    <w:rsid w:val="007C77B8"/>
    <w:rsid w:val="007C7FFB"/>
    <w:rsid w:val="007D07E7"/>
    <w:rsid w:val="007D4DF7"/>
    <w:rsid w:val="007E0A2D"/>
    <w:rsid w:val="007F2504"/>
    <w:rsid w:val="007F2805"/>
    <w:rsid w:val="007F4972"/>
    <w:rsid w:val="00813267"/>
    <w:rsid w:val="008155FA"/>
    <w:rsid w:val="008175B1"/>
    <w:rsid w:val="00826129"/>
    <w:rsid w:val="00826BAD"/>
    <w:rsid w:val="00831EB3"/>
    <w:rsid w:val="00844E4B"/>
    <w:rsid w:val="00845EEA"/>
    <w:rsid w:val="00854180"/>
    <w:rsid w:val="008545A8"/>
    <w:rsid w:val="00860B63"/>
    <w:rsid w:val="0086461B"/>
    <w:rsid w:val="00864B58"/>
    <w:rsid w:val="0087131D"/>
    <w:rsid w:val="0087153E"/>
    <w:rsid w:val="008732BC"/>
    <w:rsid w:val="0087423E"/>
    <w:rsid w:val="008752B7"/>
    <w:rsid w:val="00875BE0"/>
    <w:rsid w:val="00880252"/>
    <w:rsid w:val="0088349A"/>
    <w:rsid w:val="008867BC"/>
    <w:rsid w:val="00886A8A"/>
    <w:rsid w:val="00886FF6"/>
    <w:rsid w:val="008873E7"/>
    <w:rsid w:val="00887EF5"/>
    <w:rsid w:val="00895047"/>
    <w:rsid w:val="00895BDB"/>
    <w:rsid w:val="00895F11"/>
    <w:rsid w:val="00896E89"/>
    <w:rsid w:val="00896EB6"/>
    <w:rsid w:val="008A045D"/>
    <w:rsid w:val="008B307D"/>
    <w:rsid w:val="008B5B53"/>
    <w:rsid w:val="008C5238"/>
    <w:rsid w:val="008C5CC8"/>
    <w:rsid w:val="008C6CB8"/>
    <w:rsid w:val="008D2986"/>
    <w:rsid w:val="008D3A56"/>
    <w:rsid w:val="008D3BBD"/>
    <w:rsid w:val="008D4B2D"/>
    <w:rsid w:val="008D4CC8"/>
    <w:rsid w:val="008D56B4"/>
    <w:rsid w:val="008D5B30"/>
    <w:rsid w:val="008D6CBF"/>
    <w:rsid w:val="008D7F9B"/>
    <w:rsid w:val="008E0D00"/>
    <w:rsid w:val="008E761C"/>
    <w:rsid w:val="008E778B"/>
    <w:rsid w:val="008F1AEE"/>
    <w:rsid w:val="008F4FEE"/>
    <w:rsid w:val="00900FA1"/>
    <w:rsid w:val="0090113E"/>
    <w:rsid w:val="0091032A"/>
    <w:rsid w:val="009152FB"/>
    <w:rsid w:val="00915834"/>
    <w:rsid w:val="0094194C"/>
    <w:rsid w:val="00945231"/>
    <w:rsid w:val="00945A98"/>
    <w:rsid w:val="00952948"/>
    <w:rsid w:val="00952D9A"/>
    <w:rsid w:val="0095602F"/>
    <w:rsid w:val="009563A0"/>
    <w:rsid w:val="009652D4"/>
    <w:rsid w:val="00970C51"/>
    <w:rsid w:val="00973C50"/>
    <w:rsid w:val="009801B9"/>
    <w:rsid w:val="009812CA"/>
    <w:rsid w:val="0098153D"/>
    <w:rsid w:val="00981E93"/>
    <w:rsid w:val="00985F8A"/>
    <w:rsid w:val="00991AE1"/>
    <w:rsid w:val="00994662"/>
    <w:rsid w:val="00994E9F"/>
    <w:rsid w:val="009963D4"/>
    <w:rsid w:val="009A12FA"/>
    <w:rsid w:val="009A56E1"/>
    <w:rsid w:val="009A5BD9"/>
    <w:rsid w:val="009B027F"/>
    <w:rsid w:val="009B5014"/>
    <w:rsid w:val="009B7150"/>
    <w:rsid w:val="009B7267"/>
    <w:rsid w:val="009B7758"/>
    <w:rsid w:val="009B79A3"/>
    <w:rsid w:val="009C136B"/>
    <w:rsid w:val="009C237C"/>
    <w:rsid w:val="009C29FD"/>
    <w:rsid w:val="009C356D"/>
    <w:rsid w:val="009C609E"/>
    <w:rsid w:val="009C6DFC"/>
    <w:rsid w:val="009D0BEF"/>
    <w:rsid w:val="009D1878"/>
    <w:rsid w:val="009E3932"/>
    <w:rsid w:val="009E66C2"/>
    <w:rsid w:val="009E762B"/>
    <w:rsid w:val="009E77CB"/>
    <w:rsid w:val="009F395D"/>
    <w:rsid w:val="00A03BA7"/>
    <w:rsid w:val="00A04D50"/>
    <w:rsid w:val="00A05051"/>
    <w:rsid w:val="00A12E72"/>
    <w:rsid w:val="00A15325"/>
    <w:rsid w:val="00A20456"/>
    <w:rsid w:val="00A20760"/>
    <w:rsid w:val="00A21019"/>
    <w:rsid w:val="00A22A4D"/>
    <w:rsid w:val="00A22DC7"/>
    <w:rsid w:val="00A244FB"/>
    <w:rsid w:val="00A26029"/>
    <w:rsid w:val="00A26FC4"/>
    <w:rsid w:val="00A342CD"/>
    <w:rsid w:val="00A40188"/>
    <w:rsid w:val="00A4574B"/>
    <w:rsid w:val="00A46DE7"/>
    <w:rsid w:val="00A57576"/>
    <w:rsid w:val="00A6332A"/>
    <w:rsid w:val="00A6758C"/>
    <w:rsid w:val="00A710B8"/>
    <w:rsid w:val="00A77893"/>
    <w:rsid w:val="00A81224"/>
    <w:rsid w:val="00A93CFD"/>
    <w:rsid w:val="00A94C12"/>
    <w:rsid w:val="00AA03BD"/>
    <w:rsid w:val="00AA0AA7"/>
    <w:rsid w:val="00AA468B"/>
    <w:rsid w:val="00AA7463"/>
    <w:rsid w:val="00AB1AE5"/>
    <w:rsid w:val="00AB2159"/>
    <w:rsid w:val="00AB414C"/>
    <w:rsid w:val="00AB654D"/>
    <w:rsid w:val="00AC35C4"/>
    <w:rsid w:val="00AD2F17"/>
    <w:rsid w:val="00AD4FDA"/>
    <w:rsid w:val="00AE1F1C"/>
    <w:rsid w:val="00AE4B2C"/>
    <w:rsid w:val="00AE7A30"/>
    <w:rsid w:val="00AE7A3F"/>
    <w:rsid w:val="00AF2BE5"/>
    <w:rsid w:val="00AF30E9"/>
    <w:rsid w:val="00B00A39"/>
    <w:rsid w:val="00B0577D"/>
    <w:rsid w:val="00B11902"/>
    <w:rsid w:val="00B127A8"/>
    <w:rsid w:val="00B129BE"/>
    <w:rsid w:val="00B14DC4"/>
    <w:rsid w:val="00B154AE"/>
    <w:rsid w:val="00B1671F"/>
    <w:rsid w:val="00B20BD6"/>
    <w:rsid w:val="00B3195B"/>
    <w:rsid w:val="00B32C29"/>
    <w:rsid w:val="00B34697"/>
    <w:rsid w:val="00B3488D"/>
    <w:rsid w:val="00B4179A"/>
    <w:rsid w:val="00B421A1"/>
    <w:rsid w:val="00B422DB"/>
    <w:rsid w:val="00B42FBF"/>
    <w:rsid w:val="00B45AFE"/>
    <w:rsid w:val="00B46466"/>
    <w:rsid w:val="00B50BF0"/>
    <w:rsid w:val="00B52A1B"/>
    <w:rsid w:val="00B52E48"/>
    <w:rsid w:val="00B55AFE"/>
    <w:rsid w:val="00B606DA"/>
    <w:rsid w:val="00B614A4"/>
    <w:rsid w:val="00B6152C"/>
    <w:rsid w:val="00B67A0B"/>
    <w:rsid w:val="00B724C3"/>
    <w:rsid w:val="00B80558"/>
    <w:rsid w:val="00B82078"/>
    <w:rsid w:val="00B83C7B"/>
    <w:rsid w:val="00B845E3"/>
    <w:rsid w:val="00B879FC"/>
    <w:rsid w:val="00B91EA8"/>
    <w:rsid w:val="00B95B6B"/>
    <w:rsid w:val="00B96878"/>
    <w:rsid w:val="00BA2B68"/>
    <w:rsid w:val="00BA3A4F"/>
    <w:rsid w:val="00BB0409"/>
    <w:rsid w:val="00BB16B3"/>
    <w:rsid w:val="00BB1FC0"/>
    <w:rsid w:val="00BC2156"/>
    <w:rsid w:val="00BC3896"/>
    <w:rsid w:val="00BC5A31"/>
    <w:rsid w:val="00BC7731"/>
    <w:rsid w:val="00BD6321"/>
    <w:rsid w:val="00BE5452"/>
    <w:rsid w:val="00BE5CD2"/>
    <w:rsid w:val="00BE7277"/>
    <w:rsid w:val="00BE7D86"/>
    <w:rsid w:val="00BF44E5"/>
    <w:rsid w:val="00C0077A"/>
    <w:rsid w:val="00C04883"/>
    <w:rsid w:val="00C04FA6"/>
    <w:rsid w:val="00C12859"/>
    <w:rsid w:val="00C2090E"/>
    <w:rsid w:val="00C23B32"/>
    <w:rsid w:val="00C3217E"/>
    <w:rsid w:val="00C405AD"/>
    <w:rsid w:val="00C4623F"/>
    <w:rsid w:val="00C56B93"/>
    <w:rsid w:val="00C57EAE"/>
    <w:rsid w:val="00C80020"/>
    <w:rsid w:val="00C819A4"/>
    <w:rsid w:val="00C83EE3"/>
    <w:rsid w:val="00C84723"/>
    <w:rsid w:val="00C8592D"/>
    <w:rsid w:val="00C918A2"/>
    <w:rsid w:val="00C94D19"/>
    <w:rsid w:val="00C97430"/>
    <w:rsid w:val="00C978A8"/>
    <w:rsid w:val="00CA6474"/>
    <w:rsid w:val="00CB6F0F"/>
    <w:rsid w:val="00CC28B2"/>
    <w:rsid w:val="00CC4C07"/>
    <w:rsid w:val="00CC5F4A"/>
    <w:rsid w:val="00CC6460"/>
    <w:rsid w:val="00CC6B9F"/>
    <w:rsid w:val="00CD0033"/>
    <w:rsid w:val="00CD03A6"/>
    <w:rsid w:val="00CD1730"/>
    <w:rsid w:val="00CD63CB"/>
    <w:rsid w:val="00CE0C96"/>
    <w:rsid w:val="00CE1272"/>
    <w:rsid w:val="00CE2662"/>
    <w:rsid w:val="00CE3110"/>
    <w:rsid w:val="00D00AB1"/>
    <w:rsid w:val="00D03083"/>
    <w:rsid w:val="00D04B8C"/>
    <w:rsid w:val="00D10B83"/>
    <w:rsid w:val="00D10FE8"/>
    <w:rsid w:val="00D220B9"/>
    <w:rsid w:val="00D34708"/>
    <w:rsid w:val="00D36AB4"/>
    <w:rsid w:val="00D42FBC"/>
    <w:rsid w:val="00D43284"/>
    <w:rsid w:val="00D446A3"/>
    <w:rsid w:val="00D44A75"/>
    <w:rsid w:val="00D44FC5"/>
    <w:rsid w:val="00D452BD"/>
    <w:rsid w:val="00D47927"/>
    <w:rsid w:val="00D50ACC"/>
    <w:rsid w:val="00D50C43"/>
    <w:rsid w:val="00D515C1"/>
    <w:rsid w:val="00D558E2"/>
    <w:rsid w:val="00D564A8"/>
    <w:rsid w:val="00D57BED"/>
    <w:rsid w:val="00D622F1"/>
    <w:rsid w:val="00D6267E"/>
    <w:rsid w:val="00D62E74"/>
    <w:rsid w:val="00D74379"/>
    <w:rsid w:val="00D7572D"/>
    <w:rsid w:val="00D75960"/>
    <w:rsid w:val="00D774C3"/>
    <w:rsid w:val="00D8045A"/>
    <w:rsid w:val="00D816F8"/>
    <w:rsid w:val="00D817E6"/>
    <w:rsid w:val="00D82C71"/>
    <w:rsid w:val="00D84069"/>
    <w:rsid w:val="00D842E3"/>
    <w:rsid w:val="00D85C5C"/>
    <w:rsid w:val="00D86496"/>
    <w:rsid w:val="00D87EA6"/>
    <w:rsid w:val="00D9497D"/>
    <w:rsid w:val="00DA246E"/>
    <w:rsid w:val="00DA7BFE"/>
    <w:rsid w:val="00DB0239"/>
    <w:rsid w:val="00DB1814"/>
    <w:rsid w:val="00DB3C33"/>
    <w:rsid w:val="00DC68BB"/>
    <w:rsid w:val="00DC7C1D"/>
    <w:rsid w:val="00DD00ED"/>
    <w:rsid w:val="00DD2E54"/>
    <w:rsid w:val="00DD3572"/>
    <w:rsid w:val="00DD4688"/>
    <w:rsid w:val="00DD70F3"/>
    <w:rsid w:val="00DD7DB6"/>
    <w:rsid w:val="00DE1927"/>
    <w:rsid w:val="00DF2AFD"/>
    <w:rsid w:val="00E0009D"/>
    <w:rsid w:val="00E0177C"/>
    <w:rsid w:val="00E01CB5"/>
    <w:rsid w:val="00E164D1"/>
    <w:rsid w:val="00E173E2"/>
    <w:rsid w:val="00E2016B"/>
    <w:rsid w:val="00E226EA"/>
    <w:rsid w:val="00E27AB3"/>
    <w:rsid w:val="00E317AA"/>
    <w:rsid w:val="00E32089"/>
    <w:rsid w:val="00E33188"/>
    <w:rsid w:val="00E341A2"/>
    <w:rsid w:val="00E469DF"/>
    <w:rsid w:val="00E515D8"/>
    <w:rsid w:val="00E70811"/>
    <w:rsid w:val="00E72CC1"/>
    <w:rsid w:val="00E736B1"/>
    <w:rsid w:val="00E77A18"/>
    <w:rsid w:val="00E83989"/>
    <w:rsid w:val="00E85D64"/>
    <w:rsid w:val="00E92544"/>
    <w:rsid w:val="00E938CF"/>
    <w:rsid w:val="00E97BE8"/>
    <w:rsid w:val="00EB2078"/>
    <w:rsid w:val="00EB6C7E"/>
    <w:rsid w:val="00EB788E"/>
    <w:rsid w:val="00EC11A6"/>
    <w:rsid w:val="00EC4904"/>
    <w:rsid w:val="00EC4CA1"/>
    <w:rsid w:val="00ED70DA"/>
    <w:rsid w:val="00EE17EA"/>
    <w:rsid w:val="00EE2158"/>
    <w:rsid w:val="00EE54B4"/>
    <w:rsid w:val="00EF1110"/>
    <w:rsid w:val="00EF5EC2"/>
    <w:rsid w:val="00F07239"/>
    <w:rsid w:val="00F2461E"/>
    <w:rsid w:val="00F33BE0"/>
    <w:rsid w:val="00F35447"/>
    <w:rsid w:val="00F40C8C"/>
    <w:rsid w:val="00F44B01"/>
    <w:rsid w:val="00F47EC1"/>
    <w:rsid w:val="00F528F1"/>
    <w:rsid w:val="00F565BD"/>
    <w:rsid w:val="00F5789A"/>
    <w:rsid w:val="00F60D27"/>
    <w:rsid w:val="00F73C7D"/>
    <w:rsid w:val="00F73FED"/>
    <w:rsid w:val="00F76343"/>
    <w:rsid w:val="00F83B11"/>
    <w:rsid w:val="00F86D48"/>
    <w:rsid w:val="00F93241"/>
    <w:rsid w:val="00F93C07"/>
    <w:rsid w:val="00F96C25"/>
    <w:rsid w:val="00F971A7"/>
    <w:rsid w:val="00FA051B"/>
    <w:rsid w:val="00FA25C2"/>
    <w:rsid w:val="00FA69DE"/>
    <w:rsid w:val="00FA7F74"/>
    <w:rsid w:val="00FB2FC9"/>
    <w:rsid w:val="00FB6BEF"/>
    <w:rsid w:val="00FC0786"/>
    <w:rsid w:val="00FC1AB1"/>
    <w:rsid w:val="00FC79A0"/>
    <w:rsid w:val="00FD05C6"/>
    <w:rsid w:val="00FD4A8E"/>
    <w:rsid w:val="00FD62E2"/>
    <w:rsid w:val="00FD641A"/>
    <w:rsid w:val="00FE21AB"/>
    <w:rsid w:val="00FE4F5C"/>
    <w:rsid w:val="00FE5424"/>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9DF4C90"/>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5DC3"/>
    <w:rPr>
      <w:rFonts w:ascii="Calibri" w:eastAsia="Calibri" w:hAnsi="Calibri" w:cs="Times New Roman"/>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paragraph" w:styleId="Heading4">
    <w:name w:val="heading 4"/>
    <w:basedOn w:val="Normal"/>
    <w:next w:val="Normal"/>
    <w:link w:val="Heading4Char"/>
    <w:uiPriority w:val="9"/>
    <w:semiHidden/>
    <w:unhideWhenUsed/>
    <w:qFormat/>
    <w:rsid w:val="002E7A5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B1814"/>
    <w:pPr>
      <w:ind w:left="720"/>
      <w:contextualSpacing/>
    </w:pPr>
  </w:style>
  <w:style w:type="character" w:customStyle="1" w:styleId="UnresolvedMention1">
    <w:name w:val="Unresolved Mention1"/>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character" w:customStyle="1" w:styleId="Heading4Char">
    <w:name w:val="Heading 4 Char"/>
    <w:basedOn w:val="DefaultParagraphFont"/>
    <w:link w:val="Heading4"/>
    <w:uiPriority w:val="9"/>
    <w:semiHidden/>
    <w:rsid w:val="002E7A5D"/>
    <w:rPr>
      <w:rFonts w:asciiTheme="majorHAnsi" w:eastAsiaTheme="majorEastAsia" w:hAnsiTheme="majorHAnsi" w:cstheme="majorBidi"/>
      <w:i/>
      <w:iCs/>
      <w:color w:val="365F91" w:themeColor="accent1" w:themeShade="BF"/>
    </w:rPr>
  </w:style>
  <w:style w:type="paragraph" w:styleId="Revision">
    <w:name w:val="Revision"/>
    <w:hidden/>
    <w:uiPriority w:val="99"/>
    <w:semiHidden/>
    <w:rsid w:val="002C59F0"/>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2C59F0"/>
    <w:rPr>
      <w:sz w:val="16"/>
      <w:szCs w:val="16"/>
    </w:rPr>
  </w:style>
  <w:style w:type="paragraph" w:styleId="CommentText">
    <w:name w:val="annotation text"/>
    <w:basedOn w:val="Normal"/>
    <w:link w:val="CommentTextChar"/>
    <w:uiPriority w:val="99"/>
    <w:unhideWhenUsed/>
    <w:rsid w:val="002C59F0"/>
    <w:pPr>
      <w:spacing w:line="240" w:lineRule="auto"/>
    </w:pPr>
    <w:rPr>
      <w:sz w:val="20"/>
      <w:szCs w:val="20"/>
    </w:rPr>
  </w:style>
  <w:style w:type="character" w:customStyle="1" w:styleId="CommentTextChar">
    <w:name w:val="Comment Text Char"/>
    <w:basedOn w:val="DefaultParagraphFont"/>
    <w:link w:val="CommentText"/>
    <w:uiPriority w:val="99"/>
    <w:rsid w:val="002C59F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C59F0"/>
    <w:rPr>
      <w:b/>
      <w:bCs/>
    </w:rPr>
  </w:style>
  <w:style w:type="character" w:customStyle="1" w:styleId="CommentSubjectChar">
    <w:name w:val="Comment Subject Char"/>
    <w:basedOn w:val="CommentTextChar"/>
    <w:link w:val="CommentSubject"/>
    <w:uiPriority w:val="99"/>
    <w:semiHidden/>
    <w:rsid w:val="002C59F0"/>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416159815EE4DC8A08095C15F2E74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515</Nr_x002e__x0020_akti>
    <Data_x0020_e_x0020_Krijimit xmlns="0e656187-b300-4fb0-8bf4-3a50f872073c">2024-08-07T07:11:18Z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2024-08-05T00:00:00Z</Date_x0020_protokolli>
    <Titulli xmlns="0e656187-b300-4fb0-8bf4-3a50f872073c">Për përcaktimin e koeficientit të indeksimit të bazës  së vlerësuar të vitit 2022, për llogaritjen e pensioneve</Titulli>
    <Modifikuesi xmlns="0e656187-b300-4fb0-8bf4-3a50f872073c">jorina.kryeziu</Modifikuesi>
    <Nr_x002e__x0020_prot_x0020_QBZ xmlns="0e656187-b300-4fb0-8bf4-3a50f872073c">1445</Nr_x002e__x0020_prot_x0020_QBZ>
    <Data_x0020_e_x0020_Modifikimit xmlns="0e656187-b300-4fb0-8bf4-3a50f872073c">2024-08-07T08:58:59Z</Data_x0020_e_x0020_Modifikimit>
    <Dekretuar xmlns="0e656187-b300-4fb0-8bf4-3a50f872073c">false</Dekretuar>
    <Data xmlns="0e656187-b300-4fb0-8bf4-3a50f872073c">2024-08-01T00:00:00Z</Data>
    <Nr_x002e__x0020_protokolli_x0020_i_x0020_aktit xmlns="0e656187-b300-4fb0-8bf4-3a50f872073c">4207/2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3234F-8EDA-45D5-951C-21605A82D9B9}">
  <ds:schemaRefs>
    <ds:schemaRef ds:uri="http://schemas.microsoft.com/sharepoint/v3/contenttype/forms"/>
  </ds:schemaRefs>
</ds:datastoreItem>
</file>

<file path=customXml/itemProps2.xml><?xml version="1.0" encoding="utf-8"?>
<ds:datastoreItem xmlns:ds="http://schemas.openxmlformats.org/officeDocument/2006/customXml" ds:itemID="{03075E2E-8057-4176-9A51-4F90A0305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6DF30D4-2443-4411-A5A0-6DBDC2BB07A6}">
  <ds:schemaRefs>
    <ds:schemaRef ds:uri="http://www.w3.org/XML/1998/namespace"/>
    <ds:schemaRef ds:uri="http://schemas.microsoft.com/office/2006/documentManagement/types"/>
    <ds:schemaRef ds:uri="0e656187-b300-4fb0-8bf4-3a50f872073c"/>
    <ds:schemaRef ds:uri="http://purl.org/dc/elements/1.1/"/>
    <ds:schemaRef ds:uri="http://schemas.microsoft.com/office/2006/metadata/properties"/>
    <ds:schemaRef ds:uri="http://purl.org/dc/dcmitype/"/>
    <ds:schemaRef ds:uri="http://purl.org/dc/terms/"/>
    <ds:schemaRef ds:uri="http://schemas.openxmlformats.org/package/2006/metadata/core-properties"/>
  </ds:schemaRefs>
</ds:datastoreItem>
</file>

<file path=customXml/itemProps4.xml><?xml version="1.0" encoding="utf-8"?>
<ds:datastoreItem xmlns:ds="http://schemas.openxmlformats.org/officeDocument/2006/customXml" ds:itemID="{9C4D8F31-30E7-41E0-A506-1D6C82352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Për përcaktimin e koeficientit të indeksimit të bazës së vlerësuar të vitit 2022, për llogaritjen e pensioneve</vt:lpstr>
    </vt:vector>
  </TitlesOfParts>
  <Company>Dpa</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koeficientit të indeksimit të bazës së vlerësuar të vitit 2022, për llogaritjen e pensioneve</dc:title>
  <dc:creator>Lulzime Ajazi</dc:creator>
  <cp:lastModifiedBy>Jorina Kryeziu</cp:lastModifiedBy>
  <cp:revision>7</cp:revision>
  <cp:lastPrinted>2024-07-31T19:44:00Z</cp:lastPrinted>
  <dcterms:created xsi:type="dcterms:W3CDTF">2024-08-06T12:30:00Z</dcterms:created>
  <dcterms:modified xsi:type="dcterms:W3CDTF">2024-08-07T08:02:00Z</dcterms:modified>
</cp:coreProperties>
</file>