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D3013" w14:textId="65BEE216" w:rsidR="008F25A9" w:rsidRPr="00DD5485" w:rsidRDefault="008F25A9" w:rsidP="008F25A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D5485">
        <w:rPr>
          <w:rFonts w:ascii="Garamond" w:eastAsiaTheme="minorHAnsi" w:hAnsi="Garamond"/>
          <w:b/>
          <w:bCs/>
          <w:color w:val="000000"/>
          <w:sz w:val="24"/>
          <w:szCs w:val="24"/>
        </w:rPr>
        <w:t>VENDIM</w:t>
      </w:r>
    </w:p>
    <w:p w14:paraId="668125FA" w14:textId="12F1F821" w:rsidR="008F25A9" w:rsidRPr="00DD5485" w:rsidRDefault="008F25A9" w:rsidP="008F25A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D5485">
        <w:rPr>
          <w:rFonts w:ascii="Garamond" w:eastAsiaTheme="minorHAnsi" w:hAnsi="Garamond"/>
          <w:b/>
          <w:bCs/>
          <w:color w:val="000000"/>
          <w:sz w:val="24"/>
          <w:szCs w:val="24"/>
        </w:rPr>
        <w:t>Nr. 768, datë 13.12.2024</w:t>
      </w:r>
    </w:p>
    <w:p w14:paraId="039AE8A0" w14:textId="77777777" w:rsidR="008F25A9" w:rsidRPr="00DD5485" w:rsidRDefault="008F25A9" w:rsidP="008F25A9">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DECE08D" w14:textId="20A9B90A" w:rsidR="008F25A9" w:rsidRPr="00DD5485" w:rsidRDefault="008F25A9" w:rsidP="008F25A9">
      <w:pPr>
        <w:tabs>
          <w:tab w:val="center" w:pos="4320"/>
          <w:tab w:val="right" w:pos="86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DD5485">
        <w:rPr>
          <w:rFonts w:ascii="Garamond" w:eastAsiaTheme="minorHAnsi" w:hAnsi="Garamond"/>
          <w:b/>
          <w:bCs/>
          <w:color w:val="000000"/>
          <w:sz w:val="24"/>
          <w:szCs w:val="24"/>
        </w:rPr>
        <w:t>PËR</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DISA NDRYSHIME DHE SHTESA NË VENDIMIN NR.</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 xml:space="preserve">531, DATË 7.9.2023, TË KËSHILLIT TË MINISTRAVE, “PËR KRIJIMIN E SHOQËRISË AKSIONARE SHTETËRORE </w:t>
      </w:r>
      <w:r w:rsidR="00DD5485">
        <w:rPr>
          <w:rFonts w:ascii="Garamond" w:eastAsiaTheme="minorHAnsi" w:hAnsi="Garamond"/>
          <w:b/>
          <w:bCs/>
          <w:color w:val="000000"/>
          <w:sz w:val="24"/>
          <w:szCs w:val="24"/>
        </w:rPr>
        <w:t>‘</w:t>
      </w:r>
      <w:r w:rsidRPr="00DD5485">
        <w:rPr>
          <w:rFonts w:ascii="Garamond" w:eastAsiaTheme="minorHAnsi" w:hAnsi="Garamond"/>
          <w:b/>
          <w:bCs/>
          <w:color w:val="000000"/>
          <w:sz w:val="24"/>
          <w:szCs w:val="24"/>
        </w:rPr>
        <w:t>OPERATORI I BLERJEVE TË PËRQENDRUARA</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SHA, PËR KRYERJEN E PROCEDURAVE TË VEÇANTA TË PROKURIMIT PUBLIK, NË EMËR</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DHE PËR LLOGARI</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TË KRYEMINISTRISË, MINISTRIVE DHE INSTITUCIONEVE</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TË VARËSISË”, TË NDRYSHUAR</w:t>
      </w:r>
    </w:p>
    <w:p w14:paraId="736F41CF" w14:textId="77777777" w:rsidR="008F25A9" w:rsidRPr="00DD5485" w:rsidRDefault="008F25A9" w:rsidP="008F25A9">
      <w:pPr>
        <w:tabs>
          <w:tab w:val="center" w:pos="4320"/>
          <w:tab w:val="right" w:pos="8640"/>
        </w:tabs>
        <w:autoSpaceDE w:val="0"/>
        <w:autoSpaceDN w:val="0"/>
        <w:adjustRightInd w:val="0"/>
        <w:spacing w:after="0" w:line="240" w:lineRule="auto"/>
        <w:ind w:firstLine="284"/>
        <w:jc w:val="center"/>
        <w:rPr>
          <w:rFonts w:ascii="Garamond" w:eastAsiaTheme="minorHAnsi" w:hAnsi="Garamond"/>
          <w:color w:val="000000"/>
          <w:sz w:val="24"/>
          <w:szCs w:val="24"/>
          <w:u w:val="single"/>
        </w:rPr>
      </w:pPr>
    </w:p>
    <w:p w14:paraId="44BC775C" w14:textId="05F5FC9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mbështetje të nenit 100 të Kushtetutës, të nenit 105, të ligjit nr.</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9901, datë 14.4.2008, “Për tregtarët dhe shoqëritë tregtare”, të ndryshuar, dhe të pikës 2, të nenit 53, të ligjit nr.</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162/2020, “Për prokurimin publik”, të ndryshuar, me propozimin e ministrit të Ekonomisë, Kulturës dhe Inovacionit, Këshilli i Ministrave</w:t>
      </w:r>
    </w:p>
    <w:p w14:paraId="0D3BCE74"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p>
    <w:p w14:paraId="4A6BFD4D" w14:textId="3303737F" w:rsidR="008F25A9" w:rsidRPr="00DD5485" w:rsidRDefault="008F25A9" w:rsidP="008F25A9">
      <w:pPr>
        <w:tabs>
          <w:tab w:val="center" w:pos="4320"/>
          <w:tab w:val="right" w:pos="864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DD5485">
        <w:rPr>
          <w:rFonts w:ascii="Garamond" w:eastAsiaTheme="minorHAnsi" w:hAnsi="Garamond"/>
          <w:bCs/>
          <w:color w:val="000000"/>
          <w:sz w:val="24"/>
          <w:szCs w:val="24"/>
        </w:rPr>
        <w:t>VENDOSI:</w:t>
      </w:r>
    </w:p>
    <w:p w14:paraId="2BE13F8D" w14:textId="77777777" w:rsidR="008F25A9" w:rsidRPr="00DD5485" w:rsidRDefault="008F25A9" w:rsidP="008F25A9">
      <w:pPr>
        <w:autoSpaceDE w:val="0"/>
        <w:autoSpaceDN w:val="0"/>
        <w:adjustRightInd w:val="0"/>
        <w:spacing w:after="0" w:line="240" w:lineRule="auto"/>
        <w:ind w:firstLine="284"/>
        <w:rPr>
          <w:rFonts w:ascii="Garamond" w:eastAsiaTheme="minorHAnsi" w:hAnsi="Garamond"/>
          <w:bCs/>
          <w:color w:val="000000"/>
          <w:sz w:val="24"/>
          <w:szCs w:val="24"/>
        </w:rPr>
      </w:pPr>
    </w:p>
    <w:p w14:paraId="7B4FD01F" w14:textId="48E7C5F5"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I. Në vendimin nr.</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531, datë 7.9.2023, të Këshillit të Ministrave, të ndryshuar, bëhen këto ndryshime dhe shtesa:</w:t>
      </w:r>
    </w:p>
    <w:p w14:paraId="7D42C7C5" w14:textId="13FA3EC0"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1. Kudo në përmbajtje të vendimit, emërtesa “Drejtor” zëvendësohet me “Administrator”.</w:t>
      </w:r>
    </w:p>
    <w:p w14:paraId="68048F46" w14:textId="7EA21C12"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2. Në fund të fjalisë së parë, të pikës 7, shtohen fjalët “..., sipas parashikimeve të ligjit nr.</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9901, datë 14.4.2008, “Për tregtarët dhe shoqëritë tregtare”, të ndryshuar, dhe statutit të shoqërisë.”.</w:t>
      </w:r>
      <w:r w:rsidR="00DD5485">
        <w:rPr>
          <w:rFonts w:ascii="Garamond" w:eastAsiaTheme="minorHAnsi" w:hAnsi="Garamond"/>
          <w:color w:val="000000"/>
          <w:sz w:val="24"/>
          <w:szCs w:val="24"/>
        </w:rPr>
        <w:t xml:space="preserve"> </w:t>
      </w:r>
    </w:p>
    <w:p w14:paraId="28D5EEDD" w14:textId="2106A60E"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3. Në pikën 11 bëhen ndryshimet dhe shtesat e mëposhtme:</w:t>
      </w:r>
    </w:p>
    <w:p w14:paraId="5BF5A4D4" w14:textId="15357A8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a) </w:t>
      </w:r>
      <w:r w:rsidR="00DD5485" w:rsidRPr="00DD5485">
        <w:rPr>
          <w:rFonts w:ascii="Garamond" w:eastAsiaTheme="minorHAnsi" w:hAnsi="Garamond"/>
          <w:color w:val="000000"/>
          <w:sz w:val="24"/>
          <w:szCs w:val="24"/>
        </w:rPr>
        <w:t xml:space="preserve">paragrafi </w:t>
      </w:r>
      <w:r w:rsidRPr="00DD5485">
        <w:rPr>
          <w:rFonts w:ascii="Garamond" w:eastAsiaTheme="minorHAnsi" w:hAnsi="Garamond"/>
          <w:color w:val="000000"/>
          <w:sz w:val="24"/>
          <w:szCs w:val="24"/>
        </w:rPr>
        <w:t>i parë ndryshohet, si më poshtë vijon:</w:t>
      </w:r>
    </w:p>
    <w:p w14:paraId="04896492" w14:textId="6F63C0D9"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 “Operatori i Blerjeve të Përqendruara, si organ qendror blerës, zhvillon procedurat e mëposhtme në fushën e prokurimit të mallrave, shërbimeve dhe punëve dhe më hollësisht sipas shtojcës 1, që i bashkëlidhet këtij vendimi:”</w:t>
      </w:r>
      <w:r w:rsidR="00DD5485">
        <w:rPr>
          <w:rFonts w:ascii="Garamond" w:eastAsiaTheme="minorHAnsi" w:hAnsi="Garamond"/>
          <w:color w:val="000000"/>
          <w:sz w:val="24"/>
          <w:szCs w:val="24"/>
        </w:rPr>
        <w:t>;</w:t>
      </w:r>
    </w:p>
    <w:p w14:paraId="322B2F56" w14:textId="4317BDF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b) </w:t>
      </w:r>
      <w:r w:rsidR="00DD5485" w:rsidRPr="00DD5485">
        <w:rPr>
          <w:rFonts w:ascii="Garamond" w:eastAsiaTheme="minorHAnsi" w:hAnsi="Garamond"/>
          <w:color w:val="000000"/>
          <w:sz w:val="24"/>
          <w:szCs w:val="24"/>
        </w:rPr>
        <w:t xml:space="preserve">shkronja </w:t>
      </w:r>
      <w:r w:rsidRPr="00DD5485">
        <w:rPr>
          <w:rFonts w:ascii="Garamond" w:eastAsiaTheme="minorHAnsi" w:hAnsi="Garamond"/>
          <w:color w:val="000000"/>
          <w:sz w:val="24"/>
          <w:szCs w:val="24"/>
        </w:rPr>
        <w:t>“a” ndryshohet, si më poshtë vijon:</w:t>
      </w:r>
    </w:p>
    <w:p w14:paraId="187AB0B0" w14:textId="1105DD25"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 </w:t>
      </w:r>
      <w:r w:rsidRPr="00E11707">
        <w:rPr>
          <w:rFonts w:ascii="Garamond" w:eastAsiaTheme="minorHAnsi" w:hAnsi="Garamond"/>
          <w:color w:val="000000"/>
          <w:sz w:val="24"/>
          <w:szCs w:val="24"/>
        </w:rPr>
        <w:t>“a) Blerje</w:t>
      </w:r>
      <w:r w:rsidRPr="00DD5485">
        <w:rPr>
          <w:rFonts w:ascii="Garamond" w:eastAsiaTheme="minorHAnsi" w:hAnsi="Garamond"/>
          <w:color w:val="000000"/>
          <w:sz w:val="24"/>
          <w:szCs w:val="24"/>
        </w:rPr>
        <w:t xml:space="preserve"> automjetesh, autoveturash, ambulancash, mjetesh rrugore që përdoren për transport njerëzish, mjetesh rrugore që përdoren për transport mallrash, autobusësh, makinash teknologjike, makinash bujqësore dhe motomjetesh.”</w:t>
      </w:r>
      <w:r w:rsidR="00DD5485">
        <w:rPr>
          <w:rFonts w:ascii="Garamond" w:eastAsiaTheme="minorHAnsi" w:hAnsi="Garamond"/>
          <w:color w:val="000000"/>
          <w:sz w:val="24"/>
          <w:szCs w:val="24"/>
        </w:rPr>
        <w:t>;</w:t>
      </w:r>
    </w:p>
    <w:p w14:paraId="637B7320" w14:textId="7BC2ED50"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c) </w:t>
      </w:r>
      <w:r w:rsidR="00DD5485" w:rsidRPr="00DD5485">
        <w:rPr>
          <w:rFonts w:ascii="Garamond" w:eastAsiaTheme="minorHAnsi" w:hAnsi="Garamond"/>
          <w:color w:val="000000"/>
          <w:sz w:val="24"/>
          <w:szCs w:val="24"/>
        </w:rPr>
        <w:t xml:space="preserve">pas </w:t>
      </w:r>
      <w:r w:rsidRPr="00DD5485">
        <w:rPr>
          <w:rFonts w:ascii="Garamond" w:eastAsiaTheme="minorHAnsi" w:hAnsi="Garamond"/>
          <w:color w:val="000000"/>
          <w:sz w:val="24"/>
          <w:szCs w:val="24"/>
        </w:rPr>
        <w:t xml:space="preserve">shkronjës “r” shtohen shkronjat “rr”, “s”, “sh”, “t”, “th”, “v”, “x”, “xh” dhe “y”, me këtë përmbajtje: </w:t>
      </w:r>
    </w:p>
    <w:p w14:paraId="1BE56263" w14:textId="492E6D4D" w:rsidR="008F25A9" w:rsidRPr="00DD5485" w:rsidRDefault="00DD5485" w:rsidP="008F25A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008F25A9" w:rsidRPr="00DD5485">
        <w:rPr>
          <w:rFonts w:ascii="Garamond" w:eastAsiaTheme="minorHAnsi" w:hAnsi="Garamond"/>
          <w:color w:val="000000"/>
          <w:sz w:val="24"/>
          <w:szCs w:val="24"/>
        </w:rPr>
        <w:t>“rr) Përzgjedhja e subjekteve private me eksperiencë ndërkombëtare si ofrues shërbimi në fushën e prokurimeve, sipas parashikimeve të ligjit nr.</w:t>
      </w:r>
      <w:r>
        <w:rPr>
          <w:rFonts w:ascii="Garamond" w:eastAsiaTheme="minorHAnsi" w:hAnsi="Garamond"/>
          <w:color w:val="000000"/>
          <w:sz w:val="24"/>
          <w:szCs w:val="24"/>
        </w:rPr>
        <w:t xml:space="preserve"> </w:t>
      </w:r>
      <w:r w:rsidR="008F25A9" w:rsidRPr="00DD5485">
        <w:rPr>
          <w:rFonts w:ascii="Garamond" w:eastAsiaTheme="minorHAnsi" w:hAnsi="Garamond"/>
          <w:color w:val="000000"/>
          <w:sz w:val="24"/>
          <w:szCs w:val="24"/>
        </w:rPr>
        <w:t>162/2020, “Për prokurimin publik</w:t>
      </w:r>
      <w:r w:rsidR="00E11707">
        <w:rPr>
          <w:rFonts w:ascii="Garamond" w:eastAsiaTheme="minorHAnsi" w:hAnsi="Garamond"/>
          <w:color w:val="000000"/>
          <w:sz w:val="24"/>
          <w:szCs w:val="24"/>
        </w:rPr>
        <w:t>”</w:t>
      </w:r>
      <w:r w:rsidR="008F25A9" w:rsidRPr="00DD5485">
        <w:rPr>
          <w:rFonts w:ascii="Garamond" w:eastAsiaTheme="minorHAnsi" w:hAnsi="Garamond"/>
          <w:color w:val="000000"/>
          <w:sz w:val="24"/>
          <w:szCs w:val="24"/>
        </w:rPr>
        <w:t>;</w:t>
      </w:r>
    </w:p>
    <w:p w14:paraId="49FC38DF" w14:textId="2A4E2614" w:rsidR="008F25A9" w:rsidRPr="00DD5485" w:rsidRDefault="008F25A9" w:rsidP="008F25A9">
      <w:pPr>
        <w:autoSpaceDE w:val="0"/>
        <w:autoSpaceDN w:val="0"/>
        <w:adjustRightInd w:val="0"/>
        <w:spacing w:after="0" w:line="240" w:lineRule="auto"/>
        <w:ind w:firstLine="284"/>
        <w:rPr>
          <w:rFonts w:ascii="Garamond" w:eastAsiaTheme="minorHAnsi" w:hAnsi="Garamond"/>
          <w:color w:val="000000"/>
          <w:sz w:val="24"/>
          <w:szCs w:val="24"/>
        </w:rPr>
      </w:pPr>
      <w:r w:rsidRPr="00DD5485">
        <w:rPr>
          <w:rFonts w:ascii="Garamond" w:eastAsiaTheme="minorHAnsi" w:hAnsi="Garamond"/>
          <w:color w:val="000000"/>
          <w:sz w:val="24"/>
          <w:szCs w:val="24"/>
        </w:rPr>
        <w:t>s)</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Qira operacionale automjetesh;</w:t>
      </w:r>
    </w:p>
    <w:p w14:paraId="6C1E92BC" w14:textId="1408B73B"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sh)</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Blerje kamerash/sistemesh vëzhgimi dhe alarmi;</w:t>
      </w:r>
    </w:p>
    <w:p w14:paraId="6BF01A53" w14:textId="0BB21CA9"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t)</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Blerje dhe/ose mirëmbajtje ashensorësh;</w:t>
      </w:r>
    </w:p>
    <w:p w14:paraId="752ECEDF" w14:textId="2D6A1F03"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th)</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Blerje pajisjesh/pjesësh për burimin, ushqimin dhe energjinë</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(BUE);</w:t>
      </w:r>
    </w:p>
    <w:p w14:paraId="1FC3306F" w14:textId="4A9AF9D4"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v)</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Ndërtime;</w:t>
      </w:r>
    </w:p>
    <w:p w14:paraId="1E25C9B3" w14:textId="5B3481FE"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x) Supervizime dhe kolaudime të punimeve që i përkasin procedurave të prokurimit, objekt të veprimtarisë së Operatorit të Blerjeve të Përqendruara;</w:t>
      </w:r>
    </w:p>
    <w:p w14:paraId="2AB7946C" w14:textId="6549110F"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xh) Blerje materialesh elektrike, hidraulike dhe ndërtimi;</w:t>
      </w:r>
    </w:p>
    <w:p w14:paraId="5FC5B625" w14:textId="2D212509"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y)</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Mirëmbajtje e sistemeve/impianteve elektrike, hidraulike.”.</w:t>
      </w:r>
    </w:p>
    <w:p w14:paraId="208C0540" w14:textId="1523ED14" w:rsidR="008F25A9" w:rsidRPr="00DD5485" w:rsidRDefault="008F25A9" w:rsidP="008F25A9">
      <w:pPr>
        <w:tabs>
          <w:tab w:val="left" w:pos="260"/>
        </w:tabs>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4. Pas pikës 11 shtohet pika 11/1, me këtë përmbajtje:</w:t>
      </w:r>
    </w:p>
    <w:p w14:paraId="6DF1F14B" w14:textId="3A02B799" w:rsidR="008F25A9" w:rsidRPr="00DD5485" w:rsidRDefault="00DD5485" w:rsidP="008F25A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008F25A9" w:rsidRPr="00DD5485">
        <w:rPr>
          <w:rFonts w:ascii="Garamond" w:eastAsiaTheme="minorHAnsi" w:hAnsi="Garamond"/>
          <w:color w:val="000000"/>
          <w:sz w:val="24"/>
          <w:szCs w:val="24"/>
        </w:rPr>
        <w:t>“11/1. Bëjnë përjashtim nga parashikimet e pikës 11, të këtij vendimi, institucionet që realizojnë vetë procedurat e prokurimit publik, sipas legjislacionit në fuqi, si më poshtë vijon:</w:t>
      </w:r>
    </w:p>
    <w:p w14:paraId="75C2CA38"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p>
    <w:p w14:paraId="4CD4CFD6" w14:textId="586A97B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a) Shtypshkronjat e letrave me vlerë;</w:t>
      </w:r>
    </w:p>
    <w:p w14:paraId="1B362A93" w14:textId="38ABFF93"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b) Shërbimi Informativ i Shtetit.”. </w:t>
      </w:r>
    </w:p>
    <w:p w14:paraId="4E13BF5E" w14:textId="5EDDB70C"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5. Pas pikës 12 shtohen pikat 12/1 dhe 12/2, me këtë përmbajtje:</w:t>
      </w:r>
    </w:p>
    <w:p w14:paraId="5777D461" w14:textId="1ACA1820" w:rsidR="008F25A9" w:rsidRPr="00DD5485" w:rsidRDefault="008F25A9" w:rsidP="008F25A9">
      <w:pPr>
        <w:tabs>
          <w:tab w:val="left" w:pos="180"/>
        </w:tabs>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color w:val="000000"/>
          <w:sz w:val="24"/>
          <w:szCs w:val="24"/>
        </w:rPr>
        <w:t xml:space="preserve"> “12/1. OBP sh.a</w:t>
      </w:r>
      <w:r w:rsidR="00E11707">
        <w:rPr>
          <w:rFonts w:ascii="Garamond" w:eastAsiaTheme="minorHAnsi" w:hAnsi="Garamond"/>
          <w:color w:val="000000"/>
          <w:sz w:val="24"/>
          <w:szCs w:val="24"/>
        </w:rPr>
        <w:t>.</w:t>
      </w:r>
      <w:r w:rsidRPr="00DD5485">
        <w:rPr>
          <w:rFonts w:ascii="Garamond" w:eastAsiaTheme="minorHAnsi" w:hAnsi="Garamond"/>
          <w:color w:val="000000"/>
          <w:sz w:val="24"/>
          <w:szCs w:val="24"/>
        </w:rPr>
        <w:t>, zhvillon, gjithashtu, procedura prokurimi për punë/mallra/shërbime për llogari të autoritetit/entit kontraktor, i cili në strukturën e tij organizative ka më pak se 15 (pesëmbëdhjetë) punonjës dhe nuk ka një organ epror.</w:t>
      </w:r>
    </w:p>
    <w:p w14:paraId="59562D82" w14:textId="4B4FB1E1" w:rsidR="008F25A9" w:rsidRPr="00DD5485" w:rsidRDefault="00DD5485" w:rsidP="008F25A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008F25A9" w:rsidRPr="00DD5485">
        <w:rPr>
          <w:rFonts w:ascii="Garamond" w:eastAsiaTheme="minorHAnsi" w:hAnsi="Garamond"/>
          <w:color w:val="000000"/>
          <w:sz w:val="24"/>
          <w:szCs w:val="24"/>
        </w:rPr>
        <w:t>12/2. Institucionet që kërkojnë të prokurojnë shërbime/mallra/punë të cilat përfshihen në objektet e prokurimit të listuara në pikën 11, të këtij vendimi, me vlerë mbi 1 000 000 (një milion) lekë pa TVSH, dërgojnë kërkesat për prokurim pranë Operatorit të Blerjeve të Përqendruara, pavarësisht numrit të punonjësve që ka institucioni.”.</w:t>
      </w:r>
    </w:p>
    <w:p w14:paraId="1BBE57C9" w14:textId="3F2319E7" w:rsidR="008F25A9" w:rsidRPr="00DD5485" w:rsidRDefault="008F25A9" w:rsidP="008F25A9">
      <w:pPr>
        <w:tabs>
          <w:tab w:val="left" w:pos="180"/>
        </w:tabs>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sz w:val="24"/>
          <w:szCs w:val="24"/>
        </w:rPr>
        <w:t>6. Në pikën 13, fjalët “... miratimi i ligjit për buxhetin për vitin</w:t>
      </w:r>
      <w:r w:rsidR="00DD5485">
        <w:rPr>
          <w:rFonts w:ascii="Garamond" w:eastAsiaTheme="minorHAnsi" w:hAnsi="Garamond"/>
          <w:sz w:val="24"/>
          <w:szCs w:val="24"/>
        </w:rPr>
        <w:t xml:space="preserve"> </w:t>
      </w:r>
      <w:r w:rsidRPr="00DD5485">
        <w:rPr>
          <w:rFonts w:ascii="Garamond" w:eastAsiaTheme="minorHAnsi" w:hAnsi="Garamond"/>
          <w:sz w:val="24"/>
          <w:szCs w:val="24"/>
        </w:rPr>
        <w:t>pasardhës ...” zëvendësohen me “... detajimi/rialokimi i buxhetit ...”.</w:t>
      </w:r>
    </w:p>
    <w:p w14:paraId="106CE5F0" w14:textId="47AFABC5"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7. Pas pikës 13 shtohen pikat 13/1, 13/2, 13/3 dhe 13/4, me këtë përmbajtje:</w:t>
      </w:r>
    </w:p>
    <w:p w14:paraId="58FD2D4F" w14:textId="7D3455FF"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 “13/1. Autoritetet/entet kontraktore paraqesin kërkesën për prokurim në formë shkresore dhe elektronike, në të cilën bashkëlidhin në formën e duhur të dhënat e domosdoshme teknike dhe sasiore që janë të nevojshme për procedurën, objekt prokurimi, duke përfshirë:</w:t>
      </w:r>
    </w:p>
    <w:p w14:paraId="7D179850" w14:textId="538AA4A8"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a) përshkrimin/emërtesën e objektit të prokurimit, i cili të përputhet me zërin përkatës në regjistrin e parashikimit;</w:t>
      </w:r>
    </w:p>
    <w:p w14:paraId="0D3B369E" w14:textId="560C409E"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b) vlerën e përllogaritur të kontratës (pa TVSH) dhe mënyrën e përllogaritjes, fondi limit, në përputhje me parashikimet e ligjit për prokurimet publike dhe rregullave të prokurimeve publike, shoqëruar me dokumentacionin provues të këtij procesi;</w:t>
      </w:r>
    </w:p>
    <w:p w14:paraId="33AB0120" w14:textId="2F17C1B2"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c) sasinë e mallrave/shërbimeve</w:t>
      </w:r>
      <w:r w:rsidR="00E11707">
        <w:rPr>
          <w:rFonts w:ascii="Garamond" w:eastAsiaTheme="minorHAnsi" w:hAnsi="Garamond"/>
          <w:color w:val="000000"/>
          <w:sz w:val="24"/>
          <w:szCs w:val="24"/>
        </w:rPr>
        <w:t>,</w:t>
      </w:r>
      <w:r w:rsidRPr="00DD5485">
        <w:rPr>
          <w:rFonts w:ascii="Garamond" w:eastAsiaTheme="minorHAnsi" w:hAnsi="Garamond"/>
          <w:color w:val="000000"/>
          <w:sz w:val="24"/>
          <w:szCs w:val="24"/>
        </w:rPr>
        <w:t xml:space="preserve"> si dhe grafikun e lëvrimit të mallrave/shërbimeve;</w:t>
      </w:r>
    </w:p>
    <w:p w14:paraId="4256E52B" w14:textId="230DFC9A"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ç) specifikimet teknike, të cilat duhet të përshkruajnë minimumin ose tërësinë e elementeve më të rëndësishme përbërëse, projektin apo oponencën teknike, nëse është rasti, të cilat duhet të përshkruajnë minimumin ose tërësinë e elementeve më të rëndësishme referuar parashikimeve konkrete të ligjit për prokurimet publike dhe rregullave të prokurimeve publike, të shoqëruar me procesverbal argumentues;</w:t>
      </w:r>
    </w:p>
    <w:p w14:paraId="1AA27379" w14:textId="2550D50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d) preventivin/at e punimeve, nëse është rasti, projektet teknike, grafikun e zbatimit të punimeve, i cili të përfshijë fazat, afatet e realizimit të punëve, vendin e realizimit të kontratës/furnizimit/dorëzimit të mallit/shërbimit.</w:t>
      </w:r>
    </w:p>
    <w:p w14:paraId="2E53C0A5"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13/2. Për kërkesat për prokurim me vlerë mbi kufirin e lartë monetar, dokumentacioni i nevojshëm duhet të dërgohet në gjuhën shqipe dhe në anglisht nga autoritetet/entet kontraktore.</w:t>
      </w:r>
    </w:p>
    <w:p w14:paraId="7D6A70C0" w14:textId="407A6E5F"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13/3. Pasi OBP sh.a. shqyrton dhe verifikon dokumentacionin e paraqitur nga autoriteti/enti kontraktor, lidhur me përputhshmërinë me parashikimet ligjore e nënligjore dhe standardet në fuqi, vlerëson, nëse është e nevojshme, që kërkesat e paraqitura të plotësohen për shkak se dokumentacioni, përmbajtja e kërkesës, specifikimet teknike, termat e referencës, afatet e lëvrimit</w:t>
      </w:r>
      <w:r w:rsidR="00CD345B">
        <w:rPr>
          <w:rFonts w:ascii="Garamond" w:eastAsiaTheme="minorHAnsi" w:hAnsi="Garamond"/>
          <w:color w:val="000000"/>
          <w:sz w:val="24"/>
          <w:szCs w:val="24"/>
        </w:rPr>
        <w:t>,</w:t>
      </w:r>
      <w:r w:rsidRPr="00DD5485">
        <w:rPr>
          <w:rFonts w:ascii="Garamond" w:eastAsiaTheme="minorHAnsi" w:hAnsi="Garamond"/>
          <w:color w:val="000000"/>
          <w:sz w:val="24"/>
          <w:szCs w:val="24"/>
        </w:rPr>
        <w:t xml:space="preserve"> si edhe llogaritja e fondit limit janë paraqitur jo në përputhje me detyrimet ligjore për prokurimet publike. Nëse gjykohet se specifikimet teknike apo dokumentacioni tekniko-ekonomik, bashkëlidhur në kërkesën e paraqitur, nuk janë përgatitur në përputhje me legjislacionin për prokurimin publik, OBP sh.a. i kërkon autoritetit/entit kontraktor t’i korrigjojë ato brenda 10 (dhjetë) ditëve.</w:t>
      </w:r>
    </w:p>
    <w:p w14:paraId="4A64FD62" w14:textId="733236A9" w:rsidR="008F25A9" w:rsidRPr="00DD5485" w:rsidRDefault="008F25A9" w:rsidP="008F25A9">
      <w:pPr>
        <w:tabs>
          <w:tab w:val="left" w:pos="180"/>
        </w:tabs>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color w:val="000000"/>
          <w:sz w:val="24"/>
          <w:szCs w:val="24"/>
        </w:rPr>
        <w:t>13/4. OBP sh.a. standardizon/unifikon specifikimet teknike/çmimet për mallra dhe/ose për shërbime që prokurohen në mënyrë të përqendruar, në përputhje me standardet e miratuara, në bashkëpunim me specialistët e fushave të institucioneve përgjegjëse ose specialistë të jashtëm, vendas apo të huaj, dhe harton katalogët e standardeve. Katalogët e standardeve janë orientues dhe rekomandues për autoritetet/entet kontraktore. Katalogët e standardeve përgatiten nga drejtoria përkatëse e OBP sh.a</w:t>
      </w:r>
      <w:r w:rsidR="00CD345B">
        <w:rPr>
          <w:rFonts w:ascii="Garamond" w:eastAsiaTheme="minorHAnsi" w:hAnsi="Garamond"/>
          <w:color w:val="000000"/>
          <w:sz w:val="24"/>
          <w:szCs w:val="24"/>
        </w:rPr>
        <w:t>.</w:t>
      </w:r>
      <w:r w:rsidRPr="00DD5485">
        <w:rPr>
          <w:rFonts w:ascii="Garamond" w:eastAsiaTheme="minorHAnsi" w:hAnsi="Garamond"/>
          <w:color w:val="000000"/>
          <w:sz w:val="24"/>
          <w:szCs w:val="24"/>
        </w:rPr>
        <w:t>, miratohen nga administratori dhe publikohen në faqen zyrtare të OBP sh.a. dhe të APP-së.”.</w:t>
      </w:r>
    </w:p>
    <w:p w14:paraId="4748968C" w14:textId="6867D4D2" w:rsidR="008F25A9" w:rsidRPr="00DD5485" w:rsidRDefault="008F25A9" w:rsidP="008F25A9">
      <w:pPr>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color w:val="000000"/>
          <w:sz w:val="24"/>
          <w:szCs w:val="24"/>
        </w:rPr>
        <w:lastRenderedPageBreak/>
        <w:t>8. Pika 14 ndryshohet, si më</w:t>
      </w:r>
      <w:r w:rsidRPr="00DD5485">
        <w:rPr>
          <w:rFonts w:ascii="Garamond" w:eastAsiaTheme="minorHAnsi" w:hAnsi="Garamond"/>
          <w:sz w:val="24"/>
          <w:szCs w:val="24"/>
        </w:rPr>
        <w:t xml:space="preserve"> poshtë vijon:</w:t>
      </w:r>
    </w:p>
    <w:p w14:paraId="75F89F70" w14:textId="4A7BB3CD" w:rsidR="008F25A9" w:rsidRPr="00DD5485" w:rsidRDefault="008F25A9" w:rsidP="008F25A9">
      <w:pPr>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sz w:val="24"/>
          <w:szCs w:val="24"/>
        </w:rPr>
        <w:t xml:space="preserve"> “14. Mënyra e organizimit dhe komunikimit institucional mes OBP sh.a. dhe autoriteteve kontraktore për çështjet në tërësi dhe veçanërisht për katalogët e standardeve rregullohet në rregulloren e miratuar nga OBP sh.a., sipas parashikimit të legjislacionit të prokurimit publik në fuqi.”.</w:t>
      </w:r>
    </w:p>
    <w:p w14:paraId="69E7FD3F" w14:textId="3AC6A854" w:rsidR="008F25A9" w:rsidRPr="00DD5485" w:rsidRDefault="008F25A9" w:rsidP="008F25A9">
      <w:pPr>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sz w:val="24"/>
          <w:szCs w:val="24"/>
        </w:rPr>
        <w:t>9. Pas vendimit shtohet shtojca 1, që i bashkëlidhet këtij vendimi.</w:t>
      </w:r>
    </w:p>
    <w:p w14:paraId="720C6E27" w14:textId="63C5F809" w:rsidR="008F25A9" w:rsidRPr="00DD5485" w:rsidRDefault="008F25A9" w:rsidP="008F25A9">
      <w:pPr>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sz w:val="24"/>
          <w:szCs w:val="24"/>
        </w:rPr>
        <w:t>II. Ngarkohen Ministria e Ekonomisë, Kulturës dhe Inovacionit, Operatori i Blerjeve të Përqendruara dhe institucionet shtetërore/entet për zbatimin e këtij vendimi.</w:t>
      </w:r>
    </w:p>
    <w:p w14:paraId="05BCFE21" w14:textId="4F970470" w:rsidR="008F25A9" w:rsidRPr="00DD5485" w:rsidRDefault="008F25A9" w:rsidP="008F25A9">
      <w:pPr>
        <w:autoSpaceDE w:val="0"/>
        <w:autoSpaceDN w:val="0"/>
        <w:adjustRightInd w:val="0"/>
        <w:spacing w:after="0" w:line="240" w:lineRule="auto"/>
        <w:ind w:firstLine="284"/>
        <w:jc w:val="both"/>
        <w:rPr>
          <w:rFonts w:ascii="Garamond" w:eastAsiaTheme="minorHAnsi" w:hAnsi="Garamond"/>
          <w:sz w:val="24"/>
          <w:szCs w:val="24"/>
        </w:rPr>
      </w:pPr>
      <w:r w:rsidRPr="00DD5485">
        <w:rPr>
          <w:rFonts w:ascii="Garamond" w:eastAsiaTheme="minorHAnsi" w:hAnsi="Garamond"/>
          <w:sz w:val="24"/>
          <w:szCs w:val="24"/>
        </w:rPr>
        <w:t xml:space="preserve">Ky vendim hyn në fuqi pas botimit në Fletoren Zyrtare. </w:t>
      </w:r>
    </w:p>
    <w:p w14:paraId="3E6DDE34" w14:textId="77777777" w:rsidR="008F25A9" w:rsidRPr="00DD5485" w:rsidRDefault="008F25A9" w:rsidP="008F25A9">
      <w:pPr>
        <w:autoSpaceDE w:val="0"/>
        <w:autoSpaceDN w:val="0"/>
        <w:adjustRightInd w:val="0"/>
        <w:spacing w:after="0" w:line="240" w:lineRule="auto"/>
        <w:ind w:firstLine="284"/>
        <w:jc w:val="center"/>
        <w:rPr>
          <w:rFonts w:ascii="Garamond" w:eastAsiaTheme="minorHAnsi" w:hAnsi="Garamond"/>
          <w:b/>
          <w:bCs/>
          <w:sz w:val="24"/>
          <w:szCs w:val="24"/>
        </w:rPr>
      </w:pPr>
    </w:p>
    <w:p w14:paraId="4947A7C7" w14:textId="7AF6E52D" w:rsidR="008F25A9" w:rsidRPr="00DD5485" w:rsidRDefault="008F25A9" w:rsidP="008F25A9">
      <w:pPr>
        <w:autoSpaceDE w:val="0"/>
        <w:autoSpaceDN w:val="0"/>
        <w:adjustRightInd w:val="0"/>
        <w:spacing w:after="0" w:line="240" w:lineRule="auto"/>
        <w:ind w:firstLine="284"/>
        <w:jc w:val="right"/>
        <w:rPr>
          <w:rFonts w:ascii="Garamond" w:eastAsiaTheme="minorHAnsi" w:hAnsi="Garamond"/>
          <w:bCs/>
          <w:color w:val="000000"/>
          <w:sz w:val="24"/>
          <w:szCs w:val="24"/>
        </w:rPr>
      </w:pPr>
      <w:r w:rsidRPr="00DD5485">
        <w:rPr>
          <w:rFonts w:ascii="Garamond" w:eastAsiaTheme="minorHAnsi" w:hAnsi="Garamond"/>
          <w:bCs/>
          <w:color w:val="000000"/>
          <w:sz w:val="24"/>
          <w:szCs w:val="24"/>
        </w:rPr>
        <w:t>ZËVENDËSKRYEMINISTËR</w:t>
      </w:r>
    </w:p>
    <w:p w14:paraId="58FD95A2" w14:textId="3B61EB4D" w:rsidR="008F25A9" w:rsidRPr="00DD5485" w:rsidRDefault="008F25A9" w:rsidP="008F25A9">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DD5485">
        <w:rPr>
          <w:rFonts w:ascii="Garamond" w:eastAsiaTheme="minorHAnsi" w:hAnsi="Garamond"/>
          <w:b/>
          <w:bCs/>
          <w:color w:val="000000"/>
          <w:sz w:val="24"/>
          <w:szCs w:val="24"/>
        </w:rPr>
        <w:t>Belinda Balluku</w:t>
      </w:r>
    </w:p>
    <w:p w14:paraId="4F5A0B69" w14:textId="77777777" w:rsidR="008F25A9" w:rsidRPr="00DD5485" w:rsidRDefault="008F25A9" w:rsidP="008F25A9">
      <w:pPr>
        <w:autoSpaceDE w:val="0"/>
        <w:autoSpaceDN w:val="0"/>
        <w:adjustRightInd w:val="0"/>
        <w:spacing w:after="0" w:line="240" w:lineRule="auto"/>
        <w:ind w:firstLine="284"/>
        <w:jc w:val="right"/>
        <w:rPr>
          <w:rFonts w:ascii="Garamond" w:eastAsiaTheme="minorHAnsi" w:hAnsi="Garamond"/>
          <w:b/>
          <w:bCs/>
          <w:color w:val="000000"/>
          <w:sz w:val="24"/>
          <w:szCs w:val="24"/>
        </w:rPr>
      </w:pPr>
    </w:p>
    <w:p w14:paraId="00381B3E" w14:textId="77777777" w:rsidR="008F25A9" w:rsidRPr="00CD345B" w:rsidRDefault="008F25A9" w:rsidP="008F25A9">
      <w:pPr>
        <w:autoSpaceDE w:val="0"/>
        <w:autoSpaceDN w:val="0"/>
        <w:adjustRightInd w:val="0"/>
        <w:spacing w:after="0" w:line="240" w:lineRule="auto"/>
        <w:ind w:firstLine="284"/>
        <w:jc w:val="right"/>
        <w:rPr>
          <w:rFonts w:ascii="Garamond" w:eastAsiaTheme="minorHAnsi" w:hAnsi="Garamond"/>
          <w:bCs/>
          <w:color w:val="000000"/>
          <w:sz w:val="24"/>
          <w:szCs w:val="24"/>
        </w:rPr>
      </w:pPr>
      <w:r w:rsidRPr="00CD345B">
        <w:rPr>
          <w:rFonts w:ascii="Garamond" w:eastAsiaTheme="minorHAnsi" w:hAnsi="Garamond"/>
          <w:bCs/>
          <w:color w:val="000000"/>
          <w:sz w:val="24"/>
          <w:szCs w:val="24"/>
        </w:rPr>
        <w:t>SHTOJCA 1</w:t>
      </w:r>
    </w:p>
    <w:p w14:paraId="0379D6BE" w14:textId="02C9407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Operatori i Blerjeve të Përqendruara sh.a</w:t>
      </w:r>
      <w:r w:rsidR="00CD345B">
        <w:rPr>
          <w:rFonts w:ascii="Garamond" w:eastAsiaTheme="minorHAnsi" w:hAnsi="Garamond"/>
          <w:color w:val="000000"/>
          <w:sz w:val="24"/>
          <w:szCs w:val="24"/>
        </w:rPr>
        <w:t>.</w:t>
      </w:r>
      <w:r w:rsidRPr="00DD5485">
        <w:rPr>
          <w:rFonts w:ascii="Garamond" w:eastAsiaTheme="minorHAnsi" w:hAnsi="Garamond"/>
          <w:color w:val="000000"/>
          <w:sz w:val="24"/>
          <w:szCs w:val="24"/>
        </w:rPr>
        <w:t xml:space="preserve"> kryen procedurat e prokurimit për kontratat e mallrave/shërbimeve/punëve, si më poshtë:</w:t>
      </w:r>
    </w:p>
    <w:p w14:paraId="742FF9DC" w14:textId="72BCDACD"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b/>
          <w:bCs/>
          <w:color w:val="000000"/>
          <w:sz w:val="24"/>
          <w:szCs w:val="24"/>
        </w:rPr>
        <w:t>a) Blerje automjetesh, autoveturash, ambulancash, mjetesh rrugore që përdoren për transport njerëzish, mjetesh rrugore që përdoren për transport mallrash, autobusësh, makinash teknologjike, makinash bujqësore, motomjetesh</w:t>
      </w:r>
    </w:p>
    <w:p w14:paraId="6F915608" w14:textId="6BE79FC4"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përfshihen mjetet </w:t>
      </w:r>
      <w:r w:rsidR="00CD345B" w:rsidRPr="00DD5485">
        <w:rPr>
          <w:rFonts w:ascii="Garamond" w:eastAsiaTheme="minorHAnsi" w:hAnsi="Garamond"/>
          <w:color w:val="000000"/>
          <w:sz w:val="24"/>
          <w:szCs w:val="24"/>
        </w:rPr>
        <w:t>motorike</w:t>
      </w:r>
      <w:r w:rsidRPr="00DD5485">
        <w:rPr>
          <w:rFonts w:ascii="Garamond" w:eastAsiaTheme="minorHAnsi" w:hAnsi="Garamond"/>
          <w:color w:val="000000"/>
          <w:sz w:val="24"/>
          <w:szCs w:val="24"/>
        </w:rPr>
        <w:t xml:space="preserve"> të reja dhe të përdorura. Automjete, autovetura, ambulanca, mjete rrugore që përdoren për transport njerëzish, mjete rrugore që përdoren për transport mallrash, autobusë, makina teknologjike, makina bujqësore, motomjete, si edhe automjete të përdorura. </w:t>
      </w:r>
    </w:p>
    <w:p w14:paraId="161082D7" w14:textId="4FAEA6B0"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 xml:space="preserve">b) Blerje karburanti </w:t>
      </w:r>
    </w:p>
    <w:p w14:paraId="12783DF0" w14:textId="3D05A4EA"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përfshihen këto kategori: </w:t>
      </w:r>
      <w:r w:rsidR="00CD345B">
        <w:rPr>
          <w:rFonts w:ascii="Garamond" w:eastAsiaTheme="minorHAnsi" w:hAnsi="Garamond"/>
          <w:color w:val="000000"/>
          <w:sz w:val="24"/>
          <w:szCs w:val="24"/>
        </w:rPr>
        <w:t>n</w:t>
      </w:r>
      <w:r w:rsidRPr="00DD5485">
        <w:rPr>
          <w:rFonts w:ascii="Garamond" w:eastAsiaTheme="minorHAnsi" w:hAnsi="Garamond"/>
          <w:color w:val="000000"/>
          <w:sz w:val="24"/>
          <w:szCs w:val="24"/>
        </w:rPr>
        <w:t xml:space="preserve">aftë D1, benzinë, naftë F 76, solar. Në këtë kategori nuk përfshihen vajguri Jet A1 dhe karburanti </w:t>
      </w:r>
      <w:r w:rsidR="00CD345B" w:rsidRPr="00DD5485">
        <w:rPr>
          <w:rFonts w:ascii="Garamond" w:eastAsiaTheme="minorHAnsi" w:hAnsi="Garamond"/>
          <w:color w:val="000000"/>
          <w:sz w:val="24"/>
          <w:szCs w:val="24"/>
        </w:rPr>
        <w:t>për</w:t>
      </w:r>
      <w:r w:rsidRPr="00DD5485">
        <w:rPr>
          <w:rFonts w:ascii="Garamond" w:eastAsiaTheme="minorHAnsi" w:hAnsi="Garamond"/>
          <w:color w:val="000000"/>
          <w:sz w:val="24"/>
          <w:szCs w:val="24"/>
        </w:rPr>
        <w:t xml:space="preserve"> nevojat e fermerëve.</w:t>
      </w:r>
    </w:p>
    <w:p w14:paraId="7C787E53" w14:textId="247ABB62"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b/>
          <w:bCs/>
          <w:color w:val="000000"/>
          <w:sz w:val="24"/>
          <w:szCs w:val="24"/>
        </w:rPr>
        <w:t>c) Blerje materialesh kancelarie</w:t>
      </w:r>
    </w:p>
    <w:p w14:paraId="35933169" w14:textId="1A0C8BD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të gjitha materialet e një natyre të përgjithshme që përdoren</w:t>
      </w:r>
      <w:r w:rsidR="00DD5485">
        <w:rPr>
          <w:rFonts w:ascii="Garamond" w:eastAsiaTheme="minorHAnsi" w:hAnsi="Garamond"/>
          <w:color w:val="000000"/>
          <w:sz w:val="24"/>
          <w:szCs w:val="24"/>
        </w:rPr>
        <w:t xml:space="preserve"> </w:t>
      </w:r>
      <w:r w:rsidRPr="00DD5485">
        <w:rPr>
          <w:rFonts w:ascii="Garamond" w:eastAsiaTheme="minorHAnsi" w:hAnsi="Garamond"/>
          <w:color w:val="000000"/>
          <w:sz w:val="24"/>
          <w:szCs w:val="24"/>
        </w:rPr>
        <w:t>nga të gjitha institucionet për operacionet e tyre të përditshme.</w:t>
      </w:r>
    </w:p>
    <w:p w14:paraId="6ADB5B57"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Gjithashtu, këtu përfshihen edhe artikuj të imët të zyrës e të tjera pajisje të imta të ngjashme.</w:t>
      </w:r>
    </w:p>
    <w:p w14:paraId="0A1F1FE4" w14:textId="49DF51AF"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ç)</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Blerje orendish dhe pajisjesh për mobilim zyre</w:t>
      </w:r>
    </w:p>
    <w:p w14:paraId="671715EA" w14:textId="09DCD18B"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Materialet që do të prokurohen në këtë grup përfshijnë këto kategori: tavolina, karrige, skrivani, poltrona, etazherë (rafte), kasaforta, </w:t>
      </w:r>
      <w:r w:rsidR="00CD345B" w:rsidRPr="00DD5485">
        <w:rPr>
          <w:rFonts w:ascii="Garamond" w:eastAsiaTheme="minorHAnsi" w:hAnsi="Garamond"/>
          <w:color w:val="000000"/>
          <w:sz w:val="24"/>
          <w:szCs w:val="24"/>
        </w:rPr>
        <w:t>dollapë</w:t>
      </w:r>
      <w:r w:rsidRPr="00DD5485">
        <w:rPr>
          <w:rFonts w:ascii="Garamond" w:eastAsiaTheme="minorHAnsi" w:hAnsi="Garamond"/>
          <w:color w:val="000000"/>
          <w:sz w:val="24"/>
          <w:szCs w:val="24"/>
        </w:rPr>
        <w:t>, komodina</w:t>
      </w:r>
      <w:r w:rsidR="00CD345B">
        <w:rPr>
          <w:rFonts w:ascii="Garamond" w:eastAsiaTheme="minorHAnsi" w:hAnsi="Garamond"/>
          <w:color w:val="000000"/>
          <w:sz w:val="24"/>
          <w:szCs w:val="24"/>
        </w:rPr>
        <w:t>,</w:t>
      </w:r>
      <w:r w:rsidRPr="00DD5485">
        <w:rPr>
          <w:rFonts w:ascii="Garamond" w:eastAsiaTheme="minorHAnsi" w:hAnsi="Garamond"/>
          <w:color w:val="000000"/>
          <w:sz w:val="24"/>
          <w:szCs w:val="24"/>
        </w:rPr>
        <w:t xml:space="preserve"> si dhe materiale të tjera që janë në funksion të institucioneve që janë në fushën e zbatimit të këtij vendimi.</w:t>
      </w:r>
    </w:p>
    <w:p w14:paraId="3FF769BC" w14:textId="4BE106C3"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d) Blerje materialesh të ndryshme për pastrim</w:t>
      </w:r>
    </w:p>
    <w:p w14:paraId="11A03362" w14:textId="2AE6FF9D"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të gjitha materialet e nevojshme për pastrim</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si dhe detergjentë, dezinfektantë e të tjera materiale të kësaj natyre.</w:t>
      </w:r>
    </w:p>
    <w:p w14:paraId="2CCDC254" w14:textId="77777777"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dh) Blerje uniformash, veshmbathjeje dhe elemente të tjera përbërëse të tyre</w:t>
      </w:r>
    </w:p>
    <w:p w14:paraId="6CA4E196" w14:textId="279639F0"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uniformat e strukturave të mbrojtjes, rendit, gardës, doganave etj</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si dhe çdo lloj uniforme tjetër e detyrueshme për institucionet që janë në fushën e zbatimit të këtij vendimi. Në këtë kategori përfshihen edhe elementet e tjera përbërëse të tyre sipas legjislacionit përkatës në fuqi.</w:t>
      </w:r>
    </w:p>
    <w:p w14:paraId="1F0C5831" w14:textId="688A559F"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e) Blerje këpucësh</w:t>
      </w:r>
    </w:p>
    <w:p w14:paraId="37A01F86" w14:textId="49397458"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këpucë uniforme, stërvitjeje, ceremoniali, sportive (atlete) dhe civile për punonjësit</w:t>
      </w:r>
      <w:bookmarkStart w:id="0" w:name="_GoBack"/>
      <w:bookmarkEnd w:id="0"/>
      <w:r w:rsidRPr="00DD5485">
        <w:rPr>
          <w:rFonts w:ascii="Garamond" w:eastAsiaTheme="minorHAnsi" w:hAnsi="Garamond"/>
          <w:color w:val="000000"/>
          <w:sz w:val="24"/>
          <w:szCs w:val="24"/>
        </w:rPr>
        <w:t xml:space="preserve"> etj., si dhe çdo lloj uniforme tjetër e detyrueshme për institucionet që janë në fushën e zbatimit të këtij vendimi. Në këtë kategori përfshihen edhe elementet e tjera përbërëse të tyre sipas legjislacionit përkatës në fuqi.</w:t>
      </w:r>
    </w:p>
    <w:p w14:paraId="5F8D7B66" w14:textId="1AE59669"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b/>
          <w:bCs/>
          <w:color w:val="000000"/>
          <w:sz w:val="24"/>
          <w:szCs w:val="24"/>
        </w:rPr>
        <w:t>ë)</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 xml:space="preserve">Blerje pjesësh ndërrimi për automjete </w:t>
      </w:r>
    </w:p>
    <w:p w14:paraId="51C3E06E" w14:textId="441747E9"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lastRenderedPageBreak/>
        <w:t xml:space="preserve">Në këtë kategori do të përfshihen: blerje gomash, baterish, vajrash lubrifikant, alkooli frenash dhe pastrues motori për mjetet </w:t>
      </w:r>
      <w:r w:rsidR="005B0C72" w:rsidRPr="00DD5485">
        <w:rPr>
          <w:rFonts w:ascii="Garamond" w:eastAsiaTheme="minorHAnsi" w:hAnsi="Garamond"/>
          <w:color w:val="000000"/>
          <w:sz w:val="24"/>
          <w:szCs w:val="24"/>
        </w:rPr>
        <w:t>motorike</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të përcaktuara në shkronjën “a”</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të pikës 11, të këtij vendimi, vendosja e të cilave kryhet nga vetë autoriteti</w:t>
      </w:r>
      <w:r w:rsidRPr="00DD5485">
        <w:rPr>
          <w:rFonts w:ascii="Garamond" w:eastAsiaTheme="minorHAnsi" w:hAnsi="Garamond"/>
          <w:i/>
          <w:iCs/>
          <w:color w:val="000000"/>
          <w:sz w:val="24"/>
          <w:szCs w:val="24"/>
        </w:rPr>
        <w:t>/</w:t>
      </w:r>
      <w:r w:rsidRPr="00DD5485">
        <w:rPr>
          <w:rFonts w:ascii="Garamond" w:eastAsiaTheme="minorHAnsi" w:hAnsi="Garamond"/>
          <w:color w:val="000000"/>
          <w:sz w:val="24"/>
          <w:szCs w:val="24"/>
        </w:rPr>
        <w:t>enti kontraktor.</w:t>
      </w:r>
    </w:p>
    <w:p w14:paraId="268F0469" w14:textId="334302B3"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b/>
          <w:bCs/>
          <w:color w:val="000000"/>
          <w:sz w:val="24"/>
          <w:szCs w:val="24"/>
        </w:rPr>
        <w:t xml:space="preserve">f) Blerje </w:t>
      </w:r>
      <w:r w:rsidR="005B0C72" w:rsidRPr="00DD5485">
        <w:rPr>
          <w:rFonts w:ascii="Garamond" w:eastAsiaTheme="minorHAnsi" w:hAnsi="Garamond"/>
          <w:b/>
          <w:bCs/>
          <w:color w:val="000000"/>
          <w:sz w:val="24"/>
          <w:szCs w:val="24"/>
        </w:rPr>
        <w:t>tonerësh</w:t>
      </w:r>
    </w:p>
    <w:p w14:paraId="57A9033D" w14:textId="618E3E45"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do të përfshihen: </w:t>
      </w:r>
      <w:r w:rsidR="005B0C72" w:rsidRPr="00DD5485">
        <w:rPr>
          <w:rFonts w:ascii="Garamond" w:eastAsiaTheme="minorHAnsi" w:hAnsi="Garamond"/>
          <w:color w:val="000000"/>
          <w:sz w:val="24"/>
          <w:szCs w:val="24"/>
        </w:rPr>
        <w:t>toner</w:t>
      </w:r>
      <w:r w:rsidR="005B0C72">
        <w:rPr>
          <w:rFonts w:ascii="Garamond" w:eastAsiaTheme="minorHAnsi" w:hAnsi="Garamond"/>
          <w:color w:val="000000"/>
          <w:sz w:val="24"/>
          <w:szCs w:val="24"/>
        </w:rPr>
        <w:t>ë</w:t>
      </w:r>
      <w:r w:rsidRPr="00DD5485">
        <w:rPr>
          <w:rFonts w:ascii="Garamond" w:eastAsiaTheme="minorHAnsi" w:hAnsi="Garamond"/>
          <w:color w:val="000000"/>
          <w:sz w:val="24"/>
          <w:szCs w:val="24"/>
        </w:rPr>
        <w:t xml:space="preserve">, e </w:t>
      </w:r>
      <w:r w:rsidR="005B0C72" w:rsidRPr="00DD5485">
        <w:rPr>
          <w:rFonts w:ascii="Garamond" w:eastAsiaTheme="minorHAnsi" w:hAnsi="Garamond"/>
          <w:color w:val="000000"/>
          <w:sz w:val="24"/>
          <w:szCs w:val="24"/>
        </w:rPr>
        <w:t>bojëra</w:t>
      </w:r>
      <w:r w:rsidRPr="00DD5485">
        <w:rPr>
          <w:rFonts w:ascii="Garamond" w:eastAsiaTheme="minorHAnsi" w:hAnsi="Garamond"/>
          <w:color w:val="000000"/>
          <w:sz w:val="24"/>
          <w:szCs w:val="24"/>
        </w:rPr>
        <w:t xml:space="preserve"> printeri, fotokopje. Në këtë kategori përfshihen edhe element</w:t>
      </w:r>
      <w:r w:rsidR="005B0C72">
        <w:rPr>
          <w:rFonts w:ascii="Garamond" w:eastAsiaTheme="minorHAnsi" w:hAnsi="Garamond"/>
          <w:color w:val="000000"/>
          <w:sz w:val="24"/>
          <w:szCs w:val="24"/>
        </w:rPr>
        <w:t>e</w:t>
      </w:r>
      <w:r w:rsidRPr="00DD5485">
        <w:rPr>
          <w:rFonts w:ascii="Garamond" w:eastAsiaTheme="minorHAnsi" w:hAnsi="Garamond"/>
          <w:color w:val="000000"/>
          <w:sz w:val="24"/>
          <w:szCs w:val="24"/>
        </w:rPr>
        <w:t>t e tjer</w:t>
      </w:r>
      <w:r w:rsidR="005B0C72">
        <w:rPr>
          <w:rFonts w:ascii="Garamond" w:eastAsiaTheme="minorHAnsi" w:hAnsi="Garamond"/>
          <w:color w:val="000000"/>
          <w:sz w:val="24"/>
          <w:szCs w:val="24"/>
        </w:rPr>
        <w:t>a</w:t>
      </w:r>
      <w:r w:rsidRPr="00DD5485">
        <w:rPr>
          <w:rFonts w:ascii="Garamond" w:eastAsiaTheme="minorHAnsi" w:hAnsi="Garamond"/>
          <w:color w:val="000000"/>
          <w:sz w:val="24"/>
          <w:szCs w:val="24"/>
        </w:rPr>
        <w:t xml:space="preserve"> përbërës</w:t>
      </w:r>
      <w:r w:rsidR="005B0C72">
        <w:rPr>
          <w:rFonts w:ascii="Garamond" w:eastAsiaTheme="minorHAnsi" w:hAnsi="Garamond"/>
          <w:color w:val="000000"/>
          <w:sz w:val="24"/>
          <w:szCs w:val="24"/>
        </w:rPr>
        <w:t>e</w:t>
      </w:r>
      <w:r w:rsidRPr="00DD5485">
        <w:rPr>
          <w:rFonts w:ascii="Garamond" w:eastAsiaTheme="minorHAnsi" w:hAnsi="Garamond"/>
          <w:color w:val="000000"/>
          <w:sz w:val="24"/>
          <w:szCs w:val="24"/>
        </w:rPr>
        <w:t xml:space="preserve"> të tyre sipas legjislacionit përkatës në fuqi.</w:t>
      </w:r>
    </w:p>
    <w:p w14:paraId="102F3594" w14:textId="0447750E"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g) Shërbime në fushën e sigurimeve, si:</w:t>
      </w:r>
    </w:p>
    <w:p w14:paraId="7E271B45"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i. Sigurim i automjeteve; ii. sigurim i mjeteve lundruese; iii. sigurim i mjeteve ajrore; iv. sigurim jete dhe shëndeti; v. sigurim i godinave publike.</w:t>
      </w:r>
    </w:p>
    <w:p w14:paraId="7983BDCB" w14:textId="382F9930"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gj)</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Shërbim gatimi dhe shpërndarjeje ushqimi</w:t>
      </w:r>
    </w:p>
    <w:p w14:paraId="4E1513D3"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do të përfshihet shërbimi katering (gatim dhe/ose shpërndarje). </w:t>
      </w:r>
    </w:p>
    <w:p w14:paraId="1F06324F" w14:textId="7F0B9B29"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h) Shërbim pastrimi</w:t>
      </w:r>
    </w:p>
    <w:p w14:paraId="4BC4C94E"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përfshihet shërbimi i pastrimit të ambienteve të brendshme dhe të jashtme.</w:t>
      </w:r>
    </w:p>
    <w:p w14:paraId="546EE25F" w14:textId="4A0879BC"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i) Shërbim lavanderie</w:t>
      </w:r>
    </w:p>
    <w:p w14:paraId="3CEF41A9" w14:textId="43E2C06D" w:rsidR="008F25A9" w:rsidRPr="00DD5485" w:rsidRDefault="00DD5485" w:rsidP="008F25A9">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008F25A9" w:rsidRPr="00DD5485">
        <w:rPr>
          <w:rFonts w:ascii="Garamond" w:eastAsiaTheme="minorHAnsi" w:hAnsi="Garamond"/>
          <w:color w:val="000000"/>
          <w:sz w:val="24"/>
          <w:szCs w:val="24"/>
        </w:rPr>
        <w:t xml:space="preserve">Në këtë shërbim përfshihen shërbim larjeje, hekurosjeje, paketimi të </w:t>
      </w:r>
      <w:r w:rsidR="005B0C72" w:rsidRPr="00DD5485">
        <w:rPr>
          <w:rFonts w:ascii="Garamond" w:eastAsiaTheme="minorHAnsi" w:hAnsi="Garamond"/>
          <w:color w:val="000000"/>
          <w:sz w:val="24"/>
          <w:szCs w:val="24"/>
        </w:rPr>
        <w:t>materialeve</w:t>
      </w:r>
      <w:r w:rsidR="008F25A9" w:rsidRPr="00DD5485">
        <w:rPr>
          <w:rFonts w:ascii="Garamond" w:eastAsiaTheme="minorHAnsi" w:hAnsi="Garamond"/>
          <w:color w:val="000000"/>
          <w:sz w:val="24"/>
          <w:szCs w:val="24"/>
        </w:rPr>
        <w:t xml:space="preserve"> të imta/buta spitalore, shtrim të materialeve të imëta etj.</w:t>
      </w:r>
    </w:p>
    <w:p w14:paraId="1B038249" w14:textId="3A0431F0"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j) Shërbim lyerjeje ndërtesash dhe mirëmbajtjeje të ndërtesave publike</w:t>
      </w:r>
    </w:p>
    <w:p w14:paraId="70A9DC32" w14:textId="3D245CC0"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përfshihet shërbimi i lyerjes së ndërtesave në ambientet e brendshme dhe të jashtme</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dhe çdo element i mirëmbajtjes së ndërtesave publike</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si: punime civile, elektrike, hidraulike, furnizim e vendosje mallrash/pajisjesh në funksion të objekteve të prokurimit etj.</w:t>
      </w:r>
    </w:p>
    <w:p w14:paraId="79C02FDC" w14:textId="6E39105E"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k) Riparim dhe mirëmbajtje automjetesh</w:t>
      </w:r>
    </w:p>
    <w:p w14:paraId="5CF90474" w14:textId="370702E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do të përfshihen të gjitha shërbimet e parashikuara në kuadër të riparim-mirëmbajtjes për mjetet motorike të përcaktuara në shkronjën “a”, të pikës 11, të këtij vendimi, si për shembull: kontrollet, riparimet, zëvendësimi i pjesëve të këmbimit etj</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nga operatori ekonomik. </w:t>
      </w:r>
    </w:p>
    <w:p w14:paraId="48FFD879" w14:textId="155156C1"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l) Botime, printime dhe materiale shtypshkrimi</w:t>
      </w:r>
    </w:p>
    <w:p w14:paraId="1A2064F6"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do të përfshihen të gjitha nevojat që ka autoriteti kontraktor/enti kontraktor për shërbimin e printimit, prodhimit të botimeve të ndryshme apo materialeve të shtypshkrimit. Me përjashtim të botimeve për tekstet shkollore të arsimit bazë për institucionet arsimore publike parauniversitare, ku mësojnë nxënës të pakicave kombëtare. </w:t>
      </w:r>
    </w:p>
    <w:p w14:paraId="658B2DB1" w14:textId="1CC33E2C"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ll) Blerje materialesh të buta dhe veshmbathjeje</w:t>
      </w:r>
    </w:p>
    <w:p w14:paraId="2764D670" w14:textId="2FB1B472"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do të përfshihen të gjitha materialet e nevojshme për autoritetet/entet kontraktore, të cilat në ushtrim të veprimtarisë së tyre ofrojnë shërbimin e fjetjes</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si</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veshmbathje, çarçafë, peshqirë, dyshekë etj.</w:t>
      </w:r>
    </w:p>
    <w:p w14:paraId="64013963" w14:textId="4DCF8573"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m) Riparim, mirëmbajtje sistem ngrohje-ftohje</w:t>
      </w:r>
    </w:p>
    <w:p w14:paraId="1E037896" w14:textId="64B042A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do të përfshihen mirëmbajtja apo riparimi i sistemit të ngrohje-ftohjes që përdor autoriteti kontraktor (kondicioner, </w:t>
      </w:r>
      <w:r w:rsidRPr="00DD5485">
        <w:rPr>
          <w:rFonts w:ascii="Garamond" w:eastAsiaTheme="minorHAnsi" w:hAnsi="Garamond"/>
          <w:i/>
          <w:iCs/>
          <w:color w:val="000000"/>
          <w:sz w:val="24"/>
          <w:szCs w:val="24"/>
        </w:rPr>
        <w:t>chillera</w:t>
      </w:r>
      <w:r w:rsidRPr="00DD5485">
        <w:rPr>
          <w:rFonts w:ascii="Garamond" w:eastAsiaTheme="minorHAnsi" w:hAnsi="Garamond"/>
          <w:color w:val="000000"/>
          <w:sz w:val="24"/>
          <w:szCs w:val="24"/>
        </w:rPr>
        <w:t>, kaldaja, rrjeti i sistemit HVAC që përfshin linja të furnizimit me gaz dhe me ujë, kanalet e ventilimit, dhoma teknike etj</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duke konsistuar në kontrolle, riparime, zëvendësim të pjesëve të nevojshme etj.</w:t>
      </w:r>
    </w:p>
    <w:p w14:paraId="5C39FBC0" w14:textId="7284A1C2"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n) Blerje pajisjesh laboratorike dhe të mjeteve didaktike, me përjashtim të atyre mjekësore</w:t>
      </w:r>
    </w:p>
    <w:p w14:paraId="377BD928" w14:textId="017D5EB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do të përfshihen të gjitha shpenzimet që parashikohen të prokurohen nga autoriteti/enti kontraktor për blerjen e pajisjeve laboratorike të ndryshme, të cilat shkojnë në funksion të veprimtarisë së tyre, me përjashtim të atyre me natyrë mjekësore.</w:t>
      </w:r>
    </w:p>
    <w:p w14:paraId="20008F05"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nj) Shërbime dezinfektimi, deratizimi dhe dezinsektimi</w:t>
      </w:r>
    </w:p>
    <w:p w14:paraId="507B6924" w14:textId="2EF23896"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do të përfshihen të gjitha shpenzimet që parashikohen të prokurohen nga autoriteti/enti</w:t>
      </w:r>
      <w:r w:rsidRPr="00DD5485">
        <w:rPr>
          <w:rFonts w:ascii="Garamond" w:eastAsiaTheme="minorHAnsi" w:hAnsi="Garamond"/>
          <w:i/>
          <w:iCs/>
          <w:color w:val="000000"/>
          <w:sz w:val="24"/>
          <w:szCs w:val="24"/>
        </w:rPr>
        <w:t xml:space="preserve"> </w:t>
      </w:r>
      <w:r w:rsidRPr="00DD5485">
        <w:rPr>
          <w:rFonts w:ascii="Garamond" w:eastAsiaTheme="minorHAnsi" w:hAnsi="Garamond"/>
          <w:color w:val="000000"/>
          <w:sz w:val="24"/>
          <w:szCs w:val="24"/>
        </w:rPr>
        <w:t>kontraktor për dezi</w:t>
      </w:r>
      <w:r w:rsidR="005B0C72">
        <w:rPr>
          <w:rFonts w:ascii="Garamond" w:eastAsiaTheme="minorHAnsi" w:hAnsi="Garamond"/>
          <w:color w:val="000000"/>
          <w:sz w:val="24"/>
          <w:szCs w:val="24"/>
        </w:rPr>
        <w:t>n</w:t>
      </w:r>
      <w:r w:rsidRPr="00DD5485">
        <w:rPr>
          <w:rFonts w:ascii="Garamond" w:eastAsiaTheme="minorHAnsi" w:hAnsi="Garamond"/>
          <w:color w:val="000000"/>
          <w:sz w:val="24"/>
          <w:szCs w:val="24"/>
        </w:rPr>
        <w:t xml:space="preserve">fektimin, deratizimin dhe dezinsektimin e ambienteve të jashtme apo të brendshme. </w:t>
      </w:r>
    </w:p>
    <w:p w14:paraId="48A5F49B" w14:textId="2D1D8C52"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o) Blerje artikujsh ushqimorë</w:t>
      </w:r>
    </w:p>
    <w:p w14:paraId="21A5BAC6" w14:textId="3B221E3E"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lastRenderedPageBreak/>
        <w:t>Në këtë kategori do të përfshihen të gjitha blerj</w:t>
      </w:r>
      <w:r w:rsidR="00680BC3">
        <w:rPr>
          <w:rFonts w:ascii="Garamond" w:eastAsiaTheme="minorHAnsi" w:hAnsi="Garamond"/>
          <w:color w:val="000000"/>
          <w:sz w:val="24"/>
          <w:szCs w:val="24"/>
        </w:rPr>
        <w:t>et</w:t>
      </w:r>
      <w:r w:rsidRPr="00DD5485">
        <w:rPr>
          <w:rFonts w:ascii="Garamond" w:eastAsiaTheme="minorHAnsi" w:hAnsi="Garamond"/>
          <w:color w:val="000000"/>
          <w:sz w:val="24"/>
          <w:szCs w:val="24"/>
        </w:rPr>
        <w:t xml:space="preserve"> e artikujve ushqimorë për </w:t>
      </w:r>
      <w:r w:rsidRPr="00680BC3">
        <w:rPr>
          <w:rFonts w:ascii="Garamond" w:eastAsiaTheme="minorHAnsi" w:hAnsi="Garamond"/>
          <w:color w:val="000000"/>
          <w:sz w:val="24"/>
          <w:szCs w:val="24"/>
        </w:rPr>
        <w:t>autoriteti</w:t>
      </w:r>
      <w:r w:rsidR="005B0C72" w:rsidRPr="00680BC3">
        <w:rPr>
          <w:rFonts w:ascii="Garamond" w:eastAsiaTheme="minorHAnsi" w:hAnsi="Garamond"/>
          <w:color w:val="000000"/>
          <w:sz w:val="24"/>
          <w:szCs w:val="24"/>
        </w:rPr>
        <w:t>n</w:t>
      </w:r>
      <w:r w:rsidRPr="00680BC3">
        <w:rPr>
          <w:rFonts w:ascii="Garamond" w:eastAsiaTheme="minorHAnsi" w:hAnsi="Garamond"/>
          <w:color w:val="000000"/>
          <w:sz w:val="24"/>
          <w:szCs w:val="24"/>
        </w:rPr>
        <w:t>/enti</w:t>
      </w:r>
      <w:r w:rsidR="005B0C72" w:rsidRPr="00680BC3">
        <w:rPr>
          <w:rFonts w:ascii="Garamond" w:eastAsiaTheme="minorHAnsi" w:hAnsi="Garamond"/>
          <w:color w:val="000000"/>
          <w:sz w:val="24"/>
          <w:szCs w:val="24"/>
        </w:rPr>
        <w:t>n</w:t>
      </w:r>
      <w:r w:rsidRPr="00680BC3">
        <w:rPr>
          <w:rFonts w:ascii="Garamond" w:eastAsiaTheme="minorHAnsi" w:hAnsi="Garamond"/>
          <w:i/>
          <w:iCs/>
          <w:color w:val="000000"/>
          <w:sz w:val="24"/>
          <w:szCs w:val="24"/>
        </w:rPr>
        <w:t xml:space="preserve"> </w:t>
      </w:r>
      <w:r w:rsidRPr="00680BC3">
        <w:rPr>
          <w:rFonts w:ascii="Garamond" w:eastAsiaTheme="minorHAnsi" w:hAnsi="Garamond"/>
          <w:color w:val="000000"/>
          <w:sz w:val="24"/>
          <w:szCs w:val="24"/>
        </w:rPr>
        <w:t>kontraktor</w:t>
      </w:r>
      <w:r w:rsidRPr="00DD5485">
        <w:rPr>
          <w:rFonts w:ascii="Garamond" w:eastAsiaTheme="minorHAnsi" w:hAnsi="Garamond"/>
          <w:color w:val="000000"/>
          <w:sz w:val="24"/>
          <w:szCs w:val="24"/>
        </w:rPr>
        <w:t xml:space="preserve"> me natyrë bimore, shtazore, industriale etj. Në këtë kategori nuk përfshihet rasti kur autori</w:t>
      </w:r>
      <w:r w:rsidR="005B0C72">
        <w:rPr>
          <w:rFonts w:ascii="Garamond" w:eastAsiaTheme="minorHAnsi" w:hAnsi="Garamond"/>
          <w:color w:val="000000"/>
          <w:sz w:val="24"/>
          <w:szCs w:val="24"/>
        </w:rPr>
        <w:t>t</w:t>
      </w:r>
      <w:r w:rsidRPr="00DD5485">
        <w:rPr>
          <w:rFonts w:ascii="Garamond" w:eastAsiaTheme="minorHAnsi" w:hAnsi="Garamond"/>
          <w:color w:val="000000"/>
          <w:sz w:val="24"/>
          <w:szCs w:val="24"/>
        </w:rPr>
        <w:t>eti kontraktor kërkon shërbimin e kateringut (gatim dhe shpërndarje).</w:t>
      </w:r>
    </w:p>
    <w:p w14:paraId="4FE0AAE2" w14:textId="5D5904C2"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p) Blerje pajisjesh kondicionimi dhe sistemi ngrohje</w:t>
      </w:r>
      <w:r w:rsidR="005B0C72">
        <w:rPr>
          <w:rFonts w:ascii="Garamond" w:eastAsiaTheme="minorHAnsi" w:hAnsi="Garamond"/>
          <w:b/>
          <w:bCs/>
          <w:color w:val="000000"/>
          <w:sz w:val="24"/>
          <w:szCs w:val="24"/>
        </w:rPr>
        <w:t>-</w:t>
      </w:r>
      <w:r w:rsidRPr="00DD5485">
        <w:rPr>
          <w:rFonts w:ascii="Garamond" w:eastAsiaTheme="minorHAnsi" w:hAnsi="Garamond"/>
          <w:b/>
          <w:bCs/>
          <w:color w:val="000000"/>
          <w:sz w:val="24"/>
          <w:szCs w:val="24"/>
        </w:rPr>
        <w:t>ftohje</w:t>
      </w:r>
    </w:p>
    <w:p w14:paraId="79087B70"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do të përfshihen pajisjet që konsistojnë në sisteme të ngrohjes dhe ftohjes si kondicioner, </w:t>
      </w:r>
      <w:r w:rsidRPr="00DD5485">
        <w:rPr>
          <w:rFonts w:ascii="Garamond" w:eastAsiaTheme="minorHAnsi" w:hAnsi="Garamond"/>
          <w:i/>
          <w:iCs/>
          <w:color w:val="000000"/>
          <w:sz w:val="24"/>
          <w:szCs w:val="24"/>
        </w:rPr>
        <w:t>chillera</w:t>
      </w:r>
      <w:r w:rsidRPr="00DD5485">
        <w:rPr>
          <w:rFonts w:ascii="Garamond" w:eastAsiaTheme="minorHAnsi" w:hAnsi="Garamond"/>
          <w:color w:val="000000"/>
          <w:sz w:val="24"/>
          <w:szCs w:val="24"/>
        </w:rPr>
        <w:t xml:space="preserve"> etj.</w:t>
      </w:r>
    </w:p>
    <w:p w14:paraId="6CD27E0F"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q)</w:t>
      </w:r>
      <w:r w:rsidRPr="00DD5485">
        <w:rPr>
          <w:rFonts w:ascii="Garamond" w:eastAsiaTheme="minorHAnsi" w:hAnsi="Garamond"/>
          <w:color w:val="000000"/>
          <w:sz w:val="24"/>
          <w:szCs w:val="24"/>
        </w:rPr>
        <w:t xml:space="preserve"> </w:t>
      </w:r>
      <w:r w:rsidRPr="00DD5485">
        <w:rPr>
          <w:rFonts w:ascii="Garamond" w:eastAsiaTheme="minorHAnsi" w:hAnsi="Garamond"/>
          <w:b/>
          <w:bCs/>
          <w:color w:val="000000"/>
          <w:sz w:val="24"/>
          <w:szCs w:val="24"/>
        </w:rPr>
        <w:t>Shërbim gjelbërimi</w:t>
      </w:r>
    </w:p>
    <w:p w14:paraId="623AE91A" w14:textId="19A14960"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do të </w:t>
      </w:r>
      <w:r w:rsidR="005B0C72" w:rsidRPr="00DD5485">
        <w:rPr>
          <w:rFonts w:ascii="Garamond" w:eastAsiaTheme="minorHAnsi" w:hAnsi="Garamond"/>
          <w:color w:val="000000"/>
          <w:sz w:val="24"/>
          <w:szCs w:val="24"/>
        </w:rPr>
        <w:t>përfshihen</w:t>
      </w:r>
      <w:r w:rsidRPr="00DD5485">
        <w:rPr>
          <w:rFonts w:ascii="Garamond" w:eastAsiaTheme="minorHAnsi" w:hAnsi="Garamond"/>
          <w:color w:val="000000"/>
          <w:sz w:val="24"/>
          <w:szCs w:val="24"/>
        </w:rPr>
        <w:t xml:space="preserve"> shërbimet e parashikuara nga autoriteti/enti</w:t>
      </w:r>
      <w:r w:rsidRPr="00DD5485">
        <w:rPr>
          <w:rFonts w:ascii="Garamond" w:eastAsiaTheme="minorHAnsi" w:hAnsi="Garamond"/>
          <w:i/>
          <w:iCs/>
          <w:color w:val="000000"/>
          <w:sz w:val="24"/>
          <w:szCs w:val="24"/>
        </w:rPr>
        <w:t xml:space="preserve"> </w:t>
      </w:r>
      <w:r w:rsidRPr="00DD5485">
        <w:rPr>
          <w:rFonts w:ascii="Garamond" w:eastAsiaTheme="minorHAnsi" w:hAnsi="Garamond"/>
          <w:color w:val="000000"/>
          <w:sz w:val="24"/>
          <w:szCs w:val="24"/>
        </w:rPr>
        <w:t>kontraktor për gjelbërimin e ambienteve të jashtme të autoritetit/entit</w:t>
      </w:r>
      <w:r w:rsidRPr="00DD5485">
        <w:rPr>
          <w:rFonts w:ascii="Garamond" w:eastAsiaTheme="minorHAnsi" w:hAnsi="Garamond"/>
          <w:i/>
          <w:iCs/>
          <w:color w:val="000000"/>
          <w:sz w:val="24"/>
          <w:szCs w:val="24"/>
        </w:rPr>
        <w:t xml:space="preserve"> </w:t>
      </w:r>
      <w:r w:rsidRPr="00DD5485">
        <w:rPr>
          <w:rFonts w:ascii="Garamond" w:eastAsiaTheme="minorHAnsi" w:hAnsi="Garamond"/>
          <w:color w:val="000000"/>
          <w:sz w:val="24"/>
          <w:szCs w:val="24"/>
        </w:rPr>
        <w:t>kontraktor, duke konsistuar në mbjellje, mirëmbajtje të hapësirave të gjelbra etj.</w:t>
      </w:r>
    </w:p>
    <w:p w14:paraId="652B6F64" w14:textId="5AA31E0A"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b/>
          <w:bCs/>
          <w:color w:val="000000"/>
          <w:sz w:val="24"/>
          <w:szCs w:val="24"/>
        </w:rPr>
        <w:t>r) Rikonstruksion objektesh</w:t>
      </w:r>
    </w:p>
    <w:p w14:paraId="4E5D4663" w14:textId="00D3FF34"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të gjitha punimet të cilat konsistojnë në rikonstruksione të objekteve të ndryshme shtetërore, duke konsistuar në zgjidhjet dhe koordinimin e punimeve të specialiteteve të nevojshme për riaftësim, konservim, konsolidim, transformim, rivlerësim, ristrukturim. Konsiderohen</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gjithashtu</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dhe finitura të llojeve të ndryshme që lidhen me objektin, punime plotësuese dhe pajisje.</w:t>
      </w:r>
    </w:p>
    <w:p w14:paraId="6B6235DB" w14:textId="67F0F991"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rr) Përzgjedhja e subjekteve private me eksperiencë ndërkombëtare</w:t>
      </w:r>
      <w:r w:rsidR="00DD5485">
        <w:rPr>
          <w:rFonts w:ascii="Garamond" w:eastAsiaTheme="minorHAnsi" w:hAnsi="Garamond"/>
          <w:b/>
          <w:bCs/>
          <w:color w:val="000000"/>
          <w:sz w:val="24"/>
          <w:szCs w:val="24"/>
        </w:rPr>
        <w:t xml:space="preserve"> </w:t>
      </w:r>
      <w:r w:rsidRPr="00DD5485">
        <w:rPr>
          <w:rFonts w:ascii="Garamond" w:eastAsiaTheme="minorHAnsi" w:hAnsi="Garamond"/>
          <w:b/>
          <w:bCs/>
          <w:color w:val="000000"/>
          <w:sz w:val="24"/>
          <w:szCs w:val="24"/>
        </w:rPr>
        <w:t>si ofrues shërbimi në fushën e prokurimeve, referuar nenit 21/2 të ligjit të prokurimit publik</w:t>
      </w:r>
    </w:p>
    <w:p w14:paraId="31B8EFFF" w14:textId="706AAADD"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Sikurse përcakton ligji nr.</w:t>
      </w:r>
      <w:r w:rsidR="005B0C72">
        <w:rPr>
          <w:rFonts w:ascii="Garamond" w:eastAsiaTheme="minorHAnsi" w:hAnsi="Garamond"/>
          <w:color w:val="000000"/>
          <w:sz w:val="24"/>
          <w:szCs w:val="24"/>
        </w:rPr>
        <w:t xml:space="preserve"> </w:t>
      </w:r>
      <w:r w:rsidRPr="00DD5485">
        <w:rPr>
          <w:rFonts w:ascii="Garamond" w:eastAsiaTheme="minorHAnsi" w:hAnsi="Garamond"/>
          <w:color w:val="000000"/>
          <w:sz w:val="24"/>
          <w:szCs w:val="24"/>
        </w:rPr>
        <w:t>162/2020, “Për prokurimin publik”, në rast kërkese nga autoriteti/enti</w:t>
      </w:r>
      <w:r w:rsidRPr="00DD5485">
        <w:rPr>
          <w:rFonts w:ascii="Garamond" w:eastAsiaTheme="minorHAnsi" w:hAnsi="Garamond"/>
          <w:i/>
          <w:iCs/>
          <w:color w:val="000000"/>
          <w:sz w:val="24"/>
          <w:szCs w:val="24"/>
        </w:rPr>
        <w:t xml:space="preserve"> </w:t>
      </w:r>
      <w:r w:rsidRPr="00DD5485">
        <w:rPr>
          <w:rFonts w:ascii="Garamond" w:eastAsiaTheme="minorHAnsi" w:hAnsi="Garamond"/>
          <w:color w:val="000000"/>
          <w:sz w:val="24"/>
          <w:szCs w:val="24"/>
        </w:rPr>
        <w:t>kontraktor, OPB sh.a</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përzgjedh subjekte private me eksperiencë ndërkombëtare, si ofrues shërbimi, sipas procedurave të parashikuara në ligjin për prokurimin publik dhe aktet e tjera ligjore e nënligjore në fuqi.</w:t>
      </w:r>
    </w:p>
    <w:p w14:paraId="1EDBD099" w14:textId="27E46338"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Kërkesat e autoriteteve duhet të konsistojnë në përzgjedhjen e subjekteve që mund të realizojnë procedura prokurimi që nuk kryhen nga OBP-ja.</w:t>
      </w:r>
    </w:p>
    <w:p w14:paraId="7420FD37" w14:textId="4729C12B"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 xml:space="preserve"> s) Qira operacionale automjetesh</w:t>
      </w:r>
    </w:p>
    <w:p w14:paraId="309F09F6" w14:textId="7FBF119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përfshihet marrja me qira e automjeteve përmes qirasë operacionale. Konkretisht, autovetura, ambulanca, mjete rrugore që përdoren për transport njerëzish, mjete rrugore që përdoren për transport mallrash, autobusë, makina teknologjike, makina bujqësore, motomjete</w:t>
      </w:r>
      <w:r w:rsidR="005B0C72">
        <w:rPr>
          <w:rFonts w:ascii="Garamond" w:eastAsiaTheme="minorHAnsi" w:hAnsi="Garamond"/>
          <w:color w:val="000000"/>
          <w:sz w:val="24"/>
          <w:szCs w:val="24"/>
        </w:rPr>
        <w:t>.</w:t>
      </w:r>
    </w:p>
    <w:p w14:paraId="2A86924A" w14:textId="219D0D14"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 xml:space="preserve"> sh) Blerje kamerash/sistemesh </w:t>
      </w:r>
      <w:r w:rsidR="005B0C72" w:rsidRPr="00DD5485">
        <w:rPr>
          <w:rFonts w:ascii="Garamond" w:eastAsiaTheme="minorHAnsi" w:hAnsi="Garamond"/>
          <w:b/>
          <w:bCs/>
          <w:color w:val="000000"/>
          <w:sz w:val="24"/>
          <w:szCs w:val="24"/>
        </w:rPr>
        <w:t>vëzhgimi</w:t>
      </w:r>
      <w:r w:rsidRPr="00DD5485">
        <w:rPr>
          <w:rFonts w:ascii="Garamond" w:eastAsiaTheme="minorHAnsi" w:hAnsi="Garamond"/>
          <w:b/>
          <w:bCs/>
          <w:color w:val="000000"/>
          <w:sz w:val="24"/>
          <w:szCs w:val="24"/>
        </w:rPr>
        <w:t xml:space="preserve"> dhe alarmi</w:t>
      </w:r>
    </w:p>
    <w:p w14:paraId="07A6F255" w14:textId="5B889DF8" w:rsidR="008F25A9" w:rsidRPr="00DD5485" w:rsidRDefault="008F25A9" w:rsidP="005B0C72">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furnizimi i vendosjes së kamerave, pajisjeve të alarmit, trarëve, akses-kontrolleve, monitorëve etj.</w:t>
      </w:r>
    </w:p>
    <w:p w14:paraId="0D42A960" w14:textId="4EEEE129"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 xml:space="preserve"> t) Blerje dhe/ose mirëmbajtje ashensorësh</w:t>
      </w:r>
    </w:p>
    <w:p w14:paraId="51689281" w14:textId="76D973B1" w:rsidR="008F25A9" w:rsidRPr="00DD5485" w:rsidRDefault="008F25A9" w:rsidP="005B0C72">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përfshihen blerje dhe/ose mirëmbajtje </w:t>
      </w:r>
      <w:r w:rsidR="005B0C72" w:rsidRPr="00DD5485">
        <w:rPr>
          <w:rFonts w:ascii="Garamond" w:eastAsiaTheme="minorHAnsi" w:hAnsi="Garamond"/>
          <w:color w:val="000000"/>
          <w:sz w:val="24"/>
          <w:szCs w:val="24"/>
        </w:rPr>
        <w:t>ashensorësh</w:t>
      </w:r>
      <w:r w:rsidRPr="00DD5485">
        <w:rPr>
          <w:rFonts w:ascii="Garamond" w:eastAsiaTheme="minorHAnsi" w:hAnsi="Garamond"/>
          <w:color w:val="000000"/>
          <w:sz w:val="24"/>
          <w:szCs w:val="24"/>
        </w:rPr>
        <w:t xml:space="preserve"> në funksion të institucioneve objekt të këtij vendimi.</w:t>
      </w:r>
    </w:p>
    <w:p w14:paraId="4912A8C1" w14:textId="0F383D2C"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 xml:space="preserve"> th) Blerje pajisjesh/pjesësh për burimin, ushqimin dhe energjinë (BUE)</w:t>
      </w:r>
    </w:p>
    <w:p w14:paraId="6BE0C303" w14:textId="77777777" w:rsidR="008F25A9" w:rsidRPr="00DD5485" w:rsidRDefault="008F25A9" w:rsidP="008F25A9">
      <w:pPr>
        <w:autoSpaceDE w:val="0"/>
        <w:autoSpaceDN w:val="0"/>
        <w:adjustRightInd w:val="0"/>
        <w:spacing w:after="0" w:line="240" w:lineRule="auto"/>
        <w:ind w:firstLine="284"/>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gjeneratorë, UPS-a, transformatorë, çela, panele diellore etj.</w:t>
      </w:r>
    </w:p>
    <w:p w14:paraId="28A62E32" w14:textId="7B8F7BCD" w:rsidR="008F25A9" w:rsidRPr="00DD5485" w:rsidRDefault="00DD5485" w:rsidP="008F25A9">
      <w:pPr>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 xml:space="preserve"> </w:t>
      </w:r>
      <w:r w:rsidR="008F25A9" w:rsidRPr="00DD5485">
        <w:rPr>
          <w:rFonts w:ascii="Garamond" w:eastAsiaTheme="minorHAnsi" w:hAnsi="Garamond"/>
          <w:b/>
          <w:bCs/>
          <w:color w:val="000000"/>
          <w:sz w:val="24"/>
          <w:szCs w:val="24"/>
        </w:rPr>
        <w:t>v) Ndërtime</w:t>
      </w:r>
    </w:p>
    <w:p w14:paraId="0A47016B"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 të gjitha punimet e ndërtimeve civile në objekte ku zhvillohen aktivitete njerëzore të drejtpërdrejta ose jo, kompletimi me strukturat e nevojshme dhe finitura të llojeve të ndryshme që lidhen me objektin, punime plotësuese dhe pajisje.</w:t>
      </w:r>
    </w:p>
    <w:p w14:paraId="767ECB06"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Përfshin në mënyrë të thjeshtuar godina banimi, shkolla, zyra, kazerma ushtrie, teatro, stadiume, godina industriale, godina për parkim, burgje etj.</w:t>
      </w:r>
    </w:p>
    <w:p w14:paraId="1A0BCE87" w14:textId="2B70A4CF" w:rsidR="008F25A9" w:rsidRPr="00DD5485" w:rsidRDefault="008F25A9" w:rsidP="008F25A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D5485">
        <w:rPr>
          <w:rFonts w:ascii="Garamond" w:eastAsiaTheme="minorHAnsi" w:hAnsi="Garamond"/>
          <w:b/>
          <w:bCs/>
          <w:color w:val="000000"/>
          <w:sz w:val="24"/>
          <w:szCs w:val="24"/>
        </w:rPr>
        <w:t xml:space="preserve"> x) Supervizime dhe kolaudime të punimeve që i përkasin procedurave të prokurimit që janë në fushën e veprimtarisë së OBP-së, sipas parashikimeve në këtë VKM</w:t>
      </w:r>
    </w:p>
    <w:p w14:paraId="51FEBFB9" w14:textId="77777777"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përfshihen</w:t>
      </w:r>
      <w:r w:rsidRPr="00DD5485">
        <w:rPr>
          <w:rFonts w:ascii="Garamond" w:eastAsiaTheme="minorHAnsi" w:hAnsi="Garamond" w:cs="Calibri"/>
          <w:color w:val="000000"/>
          <w:sz w:val="24"/>
          <w:szCs w:val="24"/>
        </w:rPr>
        <w:t xml:space="preserve"> s</w:t>
      </w:r>
      <w:r w:rsidRPr="00DD5485">
        <w:rPr>
          <w:rFonts w:ascii="Garamond" w:eastAsiaTheme="minorHAnsi" w:hAnsi="Garamond"/>
          <w:color w:val="000000"/>
          <w:sz w:val="24"/>
          <w:szCs w:val="24"/>
        </w:rPr>
        <w:t xml:space="preserve">upervizimet dhe kolaudimet e punimeve të ndërtimit për rikonstruksion dhe ndërtim. </w:t>
      </w:r>
    </w:p>
    <w:p w14:paraId="7493914B" w14:textId="1B6F65C7"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t xml:space="preserve"> xh) Blerje materialesh elektrike, hidraulike dhe ndërtimi</w:t>
      </w:r>
    </w:p>
    <w:p w14:paraId="5C39ED38" w14:textId="77777777" w:rsidR="008F25A9" w:rsidRPr="00DD5485" w:rsidRDefault="008F25A9" w:rsidP="005B0C72">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 xml:space="preserve">Në këtë kategori përfshihet blerja e artikujve elektrikë, hidraulikë, të ndërtimit etj. </w:t>
      </w:r>
    </w:p>
    <w:p w14:paraId="1C5ED620" w14:textId="1BA04F33" w:rsidR="008F25A9" w:rsidRPr="00DD5485" w:rsidRDefault="008F25A9" w:rsidP="008F25A9">
      <w:pPr>
        <w:autoSpaceDE w:val="0"/>
        <w:autoSpaceDN w:val="0"/>
        <w:adjustRightInd w:val="0"/>
        <w:spacing w:after="0" w:line="240" w:lineRule="auto"/>
        <w:ind w:firstLine="284"/>
        <w:rPr>
          <w:rFonts w:ascii="Garamond" w:eastAsiaTheme="minorHAnsi" w:hAnsi="Garamond"/>
          <w:b/>
          <w:bCs/>
          <w:color w:val="000000"/>
          <w:sz w:val="24"/>
          <w:szCs w:val="24"/>
        </w:rPr>
      </w:pPr>
      <w:r w:rsidRPr="00DD5485">
        <w:rPr>
          <w:rFonts w:ascii="Garamond" w:eastAsiaTheme="minorHAnsi" w:hAnsi="Garamond"/>
          <w:b/>
          <w:bCs/>
          <w:color w:val="000000"/>
          <w:sz w:val="24"/>
          <w:szCs w:val="24"/>
        </w:rPr>
        <w:lastRenderedPageBreak/>
        <w:t xml:space="preserve"> y) Mirëmbajtje e sistemeve/impianteve elektrike, hidraulike</w:t>
      </w:r>
    </w:p>
    <w:p w14:paraId="7D493F58" w14:textId="70452480" w:rsidR="008F25A9" w:rsidRPr="00DD5485" w:rsidRDefault="008F25A9" w:rsidP="008F25A9">
      <w:pPr>
        <w:autoSpaceDE w:val="0"/>
        <w:autoSpaceDN w:val="0"/>
        <w:adjustRightInd w:val="0"/>
        <w:spacing w:after="0" w:line="240" w:lineRule="auto"/>
        <w:ind w:firstLine="284"/>
        <w:jc w:val="both"/>
        <w:rPr>
          <w:rFonts w:ascii="Garamond" w:eastAsiaTheme="minorHAnsi" w:hAnsi="Garamond"/>
          <w:color w:val="000000"/>
          <w:sz w:val="24"/>
          <w:szCs w:val="24"/>
        </w:rPr>
      </w:pPr>
      <w:r w:rsidRPr="00DD5485">
        <w:rPr>
          <w:rFonts w:ascii="Garamond" w:eastAsiaTheme="minorHAnsi" w:hAnsi="Garamond"/>
          <w:color w:val="000000"/>
          <w:sz w:val="24"/>
          <w:szCs w:val="24"/>
        </w:rPr>
        <w:t>Në këtë kategori përfshihet mirëmbajtja e sistemeve/impianteve elektrike, hidraulike ekzistuese në objektet e institucioneve</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si</w:t>
      </w:r>
      <w:r w:rsidR="005B0C72">
        <w:rPr>
          <w:rFonts w:ascii="Garamond" w:eastAsiaTheme="minorHAnsi" w:hAnsi="Garamond"/>
          <w:color w:val="000000"/>
          <w:sz w:val="24"/>
          <w:szCs w:val="24"/>
        </w:rPr>
        <w:t>:</w:t>
      </w:r>
      <w:r w:rsidRPr="00DD5485">
        <w:rPr>
          <w:rFonts w:ascii="Garamond" w:eastAsiaTheme="minorHAnsi" w:hAnsi="Garamond"/>
          <w:color w:val="000000"/>
          <w:sz w:val="24"/>
          <w:szCs w:val="24"/>
        </w:rPr>
        <w:t xml:space="preserve"> kontrolle, riparime, zëvendësime</w:t>
      </w:r>
      <w:r w:rsidR="00204727">
        <w:rPr>
          <w:rFonts w:ascii="Garamond" w:eastAsiaTheme="minorHAnsi" w:hAnsi="Garamond"/>
          <w:color w:val="000000"/>
          <w:sz w:val="24"/>
          <w:szCs w:val="24"/>
        </w:rPr>
        <w:t xml:space="preserve"> </w:t>
      </w:r>
      <w:r w:rsidRPr="00DD5485">
        <w:rPr>
          <w:rFonts w:ascii="Garamond" w:eastAsiaTheme="minorHAnsi" w:hAnsi="Garamond"/>
          <w:color w:val="000000"/>
          <w:sz w:val="24"/>
          <w:szCs w:val="24"/>
        </w:rPr>
        <w:t>etj.</w:t>
      </w:r>
    </w:p>
    <w:p w14:paraId="7E101C3C" w14:textId="77777777" w:rsidR="008F25A9" w:rsidRPr="00DD5485" w:rsidRDefault="008F25A9" w:rsidP="008F25A9">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D5485">
        <w:rPr>
          <w:rFonts w:ascii="Garamond" w:eastAsiaTheme="minorHAnsi" w:hAnsi="Garamond"/>
          <w:color w:val="000000"/>
          <w:sz w:val="24"/>
          <w:szCs w:val="24"/>
        </w:rPr>
        <w:t xml:space="preserve"> </w:t>
      </w:r>
    </w:p>
    <w:sectPr w:rsidR="008F25A9" w:rsidRPr="00DD5485" w:rsidSect="00DF1678">
      <w:footerReference w:type="default" r:id="rId13"/>
      <w:pgSz w:w="11907" w:h="16839" w:code="9"/>
      <w:pgMar w:top="1417" w:right="1701" w:bottom="1417" w:left="1701" w:header="720" w:footer="4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092C8" w14:textId="77777777" w:rsidR="009D4783" w:rsidRDefault="009D4783" w:rsidP="00DF1678">
      <w:pPr>
        <w:spacing w:after="0" w:line="240" w:lineRule="auto"/>
      </w:pPr>
      <w:r>
        <w:separator/>
      </w:r>
    </w:p>
  </w:endnote>
  <w:endnote w:type="continuationSeparator" w:id="0">
    <w:p w14:paraId="3B55D14E" w14:textId="77777777" w:rsidR="009D4783" w:rsidRDefault="009D4783" w:rsidP="00DF1678">
      <w:pPr>
        <w:spacing w:after="0" w:line="240" w:lineRule="auto"/>
      </w:pPr>
      <w:r>
        <w:continuationSeparator/>
      </w:r>
    </w:p>
  </w:endnote>
  <w:endnote w:type="continuationNotice" w:id="1">
    <w:p w14:paraId="748FF467" w14:textId="77777777" w:rsidR="009D4783" w:rsidRDefault="009D47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21ECD" w14:textId="4097181F" w:rsidR="009D4783" w:rsidRPr="00064DDC" w:rsidRDefault="009D4783">
    <w:pPr>
      <w:pStyle w:val="Footer"/>
      <w:jc w:val="right"/>
      <w:rPr>
        <w:rFonts w:ascii="Times New Roman" w:hAnsi="Times New Roman"/>
        <w:sz w:val="24"/>
      </w:rPr>
    </w:pPr>
  </w:p>
  <w:p w14:paraId="52C6614C" w14:textId="77777777" w:rsidR="009D4783" w:rsidRDefault="009D4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14885" w14:textId="77777777" w:rsidR="009D4783" w:rsidRDefault="009D4783" w:rsidP="00DF1678">
      <w:pPr>
        <w:spacing w:after="0" w:line="240" w:lineRule="auto"/>
      </w:pPr>
      <w:r>
        <w:separator/>
      </w:r>
    </w:p>
  </w:footnote>
  <w:footnote w:type="continuationSeparator" w:id="0">
    <w:p w14:paraId="2A9E013D" w14:textId="77777777" w:rsidR="009D4783" w:rsidRDefault="009D4783" w:rsidP="00DF1678">
      <w:pPr>
        <w:spacing w:after="0" w:line="240" w:lineRule="auto"/>
      </w:pPr>
      <w:r>
        <w:continuationSeparator/>
      </w:r>
    </w:p>
  </w:footnote>
  <w:footnote w:type="continuationNotice" w:id="1">
    <w:p w14:paraId="10A9AAC3" w14:textId="77777777" w:rsidR="009D4783" w:rsidRDefault="009D47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3344"/>
    <w:multiLevelType w:val="hybridMultilevel"/>
    <w:tmpl w:val="9C26D6B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2A07583"/>
    <w:multiLevelType w:val="hybridMultilevel"/>
    <w:tmpl w:val="E3FE185A"/>
    <w:lvl w:ilvl="0" w:tplc="F82EC5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2764C"/>
    <w:multiLevelType w:val="hybridMultilevel"/>
    <w:tmpl w:val="DDCED9F4"/>
    <w:lvl w:ilvl="0" w:tplc="1B70D99C">
      <w:start w:val="1"/>
      <w:numFmt w:val="lowerLetter"/>
      <w:lvlText w:val="%1)"/>
      <w:lvlJc w:val="left"/>
      <w:pPr>
        <w:ind w:left="990" w:hanging="360"/>
      </w:pPr>
      <w:rPr>
        <w:rFonts w:ascii="Garamond" w:hAnsi="Garamond"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3" w15:restartNumberingAfterBreak="0">
    <w:nsid w:val="075320E6"/>
    <w:multiLevelType w:val="hybridMultilevel"/>
    <w:tmpl w:val="7EDAF3CC"/>
    <w:lvl w:ilvl="0" w:tplc="1E3C3BE8">
      <w:start w:val="14"/>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9960194"/>
    <w:multiLevelType w:val="hybridMultilevel"/>
    <w:tmpl w:val="3EEC4216"/>
    <w:lvl w:ilvl="0" w:tplc="04090017">
      <w:start w:val="1"/>
      <w:numFmt w:val="lowerLetter"/>
      <w:lvlText w:val="%1)"/>
      <w:lvlJc w:val="left"/>
      <w:pPr>
        <w:ind w:left="90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A2C89"/>
    <w:multiLevelType w:val="hybridMultilevel"/>
    <w:tmpl w:val="DC4CFAA0"/>
    <w:lvl w:ilvl="0" w:tplc="BAE22146">
      <w:start w:val="2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EA5348"/>
    <w:multiLevelType w:val="hybridMultilevel"/>
    <w:tmpl w:val="290C0C3E"/>
    <w:lvl w:ilvl="0" w:tplc="233860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947CD9"/>
    <w:multiLevelType w:val="hybridMultilevel"/>
    <w:tmpl w:val="5004FB8E"/>
    <w:lvl w:ilvl="0" w:tplc="BA5A879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465D4C"/>
    <w:multiLevelType w:val="hybridMultilevel"/>
    <w:tmpl w:val="6A42F2AE"/>
    <w:lvl w:ilvl="0" w:tplc="54D4C98A">
      <w:start w:val="18"/>
      <w:numFmt w:val="low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4A75685"/>
    <w:multiLevelType w:val="hybridMultilevel"/>
    <w:tmpl w:val="FE06EC4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17263"/>
    <w:multiLevelType w:val="hybridMultilevel"/>
    <w:tmpl w:val="1230F9A4"/>
    <w:lvl w:ilvl="0" w:tplc="B768AD98">
      <w:start w:val="13"/>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260A1A40"/>
    <w:multiLevelType w:val="hybridMultilevel"/>
    <w:tmpl w:val="C820E826"/>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2163E"/>
    <w:multiLevelType w:val="hybridMultilevel"/>
    <w:tmpl w:val="1B5A8CE2"/>
    <w:lvl w:ilvl="0" w:tplc="67FCAF3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60F1E"/>
    <w:multiLevelType w:val="hybridMultilevel"/>
    <w:tmpl w:val="48069512"/>
    <w:lvl w:ilvl="0" w:tplc="0409000F">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2EFF34A7"/>
    <w:multiLevelType w:val="hybridMultilevel"/>
    <w:tmpl w:val="3EEC4216"/>
    <w:lvl w:ilvl="0" w:tplc="FFFFFFFF">
      <w:start w:val="1"/>
      <w:numFmt w:val="lowerLetter"/>
      <w:lvlText w:val="%1)"/>
      <w:lvlJc w:val="left"/>
      <w:pPr>
        <w:ind w:left="90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BE3659"/>
    <w:multiLevelType w:val="hybridMultilevel"/>
    <w:tmpl w:val="1DDA8E2E"/>
    <w:lvl w:ilvl="0" w:tplc="06F658BE">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1E7846"/>
    <w:multiLevelType w:val="hybridMultilevel"/>
    <w:tmpl w:val="E396A3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39B77CF"/>
    <w:multiLevelType w:val="hybridMultilevel"/>
    <w:tmpl w:val="9EB890E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237686"/>
    <w:multiLevelType w:val="hybridMultilevel"/>
    <w:tmpl w:val="599E8FAE"/>
    <w:lvl w:ilvl="0" w:tplc="AA228882">
      <w:start w:val="16"/>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AD82546"/>
    <w:multiLevelType w:val="hybridMultilevel"/>
    <w:tmpl w:val="832E06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6718EA"/>
    <w:multiLevelType w:val="hybridMultilevel"/>
    <w:tmpl w:val="5010C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B07587"/>
    <w:multiLevelType w:val="hybridMultilevel"/>
    <w:tmpl w:val="2AC074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F7186A"/>
    <w:multiLevelType w:val="hybridMultilevel"/>
    <w:tmpl w:val="F7807BAA"/>
    <w:lvl w:ilvl="0" w:tplc="9C8AC8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4A60FB"/>
    <w:multiLevelType w:val="hybridMultilevel"/>
    <w:tmpl w:val="446C4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853D2A"/>
    <w:multiLevelType w:val="hybridMultilevel"/>
    <w:tmpl w:val="2076CA0C"/>
    <w:lvl w:ilvl="0" w:tplc="E8F48BEA">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9A2255"/>
    <w:multiLevelType w:val="hybridMultilevel"/>
    <w:tmpl w:val="74CE7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B948EF"/>
    <w:multiLevelType w:val="hybridMultilevel"/>
    <w:tmpl w:val="F4D8A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702C7E"/>
    <w:multiLevelType w:val="hybridMultilevel"/>
    <w:tmpl w:val="052A92BC"/>
    <w:lvl w:ilvl="0" w:tplc="04090017">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7C37767"/>
    <w:multiLevelType w:val="hybridMultilevel"/>
    <w:tmpl w:val="3EEC4216"/>
    <w:lvl w:ilvl="0" w:tplc="04090017">
      <w:start w:val="1"/>
      <w:numFmt w:val="lowerLetter"/>
      <w:lvlText w:val="%1)"/>
      <w:lvlJc w:val="left"/>
      <w:pPr>
        <w:ind w:left="90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190647"/>
    <w:multiLevelType w:val="hybridMultilevel"/>
    <w:tmpl w:val="E53E1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195C88"/>
    <w:multiLevelType w:val="hybridMultilevel"/>
    <w:tmpl w:val="FD6CC74C"/>
    <w:lvl w:ilvl="0" w:tplc="74068F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3B6C01"/>
    <w:multiLevelType w:val="hybridMultilevel"/>
    <w:tmpl w:val="63C2914C"/>
    <w:lvl w:ilvl="0" w:tplc="58705336">
      <w:numFmt w:val="bullet"/>
      <w:lvlText w:val="-"/>
      <w:lvlJc w:val="left"/>
      <w:pPr>
        <w:ind w:left="1440" w:hanging="360"/>
      </w:pPr>
      <w:rPr>
        <w:rFonts w:ascii="Calibri" w:eastAsia="Times New Roman" w:hAnsi="Calibri" w:hint="default"/>
        <w:lang w:val="en-AU"/>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CB178B5"/>
    <w:multiLevelType w:val="hybridMultilevel"/>
    <w:tmpl w:val="D0365CF2"/>
    <w:lvl w:ilvl="0" w:tplc="BD46C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D83570C"/>
    <w:multiLevelType w:val="hybridMultilevel"/>
    <w:tmpl w:val="7A1A95E6"/>
    <w:lvl w:ilvl="0" w:tplc="A74C9A6A">
      <w:start w:val="15"/>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23"/>
  </w:num>
  <w:num w:numId="2">
    <w:abstractNumId w:val="31"/>
  </w:num>
  <w:num w:numId="3">
    <w:abstractNumId w:val="16"/>
  </w:num>
  <w:num w:numId="4">
    <w:abstractNumId w:val="26"/>
  </w:num>
  <w:num w:numId="5">
    <w:abstractNumId w:val="30"/>
  </w:num>
  <w:num w:numId="6">
    <w:abstractNumId w:val="5"/>
  </w:num>
  <w:num w:numId="7">
    <w:abstractNumId w:val="1"/>
  </w:num>
  <w:num w:numId="8">
    <w:abstractNumId w:val="22"/>
  </w:num>
  <w:num w:numId="9">
    <w:abstractNumId w:val="15"/>
  </w:num>
  <w:num w:numId="10">
    <w:abstractNumId w:val="24"/>
  </w:num>
  <w:num w:numId="11">
    <w:abstractNumId w:val="13"/>
  </w:num>
  <w:num w:numId="12">
    <w:abstractNumId w:val="20"/>
  </w:num>
  <w:num w:numId="13">
    <w:abstractNumId w:val="25"/>
  </w:num>
  <w:num w:numId="14">
    <w:abstractNumId w:val="9"/>
  </w:num>
  <w:num w:numId="15">
    <w:abstractNumId w:val="29"/>
  </w:num>
  <w:num w:numId="16">
    <w:abstractNumId w:val="32"/>
  </w:num>
  <w:num w:numId="17">
    <w:abstractNumId w:val="28"/>
  </w:num>
  <w:num w:numId="18">
    <w:abstractNumId w:val="27"/>
  </w:num>
  <w:num w:numId="19">
    <w:abstractNumId w:val="21"/>
  </w:num>
  <w:num w:numId="20">
    <w:abstractNumId w:val="4"/>
  </w:num>
  <w:num w:numId="21">
    <w:abstractNumId w:val="2"/>
  </w:num>
  <w:num w:numId="22">
    <w:abstractNumId w:val="0"/>
  </w:num>
  <w:num w:numId="23">
    <w:abstractNumId w:val="19"/>
  </w:num>
  <w:num w:numId="24">
    <w:abstractNumId w:val="17"/>
  </w:num>
  <w:num w:numId="25">
    <w:abstractNumId w:val="6"/>
  </w:num>
  <w:num w:numId="26">
    <w:abstractNumId w:val="7"/>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18"/>
  </w:num>
  <w:num w:numId="30">
    <w:abstractNumId w:val="33"/>
  </w:num>
  <w:num w:numId="31">
    <w:abstractNumId w:val="3"/>
  </w:num>
  <w:num w:numId="32">
    <w:abstractNumId w:val="10"/>
  </w:num>
  <w:num w:numId="33">
    <w:abstractNumId w:val="12"/>
  </w:num>
  <w:num w:numId="34">
    <w:abstractNumId w:val="11"/>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60"/>
    <w:rsid w:val="0000193C"/>
    <w:rsid w:val="000039DE"/>
    <w:rsid w:val="0000789B"/>
    <w:rsid w:val="000216B9"/>
    <w:rsid w:val="000259C9"/>
    <w:rsid w:val="00025AE6"/>
    <w:rsid w:val="00030E83"/>
    <w:rsid w:val="00034499"/>
    <w:rsid w:val="0003553F"/>
    <w:rsid w:val="00036F09"/>
    <w:rsid w:val="000404C7"/>
    <w:rsid w:val="000434CF"/>
    <w:rsid w:val="00044786"/>
    <w:rsid w:val="0004563B"/>
    <w:rsid w:val="00046CC6"/>
    <w:rsid w:val="00047D2B"/>
    <w:rsid w:val="00060B73"/>
    <w:rsid w:val="00064DDC"/>
    <w:rsid w:val="000735E4"/>
    <w:rsid w:val="0007526D"/>
    <w:rsid w:val="00076A99"/>
    <w:rsid w:val="0008059B"/>
    <w:rsid w:val="00081609"/>
    <w:rsid w:val="00091E0D"/>
    <w:rsid w:val="000A1691"/>
    <w:rsid w:val="000A3A55"/>
    <w:rsid w:val="000A50E3"/>
    <w:rsid w:val="000B0E78"/>
    <w:rsid w:val="000C12DC"/>
    <w:rsid w:val="000D26AC"/>
    <w:rsid w:val="000D297F"/>
    <w:rsid w:val="000E0E91"/>
    <w:rsid w:val="000E0ED6"/>
    <w:rsid w:val="000F5E76"/>
    <w:rsid w:val="001006D8"/>
    <w:rsid w:val="0010306D"/>
    <w:rsid w:val="00106874"/>
    <w:rsid w:val="00107558"/>
    <w:rsid w:val="0011047D"/>
    <w:rsid w:val="00115267"/>
    <w:rsid w:val="00116E59"/>
    <w:rsid w:val="001218F1"/>
    <w:rsid w:val="00124846"/>
    <w:rsid w:val="001309F2"/>
    <w:rsid w:val="00132D23"/>
    <w:rsid w:val="00132EC1"/>
    <w:rsid w:val="0013327E"/>
    <w:rsid w:val="00133C0B"/>
    <w:rsid w:val="00165134"/>
    <w:rsid w:val="00167808"/>
    <w:rsid w:val="00167E90"/>
    <w:rsid w:val="00171F1C"/>
    <w:rsid w:val="00181ED3"/>
    <w:rsid w:val="00184C65"/>
    <w:rsid w:val="00196AE4"/>
    <w:rsid w:val="001A4547"/>
    <w:rsid w:val="001A5E4F"/>
    <w:rsid w:val="001B7154"/>
    <w:rsid w:val="001B726B"/>
    <w:rsid w:val="001C24E5"/>
    <w:rsid w:val="001D4045"/>
    <w:rsid w:val="001D6937"/>
    <w:rsid w:val="001E4395"/>
    <w:rsid w:val="001F4228"/>
    <w:rsid w:val="00204727"/>
    <w:rsid w:val="00206BC5"/>
    <w:rsid w:val="00207BBA"/>
    <w:rsid w:val="002347A5"/>
    <w:rsid w:val="00243312"/>
    <w:rsid w:val="00243D57"/>
    <w:rsid w:val="002545D8"/>
    <w:rsid w:val="002553AB"/>
    <w:rsid w:val="002652AD"/>
    <w:rsid w:val="00272105"/>
    <w:rsid w:val="00276B34"/>
    <w:rsid w:val="00282163"/>
    <w:rsid w:val="002921D9"/>
    <w:rsid w:val="002930F6"/>
    <w:rsid w:val="00296D57"/>
    <w:rsid w:val="002971A3"/>
    <w:rsid w:val="002972CF"/>
    <w:rsid w:val="002A76D5"/>
    <w:rsid w:val="002B50C2"/>
    <w:rsid w:val="002B5850"/>
    <w:rsid w:val="002B6CC7"/>
    <w:rsid w:val="002C1DAB"/>
    <w:rsid w:val="002C2F4D"/>
    <w:rsid w:val="002C4149"/>
    <w:rsid w:val="002F2B51"/>
    <w:rsid w:val="002F2C50"/>
    <w:rsid w:val="002F3276"/>
    <w:rsid w:val="002F7128"/>
    <w:rsid w:val="0030447B"/>
    <w:rsid w:val="00306ECF"/>
    <w:rsid w:val="00316972"/>
    <w:rsid w:val="00322579"/>
    <w:rsid w:val="003230F1"/>
    <w:rsid w:val="003315A4"/>
    <w:rsid w:val="00331DB3"/>
    <w:rsid w:val="003332AB"/>
    <w:rsid w:val="0033480B"/>
    <w:rsid w:val="0033562F"/>
    <w:rsid w:val="003457D6"/>
    <w:rsid w:val="003510E3"/>
    <w:rsid w:val="00352D84"/>
    <w:rsid w:val="0035609A"/>
    <w:rsid w:val="003625EB"/>
    <w:rsid w:val="0036727D"/>
    <w:rsid w:val="003724C7"/>
    <w:rsid w:val="003746A1"/>
    <w:rsid w:val="00375436"/>
    <w:rsid w:val="003758F5"/>
    <w:rsid w:val="00390563"/>
    <w:rsid w:val="00393F16"/>
    <w:rsid w:val="0039434F"/>
    <w:rsid w:val="0039485E"/>
    <w:rsid w:val="00395262"/>
    <w:rsid w:val="00397B63"/>
    <w:rsid w:val="003D0DCF"/>
    <w:rsid w:val="003D0F2D"/>
    <w:rsid w:val="003D3376"/>
    <w:rsid w:val="003E09B4"/>
    <w:rsid w:val="003E4193"/>
    <w:rsid w:val="003E6A01"/>
    <w:rsid w:val="00400229"/>
    <w:rsid w:val="00405498"/>
    <w:rsid w:val="00411FC7"/>
    <w:rsid w:val="00421D6A"/>
    <w:rsid w:val="00422BE2"/>
    <w:rsid w:val="00425B19"/>
    <w:rsid w:val="00427814"/>
    <w:rsid w:val="0043411B"/>
    <w:rsid w:val="004410B5"/>
    <w:rsid w:val="00454E6C"/>
    <w:rsid w:val="00463DB2"/>
    <w:rsid w:val="00463E2D"/>
    <w:rsid w:val="004676EB"/>
    <w:rsid w:val="004713D1"/>
    <w:rsid w:val="0047769A"/>
    <w:rsid w:val="004800E9"/>
    <w:rsid w:val="00482879"/>
    <w:rsid w:val="00484511"/>
    <w:rsid w:val="004A1C41"/>
    <w:rsid w:val="004A7506"/>
    <w:rsid w:val="004B1664"/>
    <w:rsid w:val="004B56B5"/>
    <w:rsid w:val="004C1B8A"/>
    <w:rsid w:val="004C1E8B"/>
    <w:rsid w:val="004C467B"/>
    <w:rsid w:val="004C5CDF"/>
    <w:rsid w:val="004C64DD"/>
    <w:rsid w:val="004C6D0E"/>
    <w:rsid w:val="004D3528"/>
    <w:rsid w:val="004F64EC"/>
    <w:rsid w:val="005010FB"/>
    <w:rsid w:val="00505168"/>
    <w:rsid w:val="005064C1"/>
    <w:rsid w:val="00516BB9"/>
    <w:rsid w:val="005324BB"/>
    <w:rsid w:val="00536BA7"/>
    <w:rsid w:val="005406FA"/>
    <w:rsid w:val="00551048"/>
    <w:rsid w:val="005574B8"/>
    <w:rsid w:val="00560715"/>
    <w:rsid w:val="005624F3"/>
    <w:rsid w:val="005637D3"/>
    <w:rsid w:val="00571F01"/>
    <w:rsid w:val="00590D89"/>
    <w:rsid w:val="00595967"/>
    <w:rsid w:val="00596578"/>
    <w:rsid w:val="005B0C72"/>
    <w:rsid w:val="005B4E65"/>
    <w:rsid w:val="005B7FEB"/>
    <w:rsid w:val="005C4CFB"/>
    <w:rsid w:val="005D6519"/>
    <w:rsid w:val="005E1A76"/>
    <w:rsid w:val="005E36D6"/>
    <w:rsid w:val="005E7940"/>
    <w:rsid w:val="005F70F0"/>
    <w:rsid w:val="00602AD1"/>
    <w:rsid w:val="006067BA"/>
    <w:rsid w:val="00610139"/>
    <w:rsid w:val="006116FA"/>
    <w:rsid w:val="00624846"/>
    <w:rsid w:val="00626589"/>
    <w:rsid w:val="00631485"/>
    <w:rsid w:val="006343F4"/>
    <w:rsid w:val="00642F75"/>
    <w:rsid w:val="006456FC"/>
    <w:rsid w:val="0065293D"/>
    <w:rsid w:val="0065453C"/>
    <w:rsid w:val="006572F0"/>
    <w:rsid w:val="006626DF"/>
    <w:rsid w:val="00670132"/>
    <w:rsid w:val="00670914"/>
    <w:rsid w:val="00672C05"/>
    <w:rsid w:val="00680A3C"/>
    <w:rsid w:val="00680BC3"/>
    <w:rsid w:val="006837ED"/>
    <w:rsid w:val="00685A2A"/>
    <w:rsid w:val="006937EC"/>
    <w:rsid w:val="00694193"/>
    <w:rsid w:val="006956E5"/>
    <w:rsid w:val="006A18AF"/>
    <w:rsid w:val="006A7F5F"/>
    <w:rsid w:val="006C3DB1"/>
    <w:rsid w:val="006E0BB0"/>
    <w:rsid w:val="006E2247"/>
    <w:rsid w:val="006F0C0E"/>
    <w:rsid w:val="006F3AA4"/>
    <w:rsid w:val="00700F96"/>
    <w:rsid w:val="0070330E"/>
    <w:rsid w:val="00705289"/>
    <w:rsid w:val="00706DD7"/>
    <w:rsid w:val="00714CA3"/>
    <w:rsid w:val="00715DB6"/>
    <w:rsid w:val="00716907"/>
    <w:rsid w:val="00720069"/>
    <w:rsid w:val="0072171D"/>
    <w:rsid w:val="00723ABE"/>
    <w:rsid w:val="00732DC9"/>
    <w:rsid w:val="00735851"/>
    <w:rsid w:val="0074012B"/>
    <w:rsid w:val="00740EEC"/>
    <w:rsid w:val="007664C5"/>
    <w:rsid w:val="00783C25"/>
    <w:rsid w:val="007862DA"/>
    <w:rsid w:val="0079575E"/>
    <w:rsid w:val="00795782"/>
    <w:rsid w:val="007C074B"/>
    <w:rsid w:val="007C31C4"/>
    <w:rsid w:val="007E197D"/>
    <w:rsid w:val="007E28ED"/>
    <w:rsid w:val="007E36FE"/>
    <w:rsid w:val="007F052C"/>
    <w:rsid w:val="007F3735"/>
    <w:rsid w:val="007F40C0"/>
    <w:rsid w:val="0081358E"/>
    <w:rsid w:val="00816E4A"/>
    <w:rsid w:val="00825DD2"/>
    <w:rsid w:val="00832AB7"/>
    <w:rsid w:val="00841480"/>
    <w:rsid w:val="0085575F"/>
    <w:rsid w:val="008616ED"/>
    <w:rsid w:val="008620D4"/>
    <w:rsid w:val="00862242"/>
    <w:rsid w:val="00862361"/>
    <w:rsid w:val="00862E35"/>
    <w:rsid w:val="0087004F"/>
    <w:rsid w:val="00872C2E"/>
    <w:rsid w:val="00873447"/>
    <w:rsid w:val="008779F8"/>
    <w:rsid w:val="008806D1"/>
    <w:rsid w:val="008A0CB2"/>
    <w:rsid w:val="008A5CC4"/>
    <w:rsid w:val="008A62D9"/>
    <w:rsid w:val="008B3A83"/>
    <w:rsid w:val="008C2FD0"/>
    <w:rsid w:val="008C65E4"/>
    <w:rsid w:val="008D5D51"/>
    <w:rsid w:val="008E003C"/>
    <w:rsid w:val="008F1A64"/>
    <w:rsid w:val="008F25A9"/>
    <w:rsid w:val="008F7FA7"/>
    <w:rsid w:val="009011A0"/>
    <w:rsid w:val="009031E7"/>
    <w:rsid w:val="00910BE1"/>
    <w:rsid w:val="009176FD"/>
    <w:rsid w:val="00917835"/>
    <w:rsid w:val="009212CE"/>
    <w:rsid w:val="009239BA"/>
    <w:rsid w:val="00931486"/>
    <w:rsid w:val="0093565C"/>
    <w:rsid w:val="00950647"/>
    <w:rsid w:val="00953E94"/>
    <w:rsid w:val="009543E1"/>
    <w:rsid w:val="00956B60"/>
    <w:rsid w:val="00963063"/>
    <w:rsid w:val="00965FAF"/>
    <w:rsid w:val="009703F2"/>
    <w:rsid w:val="0097520D"/>
    <w:rsid w:val="00975285"/>
    <w:rsid w:val="00980B75"/>
    <w:rsid w:val="00985D17"/>
    <w:rsid w:val="0098676E"/>
    <w:rsid w:val="009908EB"/>
    <w:rsid w:val="009976B3"/>
    <w:rsid w:val="009A2918"/>
    <w:rsid w:val="009B1CF2"/>
    <w:rsid w:val="009B28BC"/>
    <w:rsid w:val="009C1DEF"/>
    <w:rsid w:val="009C398E"/>
    <w:rsid w:val="009C3C9B"/>
    <w:rsid w:val="009C70DE"/>
    <w:rsid w:val="009D4783"/>
    <w:rsid w:val="009D5916"/>
    <w:rsid w:val="009D6144"/>
    <w:rsid w:val="009E61C3"/>
    <w:rsid w:val="009E69E4"/>
    <w:rsid w:val="009F18B4"/>
    <w:rsid w:val="00A16FC3"/>
    <w:rsid w:val="00A20F34"/>
    <w:rsid w:val="00A23B78"/>
    <w:rsid w:val="00A25908"/>
    <w:rsid w:val="00A51C8D"/>
    <w:rsid w:val="00A535DE"/>
    <w:rsid w:val="00A57A45"/>
    <w:rsid w:val="00A62FBF"/>
    <w:rsid w:val="00A70620"/>
    <w:rsid w:val="00A74091"/>
    <w:rsid w:val="00A94160"/>
    <w:rsid w:val="00A95FB3"/>
    <w:rsid w:val="00A97E40"/>
    <w:rsid w:val="00AA5D15"/>
    <w:rsid w:val="00AA67FE"/>
    <w:rsid w:val="00AB1B77"/>
    <w:rsid w:val="00AB46C4"/>
    <w:rsid w:val="00AB758A"/>
    <w:rsid w:val="00AD5720"/>
    <w:rsid w:val="00AF1E0C"/>
    <w:rsid w:val="00AF3971"/>
    <w:rsid w:val="00B0726A"/>
    <w:rsid w:val="00B107EF"/>
    <w:rsid w:val="00B126F1"/>
    <w:rsid w:val="00B14865"/>
    <w:rsid w:val="00B21114"/>
    <w:rsid w:val="00B24B89"/>
    <w:rsid w:val="00B303F7"/>
    <w:rsid w:val="00B310C6"/>
    <w:rsid w:val="00B326C5"/>
    <w:rsid w:val="00B32E85"/>
    <w:rsid w:val="00B3617C"/>
    <w:rsid w:val="00B37E05"/>
    <w:rsid w:val="00B4392D"/>
    <w:rsid w:val="00B43DFB"/>
    <w:rsid w:val="00B44A3C"/>
    <w:rsid w:val="00B5474E"/>
    <w:rsid w:val="00B55112"/>
    <w:rsid w:val="00B7108E"/>
    <w:rsid w:val="00B80A91"/>
    <w:rsid w:val="00B84682"/>
    <w:rsid w:val="00BA12C4"/>
    <w:rsid w:val="00BB70C5"/>
    <w:rsid w:val="00BC0F71"/>
    <w:rsid w:val="00BC326A"/>
    <w:rsid w:val="00BC466E"/>
    <w:rsid w:val="00BD6EF8"/>
    <w:rsid w:val="00BE266A"/>
    <w:rsid w:val="00BE4131"/>
    <w:rsid w:val="00BE47EE"/>
    <w:rsid w:val="00BE4A24"/>
    <w:rsid w:val="00C02C71"/>
    <w:rsid w:val="00C032E3"/>
    <w:rsid w:val="00C06BDF"/>
    <w:rsid w:val="00C15E13"/>
    <w:rsid w:val="00C17E36"/>
    <w:rsid w:val="00C2082E"/>
    <w:rsid w:val="00C2546F"/>
    <w:rsid w:val="00C32391"/>
    <w:rsid w:val="00C41B9C"/>
    <w:rsid w:val="00C44F34"/>
    <w:rsid w:val="00C47B93"/>
    <w:rsid w:val="00C51089"/>
    <w:rsid w:val="00C54EB4"/>
    <w:rsid w:val="00C647E1"/>
    <w:rsid w:val="00C6736A"/>
    <w:rsid w:val="00C70931"/>
    <w:rsid w:val="00C75AD7"/>
    <w:rsid w:val="00CA1EC4"/>
    <w:rsid w:val="00CB4E4F"/>
    <w:rsid w:val="00CC05FB"/>
    <w:rsid w:val="00CD345B"/>
    <w:rsid w:val="00CD34A1"/>
    <w:rsid w:val="00CD7C42"/>
    <w:rsid w:val="00CE0A5D"/>
    <w:rsid w:val="00CE5038"/>
    <w:rsid w:val="00CE566A"/>
    <w:rsid w:val="00CE6867"/>
    <w:rsid w:val="00CF1E47"/>
    <w:rsid w:val="00CF2D6F"/>
    <w:rsid w:val="00CF7406"/>
    <w:rsid w:val="00D03EE3"/>
    <w:rsid w:val="00D105E5"/>
    <w:rsid w:val="00D14B81"/>
    <w:rsid w:val="00D151D9"/>
    <w:rsid w:val="00D158CE"/>
    <w:rsid w:val="00D21211"/>
    <w:rsid w:val="00D27869"/>
    <w:rsid w:val="00D339DB"/>
    <w:rsid w:val="00D3607A"/>
    <w:rsid w:val="00D36991"/>
    <w:rsid w:val="00D36A52"/>
    <w:rsid w:val="00D623E7"/>
    <w:rsid w:val="00D6396D"/>
    <w:rsid w:val="00DA06BA"/>
    <w:rsid w:val="00DA386B"/>
    <w:rsid w:val="00DA788E"/>
    <w:rsid w:val="00DA78B2"/>
    <w:rsid w:val="00DB1442"/>
    <w:rsid w:val="00DB350B"/>
    <w:rsid w:val="00DB7E52"/>
    <w:rsid w:val="00DC0A94"/>
    <w:rsid w:val="00DC32C4"/>
    <w:rsid w:val="00DC5B58"/>
    <w:rsid w:val="00DD3E63"/>
    <w:rsid w:val="00DD5485"/>
    <w:rsid w:val="00DE0BD7"/>
    <w:rsid w:val="00DF1678"/>
    <w:rsid w:val="00DF5E7E"/>
    <w:rsid w:val="00E11707"/>
    <w:rsid w:val="00E11A75"/>
    <w:rsid w:val="00E12018"/>
    <w:rsid w:val="00E12958"/>
    <w:rsid w:val="00E17DF3"/>
    <w:rsid w:val="00E23DF3"/>
    <w:rsid w:val="00E24CC4"/>
    <w:rsid w:val="00E264B7"/>
    <w:rsid w:val="00E30E68"/>
    <w:rsid w:val="00E3366A"/>
    <w:rsid w:val="00E376D5"/>
    <w:rsid w:val="00E43B56"/>
    <w:rsid w:val="00E46A31"/>
    <w:rsid w:val="00E60C8C"/>
    <w:rsid w:val="00E62CA6"/>
    <w:rsid w:val="00E6314C"/>
    <w:rsid w:val="00E75E06"/>
    <w:rsid w:val="00E85BAF"/>
    <w:rsid w:val="00EA24C5"/>
    <w:rsid w:val="00EA2C82"/>
    <w:rsid w:val="00EA593F"/>
    <w:rsid w:val="00EA761C"/>
    <w:rsid w:val="00EB047C"/>
    <w:rsid w:val="00EB370A"/>
    <w:rsid w:val="00EB7710"/>
    <w:rsid w:val="00EB7C0A"/>
    <w:rsid w:val="00EC5453"/>
    <w:rsid w:val="00ED2400"/>
    <w:rsid w:val="00EE0F5E"/>
    <w:rsid w:val="00EF22EB"/>
    <w:rsid w:val="00EF4703"/>
    <w:rsid w:val="00F0032A"/>
    <w:rsid w:val="00F133C2"/>
    <w:rsid w:val="00F23335"/>
    <w:rsid w:val="00F35B0F"/>
    <w:rsid w:val="00F462B9"/>
    <w:rsid w:val="00F5470D"/>
    <w:rsid w:val="00F63610"/>
    <w:rsid w:val="00F637DB"/>
    <w:rsid w:val="00F8117B"/>
    <w:rsid w:val="00F84495"/>
    <w:rsid w:val="00F87202"/>
    <w:rsid w:val="00FA064F"/>
    <w:rsid w:val="00FA4C74"/>
    <w:rsid w:val="00FA681E"/>
    <w:rsid w:val="00FB06E8"/>
    <w:rsid w:val="00FB3777"/>
    <w:rsid w:val="00FB79A2"/>
    <w:rsid w:val="00FC02D5"/>
    <w:rsid w:val="00FC0E2D"/>
    <w:rsid w:val="00FC2B5D"/>
    <w:rsid w:val="00FD6419"/>
    <w:rsid w:val="00FE2ACD"/>
    <w:rsid w:val="00FF1329"/>
    <w:rsid w:val="00FF375C"/>
    <w:rsid w:val="00FF7D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A6CA69"/>
  <w15:chartTrackingRefBased/>
  <w15:docId w15:val="{B46DF770-7DF1-48EA-B23E-DB5BA4FD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4160"/>
    <w:pPr>
      <w:spacing w:after="200" w:line="276" w:lineRule="auto"/>
    </w:pPr>
    <w:rPr>
      <w:rFonts w:ascii="Calibri" w:eastAsia="Calibri" w:hAnsi="Calibri" w:cs="Times New Roman"/>
      <w:lang w:val="sq-AL"/>
    </w:rPr>
  </w:style>
  <w:style w:type="paragraph" w:styleId="Heading2">
    <w:name w:val="heading 2"/>
    <w:basedOn w:val="Normal"/>
    <w:next w:val="Normal"/>
    <w:link w:val="Heading2Char"/>
    <w:semiHidden/>
    <w:unhideWhenUsed/>
    <w:qFormat/>
    <w:rsid w:val="00A94160"/>
    <w:pPr>
      <w:keepNext/>
      <w:spacing w:after="0" w:line="240" w:lineRule="auto"/>
      <w:jc w:val="right"/>
      <w:outlineLvl w:val="1"/>
    </w:pPr>
    <w:rPr>
      <w:rFonts w:ascii="Arial" w:eastAsia="Arial Unicode MS"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A94160"/>
    <w:rPr>
      <w:rFonts w:ascii="Arial" w:eastAsia="Arial Unicode MS" w:hAnsi="Arial" w:cs="Arial"/>
      <w:b/>
      <w:bCs/>
      <w:sz w:val="24"/>
      <w:szCs w:val="24"/>
      <w:u w:val="single"/>
    </w:rPr>
  </w:style>
  <w:style w:type="paragraph" w:styleId="NoSpacing">
    <w:name w:val="No Spacing"/>
    <w:uiPriority w:val="99"/>
    <w:qFormat/>
    <w:rsid w:val="00A94160"/>
    <w:pPr>
      <w:spacing w:after="0" w:line="240" w:lineRule="auto"/>
    </w:pPr>
    <w:rPr>
      <w:rFonts w:ascii="Calibri" w:eastAsia="Calibri" w:hAnsi="Calibri" w:cs="Times New Roman"/>
    </w:rPr>
  </w:style>
  <w:style w:type="paragraph" w:styleId="Header">
    <w:name w:val="header"/>
    <w:basedOn w:val="Normal"/>
    <w:link w:val="HeaderChar"/>
    <w:uiPriority w:val="99"/>
    <w:rsid w:val="00A94160"/>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A94160"/>
    <w:rPr>
      <w:rFonts w:ascii="Times New Roman" w:eastAsia="Times New Roman" w:hAnsi="Times New Roman" w:cs="Times New Roman"/>
      <w:sz w:val="24"/>
      <w:szCs w:val="24"/>
      <w:lang w:val="sq-AL"/>
    </w:rPr>
  </w:style>
  <w:style w:type="paragraph" w:styleId="ListParagraph">
    <w:name w:val="List Paragraph"/>
    <w:basedOn w:val="Normal"/>
    <w:uiPriority w:val="99"/>
    <w:qFormat/>
    <w:rsid w:val="00A94160"/>
    <w:pPr>
      <w:ind w:left="720"/>
      <w:contextualSpacing/>
    </w:pPr>
  </w:style>
  <w:style w:type="character" w:styleId="CommentReference">
    <w:name w:val="annotation reference"/>
    <w:basedOn w:val="DefaultParagraphFont"/>
    <w:uiPriority w:val="99"/>
    <w:semiHidden/>
    <w:unhideWhenUsed/>
    <w:rsid w:val="00A94160"/>
    <w:rPr>
      <w:sz w:val="16"/>
      <w:szCs w:val="16"/>
    </w:rPr>
  </w:style>
  <w:style w:type="paragraph" w:styleId="CommentText">
    <w:name w:val="annotation text"/>
    <w:basedOn w:val="Normal"/>
    <w:link w:val="CommentTextChar"/>
    <w:uiPriority w:val="99"/>
    <w:unhideWhenUsed/>
    <w:rsid w:val="00A94160"/>
    <w:pPr>
      <w:spacing w:line="240" w:lineRule="auto"/>
    </w:pPr>
    <w:rPr>
      <w:sz w:val="20"/>
      <w:szCs w:val="20"/>
    </w:rPr>
  </w:style>
  <w:style w:type="character" w:customStyle="1" w:styleId="CommentTextChar">
    <w:name w:val="Comment Text Char"/>
    <w:basedOn w:val="DefaultParagraphFont"/>
    <w:link w:val="CommentText"/>
    <w:uiPriority w:val="99"/>
    <w:rsid w:val="00A94160"/>
    <w:rPr>
      <w:rFonts w:ascii="Calibri" w:eastAsia="Calibri" w:hAnsi="Calibri" w:cs="Times New Roman"/>
      <w:sz w:val="20"/>
      <w:szCs w:val="20"/>
    </w:rPr>
  </w:style>
  <w:style w:type="paragraph" w:styleId="NormalWeb">
    <w:name w:val="Normal (Web)"/>
    <w:basedOn w:val="Normal"/>
    <w:uiPriority w:val="99"/>
    <w:semiHidden/>
    <w:unhideWhenUsed/>
    <w:rsid w:val="00A94160"/>
    <w:pPr>
      <w:spacing w:before="100" w:beforeAutospacing="1" w:after="100" w:afterAutospacing="1" w:line="240" w:lineRule="auto"/>
    </w:pPr>
    <w:rPr>
      <w:rFonts w:ascii="Times New Roman" w:eastAsia="Times New Roman" w:hAnsi="Times New Roman"/>
      <w:sz w:val="24"/>
      <w:szCs w:val="24"/>
    </w:rPr>
  </w:style>
  <w:style w:type="paragraph" w:customStyle="1" w:styleId="BodyA">
    <w:name w:val="Body A"/>
    <w:uiPriority w:val="99"/>
    <w:rsid w:val="00A94160"/>
    <w:pPr>
      <w:widowControl w:val="0"/>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rPr>
  </w:style>
  <w:style w:type="paragraph" w:styleId="BalloonText">
    <w:name w:val="Balloon Text"/>
    <w:basedOn w:val="Normal"/>
    <w:link w:val="BalloonTextChar"/>
    <w:uiPriority w:val="99"/>
    <w:semiHidden/>
    <w:unhideWhenUsed/>
    <w:rsid w:val="00A941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60"/>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AB46C4"/>
    <w:rPr>
      <w:b/>
      <w:bCs/>
    </w:rPr>
  </w:style>
  <w:style w:type="character" w:customStyle="1" w:styleId="CommentSubjectChar">
    <w:name w:val="Comment Subject Char"/>
    <w:basedOn w:val="CommentTextChar"/>
    <w:link w:val="CommentSubject"/>
    <w:uiPriority w:val="99"/>
    <w:semiHidden/>
    <w:rsid w:val="00AB46C4"/>
    <w:rPr>
      <w:rFonts w:ascii="Calibri" w:eastAsia="Calibri" w:hAnsi="Calibri" w:cs="Times New Roman"/>
      <w:b/>
      <w:bCs/>
      <w:sz w:val="20"/>
      <w:szCs w:val="20"/>
    </w:rPr>
  </w:style>
  <w:style w:type="paragraph" w:styleId="Revision">
    <w:name w:val="Revision"/>
    <w:hidden/>
    <w:uiPriority w:val="99"/>
    <w:semiHidden/>
    <w:rsid w:val="00D03EE3"/>
    <w:pPr>
      <w:spacing w:after="0" w:line="240" w:lineRule="auto"/>
    </w:pPr>
    <w:rPr>
      <w:rFonts w:ascii="Calibri" w:eastAsia="Calibri" w:hAnsi="Calibri" w:cs="Times New Roman"/>
    </w:rPr>
  </w:style>
  <w:style w:type="paragraph" w:customStyle="1" w:styleId="Body">
    <w:name w:val="Body"/>
    <w:rsid w:val="002C2F4D"/>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styleId="Footer">
    <w:name w:val="footer"/>
    <w:basedOn w:val="Normal"/>
    <w:link w:val="FooterChar"/>
    <w:uiPriority w:val="99"/>
    <w:unhideWhenUsed/>
    <w:rsid w:val="00DF16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67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403448">
      <w:bodyDiv w:val="1"/>
      <w:marLeft w:val="0"/>
      <w:marRight w:val="0"/>
      <w:marTop w:val="0"/>
      <w:marBottom w:val="0"/>
      <w:divBdr>
        <w:top w:val="none" w:sz="0" w:space="0" w:color="auto"/>
        <w:left w:val="none" w:sz="0" w:space="0" w:color="auto"/>
        <w:bottom w:val="none" w:sz="0" w:space="0" w:color="auto"/>
        <w:right w:val="none" w:sz="0" w:space="0" w:color="auto"/>
      </w:divBdr>
    </w:div>
    <w:div w:id="1582595136">
      <w:bodyDiv w:val="1"/>
      <w:marLeft w:val="0"/>
      <w:marRight w:val="0"/>
      <w:marTop w:val="0"/>
      <w:marBottom w:val="0"/>
      <w:divBdr>
        <w:top w:val="none" w:sz="0" w:space="0" w:color="auto"/>
        <w:left w:val="none" w:sz="0" w:space="0" w:color="auto"/>
        <w:bottom w:val="none" w:sz="0" w:space="0" w:color="auto"/>
        <w:right w:val="none" w:sz="0" w:space="0" w:color="auto"/>
      </w:divBdr>
    </w:div>
    <w:div w:id="1784029896">
      <w:bodyDiv w:val="1"/>
      <w:marLeft w:val="0"/>
      <w:marRight w:val="0"/>
      <w:marTop w:val="0"/>
      <w:marBottom w:val="0"/>
      <w:divBdr>
        <w:top w:val="none" w:sz="0" w:space="0" w:color="auto"/>
        <w:left w:val="none" w:sz="0" w:space="0" w:color="auto"/>
        <w:bottom w:val="none" w:sz="0" w:space="0" w:color="auto"/>
        <w:right w:val="none" w:sz="0" w:space="0" w:color="auto"/>
      </w:divBdr>
      <w:divsChild>
        <w:div w:id="200560315">
          <w:marLeft w:val="0"/>
          <w:marRight w:val="0"/>
          <w:marTop w:val="0"/>
          <w:marBottom w:val="0"/>
          <w:divBdr>
            <w:top w:val="none" w:sz="0" w:space="0" w:color="auto"/>
            <w:left w:val="none" w:sz="0" w:space="0" w:color="auto"/>
            <w:bottom w:val="none" w:sz="0" w:space="0" w:color="auto"/>
            <w:right w:val="none" w:sz="0" w:space="0" w:color="auto"/>
          </w:divBdr>
        </w:div>
        <w:div w:id="293484493">
          <w:marLeft w:val="0"/>
          <w:marRight w:val="0"/>
          <w:marTop w:val="0"/>
          <w:marBottom w:val="0"/>
          <w:divBdr>
            <w:top w:val="none" w:sz="0" w:space="0" w:color="auto"/>
            <w:left w:val="none" w:sz="0" w:space="0" w:color="auto"/>
            <w:bottom w:val="none" w:sz="0" w:space="0" w:color="auto"/>
            <w:right w:val="none" w:sz="0" w:space="0" w:color="auto"/>
          </w:divBdr>
        </w:div>
        <w:div w:id="1230774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56FCD187EFB43D5809326E77F0287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768</Nr_x002e__x0020_akti>
    <Data_x0020_e_x0020_Krijimit xmlns="0e656187-b300-4fb0-8bf4-3a50f872073c">2024-12-17T09:07:41Z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2024-12-16T00:00:00Z</Date_x0020_protokolli>
    <Titulli xmlns="0e656187-b300-4fb0-8bf4-3a50f872073c">Për disa ndryshime dhe shtesa në vendimin nr.531,  datë 7.9.2023, të Këshillit të Ministrave, “Për krijimin e shoqërisë aksionare shtetërore “Operatori i Blerjeve të Përqendruara”, sh.a.,  për kryerjen e procedurave të veçanta  të prokurimit publik, në emër  dhe për llogari të Kryeministrisë, ministrive dhe institucioneve  të varësisë”, të ndryshuar</Titulli>
    <Modifikuesi xmlns="0e656187-b300-4fb0-8bf4-3a50f872073c">Fjora.Cahani</Modifikuesi>
    <Nr_x002e__x0020_prot_x0020_QBZ xmlns="0e656187-b300-4fb0-8bf4-3a50f872073c">2097</Nr_x002e__x0020_prot_x0020_QBZ>
    <Data_x0020_e_x0020_Modifikimit xmlns="0e656187-b300-4fb0-8bf4-3a50f872073c">2024-12-17T10:10:19Z</Data_x0020_e_x0020_Modifikimit>
    <Dekretuar xmlns="0e656187-b300-4fb0-8bf4-3a50f872073c">false</Dekretuar>
    <Data xmlns="0e656187-b300-4fb0-8bf4-3a50f872073c">2024-12-13T00:00:00Z</Data>
    <Nr_x002e__x0020_protokolli_x0020_i_x0020_aktit xmlns="0e656187-b300-4fb0-8bf4-3a50f872073c">6653/1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6FCD187EFB43D5809326E77F0287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3011D-F8B3-495C-A3C1-75CE75092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94C69F9-BFB6-45BF-8DF1-A6349BA2644C}">
  <ds:schemaRefs>
    <ds:schemaRef ds:uri="http://purl.org/dc/terms/"/>
    <ds:schemaRef ds:uri="0e656187-b300-4fb0-8bf4-3a50f872073c"/>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4111401D-BCCD-42E3-8FD6-6DB1DA5F0D42}">
  <ds:schemaRefs>
    <ds:schemaRef ds:uri="http://schemas.microsoft.com/sharepoint/v3/contenttype/forms"/>
  </ds:schemaRefs>
</ds:datastoreItem>
</file>

<file path=customXml/itemProps4.xml><?xml version="1.0" encoding="utf-8"?>
<ds:datastoreItem xmlns:ds="http://schemas.openxmlformats.org/officeDocument/2006/customXml" ds:itemID="{3183B6EF-4E92-400A-96CA-4EFE1F9B47FB}">
  <ds:schemaRefs>
    <ds:schemaRef ds:uri="http://schemas.microsoft.com/sharepoint/v3/contenttype/forms"/>
  </ds:schemaRefs>
</ds:datastoreItem>
</file>

<file path=customXml/itemProps5.xml><?xml version="1.0" encoding="utf-8"?>
<ds:datastoreItem xmlns:ds="http://schemas.openxmlformats.org/officeDocument/2006/customXml" ds:itemID="{CCAAA379-E4FC-43E5-8DC6-79D439508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0A6569F-8A19-4A3A-860B-D91D9355D2AA}">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107</TotalTime>
  <Pages>6</Pages>
  <Words>2507</Words>
  <Characters>14292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Për disa ndryshime dhe shtesa në vendimin nr.531, datë 7.9.2023, të Këshillit të Ministrave, “Për krijimin e shoqërisë aksionare shtetërore “Operatori i Blerjeve të Përqendruara”, sh.a., për kryerjen e procedurave të veçanta të prokurimit publik, në emër </vt:lpstr>
    </vt:vector>
  </TitlesOfParts>
  <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nr.531, datë 7.9.2023, të Këshillit të Ministrave, “Për krijimin e shoqërisë aksionare shtetërore “Operatori i Blerjeve të Përqendruara”, sh.a., për kryerjen e procedurave të veçanta të prokurimit publik, në emër dhe për llogari të Kryeministrisë, ministrive dhe institucioneve të varësisë”, të ndryshuar</dc:title>
  <dc:creator>Brunilda Ali</dc:creator>
  <cp:lastModifiedBy>Amarilda Muja</cp:lastModifiedBy>
  <cp:revision>29</cp:revision>
  <cp:lastPrinted>2024-12-12T18:41:00Z</cp:lastPrinted>
  <dcterms:created xsi:type="dcterms:W3CDTF">2024-12-11T14:14:00Z</dcterms:created>
  <dcterms:modified xsi:type="dcterms:W3CDTF">2024-12-17T09:26:00Z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