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66B36" w14:textId="11B1A99B" w:rsidR="009A1EAA" w:rsidRPr="00727111" w:rsidRDefault="00BF705D" w:rsidP="00BF705D">
      <w:pPr>
        <w:ind w:firstLine="284"/>
        <w:jc w:val="center"/>
        <w:rPr>
          <w:rFonts w:ascii="Garamond" w:hAnsi="Garamond"/>
          <w:b/>
          <w:sz w:val="24"/>
        </w:rPr>
      </w:pPr>
      <w:r w:rsidRPr="00727111">
        <w:rPr>
          <w:rFonts w:ascii="Garamond" w:hAnsi="Garamond"/>
          <w:b/>
          <w:sz w:val="24"/>
        </w:rPr>
        <w:t>VENDIM</w:t>
      </w:r>
    </w:p>
    <w:p w14:paraId="2D466B39" w14:textId="72F87C61" w:rsidR="009A1EAA" w:rsidRPr="00727111" w:rsidRDefault="009A1EAA" w:rsidP="00BF705D">
      <w:pPr>
        <w:ind w:firstLine="284"/>
        <w:jc w:val="center"/>
        <w:rPr>
          <w:rFonts w:ascii="Garamond" w:hAnsi="Garamond"/>
          <w:b/>
          <w:sz w:val="24"/>
        </w:rPr>
      </w:pPr>
      <w:r w:rsidRPr="00727111">
        <w:rPr>
          <w:rFonts w:ascii="Garamond" w:hAnsi="Garamond"/>
          <w:b/>
          <w:sz w:val="24"/>
        </w:rPr>
        <w:t>Nr.</w:t>
      </w:r>
      <w:r w:rsidR="00BF705D" w:rsidRPr="00727111">
        <w:rPr>
          <w:rFonts w:ascii="Garamond" w:hAnsi="Garamond"/>
          <w:b/>
          <w:sz w:val="24"/>
        </w:rPr>
        <w:t xml:space="preserve"> 818</w:t>
      </w:r>
      <w:r w:rsidRPr="00727111">
        <w:rPr>
          <w:rFonts w:ascii="Garamond" w:hAnsi="Garamond"/>
          <w:b/>
          <w:sz w:val="24"/>
        </w:rPr>
        <w:t>, datë</w:t>
      </w:r>
      <w:r w:rsidR="0046489C" w:rsidRPr="00727111">
        <w:rPr>
          <w:rFonts w:ascii="Garamond" w:hAnsi="Garamond"/>
          <w:b/>
          <w:sz w:val="24"/>
        </w:rPr>
        <w:t xml:space="preserve"> </w:t>
      </w:r>
      <w:r w:rsidR="00BF705D" w:rsidRPr="00727111">
        <w:rPr>
          <w:rFonts w:ascii="Garamond" w:hAnsi="Garamond"/>
          <w:b/>
          <w:sz w:val="24"/>
        </w:rPr>
        <w:t>26.12.2024</w:t>
      </w:r>
    </w:p>
    <w:p w14:paraId="2D466B3A" w14:textId="77777777" w:rsidR="009A1EAA" w:rsidRPr="00727111" w:rsidRDefault="009A1EAA" w:rsidP="00BF705D">
      <w:pPr>
        <w:ind w:firstLine="284"/>
        <w:jc w:val="center"/>
        <w:rPr>
          <w:rFonts w:ascii="Garamond" w:hAnsi="Garamond"/>
          <w:b/>
          <w:sz w:val="24"/>
        </w:rPr>
      </w:pPr>
    </w:p>
    <w:p w14:paraId="2D466B3E" w14:textId="49479C18" w:rsidR="009A1EAA" w:rsidRPr="00727111" w:rsidRDefault="009A1EAA" w:rsidP="00BF705D">
      <w:pPr>
        <w:ind w:firstLine="284"/>
        <w:jc w:val="center"/>
        <w:rPr>
          <w:rFonts w:ascii="Garamond" w:hAnsi="Garamond"/>
          <w:b/>
          <w:sz w:val="24"/>
        </w:rPr>
      </w:pPr>
      <w:r w:rsidRPr="00727111">
        <w:rPr>
          <w:rFonts w:ascii="Garamond" w:hAnsi="Garamond"/>
          <w:b/>
          <w:sz w:val="24"/>
        </w:rPr>
        <w:t>PËR</w:t>
      </w:r>
      <w:r w:rsidR="00BF705D" w:rsidRPr="00727111">
        <w:rPr>
          <w:rFonts w:ascii="Garamond" w:hAnsi="Garamond"/>
          <w:b/>
          <w:sz w:val="24"/>
        </w:rPr>
        <w:t xml:space="preserve"> </w:t>
      </w:r>
      <w:r w:rsidRPr="00727111">
        <w:rPr>
          <w:rFonts w:ascii="Garamond" w:hAnsi="Garamond"/>
          <w:b/>
          <w:sz w:val="24"/>
        </w:rPr>
        <w:t>MIRATIMIN E PROGRAMIT TË PËRGJITHSHËM ANALITIK</w:t>
      </w:r>
    </w:p>
    <w:p w14:paraId="2D466B3F" w14:textId="5B3C2FB7" w:rsidR="009A1EAA" w:rsidRPr="00727111" w:rsidRDefault="009A1EAA" w:rsidP="00BF705D">
      <w:pPr>
        <w:ind w:firstLine="284"/>
        <w:jc w:val="center"/>
        <w:rPr>
          <w:rFonts w:ascii="Garamond" w:hAnsi="Garamond"/>
          <w:b/>
          <w:sz w:val="24"/>
        </w:rPr>
      </w:pPr>
      <w:r w:rsidRPr="00727111">
        <w:rPr>
          <w:rFonts w:ascii="Garamond" w:hAnsi="Garamond"/>
          <w:b/>
          <w:sz w:val="24"/>
        </w:rPr>
        <w:t>TË PROJEKT</w:t>
      </w:r>
      <w:bookmarkStart w:id="0" w:name="_GoBack"/>
      <w:bookmarkEnd w:id="0"/>
      <w:r w:rsidRPr="00727111">
        <w:rPr>
          <w:rFonts w:ascii="Garamond" w:hAnsi="Garamond"/>
          <w:b/>
          <w:sz w:val="24"/>
        </w:rPr>
        <w:t>AKTEVE</w:t>
      </w:r>
      <w:r w:rsidR="00172EEF" w:rsidRPr="00727111">
        <w:rPr>
          <w:rFonts w:ascii="Garamond" w:hAnsi="Garamond"/>
          <w:b/>
          <w:sz w:val="24"/>
        </w:rPr>
        <w:t xml:space="preserve"> </w:t>
      </w:r>
      <w:r w:rsidRPr="00727111">
        <w:rPr>
          <w:rFonts w:ascii="Garamond" w:hAnsi="Garamond"/>
          <w:b/>
          <w:sz w:val="24"/>
        </w:rPr>
        <w:t>QË DO TË PARAQITEN PËR SHQYRTIM</w:t>
      </w:r>
    </w:p>
    <w:p w14:paraId="2D466B40" w14:textId="720D7D7A" w:rsidR="009A1EAA" w:rsidRPr="00727111" w:rsidRDefault="009A1EAA" w:rsidP="00BF705D">
      <w:pPr>
        <w:ind w:firstLine="284"/>
        <w:jc w:val="center"/>
        <w:rPr>
          <w:rFonts w:ascii="Garamond" w:hAnsi="Garamond"/>
          <w:b/>
          <w:sz w:val="24"/>
        </w:rPr>
      </w:pPr>
      <w:r w:rsidRPr="00727111">
        <w:rPr>
          <w:rFonts w:ascii="Garamond" w:hAnsi="Garamond"/>
          <w:b/>
          <w:sz w:val="24"/>
        </w:rPr>
        <w:t>NË KËSHILLI</w:t>
      </w:r>
      <w:r w:rsidR="008B0ACF" w:rsidRPr="00727111">
        <w:rPr>
          <w:rFonts w:ascii="Garamond" w:hAnsi="Garamond"/>
          <w:b/>
          <w:sz w:val="24"/>
        </w:rPr>
        <w:t>N</w:t>
      </w:r>
      <w:r w:rsidR="002E1AE3" w:rsidRPr="00727111">
        <w:rPr>
          <w:rFonts w:ascii="Garamond" w:hAnsi="Garamond"/>
          <w:b/>
          <w:sz w:val="24"/>
        </w:rPr>
        <w:t xml:space="preserve"> E MINISTRAVE GJATË VITIT 202</w:t>
      </w:r>
      <w:r w:rsidR="00364A5B" w:rsidRPr="00727111">
        <w:rPr>
          <w:rFonts w:ascii="Garamond" w:hAnsi="Garamond"/>
          <w:b/>
          <w:sz w:val="24"/>
        </w:rPr>
        <w:t>5</w:t>
      </w:r>
    </w:p>
    <w:p w14:paraId="2D466B41" w14:textId="77777777" w:rsidR="009A1EAA" w:rsidRPr="00727111" w:rsidRDefault="009A1EAA" w:rsidP="00BF705D">
      <w:pPr>
        <w:ind w:firstLine="284"/>
        <w:jc w:val="both"/>
        <w:rPr>
          <w:rFonts w:ascii="Garamond" w:hAnsi="Garamond"/>
          <w:sz w:val="24"/>
        </w:rPr>
      </w:pPr>
    </w:p>
    <w:p w14:paraId="2D466B42" w14:textId="461075B6" w:rsidR="009A1EAA" w:rsidRPr="00727111" w:rsidRDefault="009A1EAA" w:rsidP="00BF705D">
      <w:pPr>
        <w:ind w:firstLine="284"/>
        <w:jc w:val="both"/>
        <w:rPr>
          <w:rFonts w:ascii="Garamond" w:hAnsi="Garamond"/>
          <w:sz w:val="24"/>
        </w:rPr>
      </w:pPr>
      <w:r w:rsidRPr="00727111">
        <w:rPr>
          <w:rFonts w:ascii="Garamond" w:hAnsi="Garamond"/>
          <w:sz w:val="24"/>
        </w:rPr>
        <w:t>Në mbështetje të nenit 100 të Kushtetutës dhe të nenit 27, të ligjit nr.</w:t>
      </w:r>
      <w:r w:rsidR="00727111">
        <w:rPr>
          <w:rFonts w:ascii="Garamond" w:hAnsi="Garamond"/>
          <w:sz w:val="24"/>
        </w:rPr>
        <w:t xml:space="preserve"> </w:t>
      </w:r>
      <w:r w:rsidRPr="00727111">
        <w:rPr>
          <w:rFonts w:ascii="Garamond" w:hAnsi="Garamond"/>
          <w:sz w:val="24"/>
        </w:rPr>
        <w:t xml:space="preserve">9000, datë 30.1.2003, “Për organizimin dhe funksionimin e Këshillit të Ministrave”, me propozimin e Kryeministrit, Këshilli i Ministrave </w:t>
      </w:r>
    </w:p>
    <w:p w14:paraId="14D8DB5A" w14:textId="77777777" w:rsidR="00C660C1" w:rsidRPr="00727111" w:rsidRDefault="00C660C1" w:rsidP="00BF705D">
      <w:pPr>
        <w:ind w:firstLine="284"/>
        <w:jc w:val="both"/>
        <w:rPr>
          <w:rFonts w:ascii="Garamond" w:hAnsi="Garamond"/>
          <w:sz w:val="24"/>
        </w:rPr>
      </w:pPr>
    </w:p>
    <w:p w14:paraId="2D466B44" w14:textId="336F20BC" w:rsidR="009A1EAA" w:rsidRPr="00727111" w:rsidRDefault="00BF705D" w:rsidP="00BF705D">
      <w:pPr>
        <w:ind w:firstLine="284"/>
        <w:jc w:val="center"/>
        <w:rPr>
          <w:rFonts w:ascii="Garamond" w:hAnsi="Garamond"/>
          <w:sz w:val="24"/>
        </w:rPr>
      </w:pPr>
      <w:r w:rsidRPr="00727111">
        <w:rPr>
          <w:rFonts w:ascii="Garamond" w:hAnsi="Garamond"/>
          <w:sz w:val="24"/>
        </w:rPr>
        <w:t>VENDOSI:</w:t>
      </w:r>
    </w:p>
    <w:p w14:paraId="2D466B45" w14:textId="77777777" w:rsidR="009A1EAA" w:rsidRPr="00727111" w:rsidRDefault="009A1EAA" w:rsidP="00BF705D">
      <w:pPr>
        <w:ind w:firstLine="284"/>
        <w:jc w:val="both"/>
        <w:rPr>
          <w:rFonts w:ascii="Garamond" w:hAnsi="Garamond"/>
          <w:sz w:val="24"/>
        </w:rPr>
      </w:pPr>
    </w:p>
    <w:p w14:paraId="2D466B46" w14:textId="1A901AA2" w:rsidR="009A1EAA" w:rsidRPr="00727111" w:rsidRDefault="009A1EAA" w:rsidP="00BF705D">
      <w:pPr>
        <w:ind w:firstLine="284"/>
        <w:jc w:val="both"/>
        <w:rPr>
          <w:rFonts w:ascii="Garamond" w:hAnsi="Garamond"/>
          <w:sz w:val="24"/>
        </w:rPr>
      </w:pPr>
      <w:r w:rsidRPr="00727111">
        <w:rPr>
          <w:rFonts w:ascii="Garamond" w:hAnsi="Garamond"/>
          <w:sz w:val="24"/>
        </w:rPr>
        <w:t>Miratimin e programit të përgjithshëm analitik të projektakteve</w:t>
      </w:r>
      <w:r w:rsidR="00DD001F" w:rsidRPr="00727111">
        <w:rPr>
          <w:rFonts w:ascii="Garamond" w:hAnsi="Garamond"/>
          <w:sz w:val="24"/>
        </w:rPr>
        <w:t xml:space="preserve"> </w:t>
      </w:r>
      <w:r w:rsidRPr="00727111">
        <w:rPr>
          <w:rFonts w:ascii="Garamond" w:hAnsi="Garamond"/>
          <w:sz w:val="24"/>
        </w:rPr>
        <w:t>që do të paraqiten për shqyrtim në Këshill</w:t>
      </w:r>
      <w:r w:rsidR="00793CE7" w:rsidRPr="00727111">
        <w:rPr>
          <w:rFonts w:ascii="Garamond" w:hAnsi="Garamond"/>
          <w:sz w:val="24"/>
        </w:rPr>
        <w:t>in e Ministrave gjatë vitit 202</w:t>
      </w:r>
      <w:r w:rsidR="00364A5B" w:rsidRPr="00727111">
        <w:rPr>
          <w:rFonts w:ascii="Garamond" w:hAnsi="Garamond"/>
          <w:sz w:val="24"/>
        </w:rPr>
        <w:t>5</w:t>
      </w:r>
      <w:r w:rsidR="006A60CD" w:rsidRPr="00727111">
        <w:rPr>
          <w:rFonts w:ascii="Garamond" w:hAnsi="Garamond"/>
          <w:sz w:val="24"/>
        </w:rPr>
        <w:t>, sipas tabel</w:t>
      </w:r>
      <w:r w:rsidR="00E501EA" w:rsidRPr="00727111">
        <w:rPr>
          <w:rFonts w:ascii="Garamond" w:hAnsi="Garamond"/>
          <w:sz w:val="24"/>
        </w:rPr>
        <w:t>ave që i bashkëlidhen</w:t>
      </w:r>
      <w:r w:rsidRPr="00727111">
        <w:rPr>
          <w:rFonts w:ascii="Garamond" w:hAnsi="Garamond"/>
          <w:sz w:val="24"/>
        </w:rPr>
        <w:t xml:space="preserve"> këtij vendimi.</w:t>
      </w:r>
    </w:p>
    <w:p w14:paraId="2D466B48" w14:textId="39734E31" w:rsidR="009A1EAA" w:rsidRPr="00727111" w:rsidRDefault="00F16F82" w:rsidP="00BF705D">
      <w:pPr>
        <w:ind w:firstLine="284"/>
        <w:jc w:val="both"/>
        <w:rPr>
          <w:rFonts w:ascii="Garamond" w:hAnsi="Garamond"/>
          <w:sz w:val="24"/>
        </w:rPr>
      </w:pPr>
      <w:r w:rsidRPr="00727111">
        <w:rPr>
          <w:rFonts w:ascii="Garamond" w:hAnsi="Garamond"/>
          <w:sz w:val="24"/>
        </w:rPr>
        <w:t>Ky vendim hyn në fuqi menjëherë dhe botohet n</w:t>
      </w:r>
      <w:r w:rsidR="00F2164C" w:rsidRPr="00727111">
        <w:rPr>
          <w:rFonts w:ascii="Garamond" w:hAnsi="Garamond"/>
          <w:sz w:val="24"/>
        </w:rPr>
        <w:t>ë</w:t>
      </w:r>
      <w:r w:rsidRPr="00727111">
        <w:rPr>
          <w:rFonts w:ascii="Garamond" w:hAnsi="Garamond"/>
          <w:sz w:val="24"/>
        </w:rPr>
        <w:t xml:space="preserve"> </w:t>
      </w:r>
      <w:r w:rsidR="0035606A" w:rsidRPr="00727111">
        <w:rPr>
          <w:rFonts w:ascii="Garamond" w:hAnsi="Garamond"/>
          <w:sz w:val="24"/>
        </w:rPr>
        <w:t xml:space="preserve">Fletoren </w:t>
      </w:r>
      <w:r w:rsidR="00BF705D" w:rsidRPr="00727111">
        <w:rPr>
          <w:rFonts w:ascii="Garamond" w:hAnsi="Garamond"/>
          <w:sz w:val="24"/>
        </w:rPr>
        <w:t>Zyrtare</w:t>
      </w:r>
      <w:r w:rsidRPr="00727111">
        <w:rPr>
          <w:rFonts w:ascii="Garamond" w:hAnsi="Garamond"/>
          <w:sz w:val="24"/>
        </w:rPr>
        <w:t>.</w:t>
      </w:r>
    </w:p>
    <w:p w14:paraId="2D466B49" w14:textId="77777777" w:rsidR="009A1EAA" w:rsidRPr="00727111" w:rsidRDefault="009A1EAA" w:rsidP="00BF705D">
      <w:pPr>
        <w:ind w:firstLine="284"/>
        <w:jc w:val="both"/>
        <w:rPr>
          <w:rFonts w:ascii="Garamond" w:hAnsi="Garamond"/>
          <w:sz w:val="24"/>
        </w:rPr>
      </w:pPr>
    </w:p>
    <w:p w14:paraId="2D466B4B" w14:textId="3610C5BC" w:rsidR="009A1EAA" w:rsidRPr="00727111" w:rsidRDefault="00BF705D" w:rsidP="00BF705D">
      <w:pPr>
        <w:ind w:firstLine="284"/>
        <w:jc w:val="right"/>
        <w:rPr>
          <w:rFonts w:ascii="Garamond" w:hAnsi="Garamond"/>
          <w:sz w:val="24"/>
        </w:rPr>
      </w:pPr>
      <w:r w:rsidRPr="00727111">
        <w:rPr>
          <w:rFonts w:ascii="Garamond" w:hAnsi="Garamond"/>
          <w:sz w:val="24"/>
        </w:rPr>
        <w:t>KRYEMINISTËR</w:t>
      </w:r>
    </w:p>
    <w:p w14:paraId="2D466B4E" w14:textId="52211CF7" w:rsidR="007649E8" w:rsidRPr="00727111" w:rsidRDefault="00BF705D" w:rsidP="00BF705D">
      <w:pPr>
        <w:ind w:firstLine="284"/>
        <w:jc w:val="right"/>
        <w:rPr>
          <w:rFonts w:ascii="Garamond" w:hAnsi="Garamond"/>
          <w:b/>
          <w:sz w:val="24"/>
        </w:rPr>
      </w:pPr>
      <w:r w:rsidRPr="00727111">
        <w:rPr>
          <w:rFonts w:ascii="Garamond" w:hAnsi="Garamond"/>
          <w:b/>
          <w:sz w:val="24"/>
        </w:rPr>
        <w:t>Edi Rama</w:t>
      </w:r>
    </w:p>
    <w:p w14:paraId="5B611794" w14:textId="36D27F87" w:rsidR="00593BF4" w:rsidRPr="00727111" w:rsidRDefault="00593BF4" w:rsidP="00BF705D">
      <w:pPr>
        <w:ind w:firstLine="284"/>
        <w:jc w:val="right"/>
        <w:rPr>
          <w:rFonts w:ascii="Garamond" w:hAnsi="Garamond"/>
          <w:b/>
          <w:sz w:val="24"/>
        </w:rPr>
      </w:pPr>
    </w:p>
    <w:p w14:paraId="44733410" w14:textId="4A4D5501" w:rsidR="00593BF4" w:rsidRPr="00727111" w:rsidRDefault="00593BF4" w:rsidP="00593BF4">
      <w:pPr>
        <w:ind w:firstLine="284"/>
        <w:jc w:val="both"/>
        <w:rPr>
          <w:rFonts w:ascii="Garamond" w:hAnsi="Garamond"/>
          <w:b/>
          <w:sz w:val="24"/>
        </w:rPr>
      </w:pPr>
    </w:p>
    <w:p w14:paraId="13C2D571" w14:textId="34830DDE" w:rsidR="00272915" w:rsidRPr="00727111" w:rsidRDefault="00272915" w:rsidP="00593BF4">
      <w:pPr>
        <w:ind w:firstLine="284"/>
        <w:jc w:val="both"/>
        <w:rPr>
          <w:rFonts w:ascii="Garamond" w:hAnsi="Garamond"/>
          <w:b/>
          <w:sz w:val="24"/>
        </w:rPr>
      </w:pPr>
    </w:p>
    <w:p w14:paraId="22B7D1DF" w14:textId="00FB11C9" w:rsidR="00272915" w:rsidRPr="00727111" w:rsidRDefault="00272915" w:rsidP="00593BF4">
      <w:pPr>
        <w:ind w:firstLine="284"/>
        <w:jc w:val="both"/>
        <w:rPr>
          <w:rFonts w:ascii="Garamond" w:hAnsi="Garamond"/>
          <w:b/>
          <w:sz w:val="24"/>
        </w:rPr>
      </w:pPr>
    </w:p>
    <w:p w14:paraId="3AE60138" w14:textId="24C999D6" w:rsidR="00272915" w:rsidRPr="00727111" w:rsidRDefault="00272915" w:rsidP="00593BF4">
      <w:pPr>
        <w:ind w:firstLine="284"/>
        <w:jc w:val="both"/>
        <w:rPr>
          <w:rFonts w:ascii="Garamond" w:hAnsi="Garamond"/>
          <w:b/>
          <w:sz w:val="24"/>
        </w:rPr>
      </w:pPr>
    </w:p>
    <w:p w14:paraId="651F7989" w14:textId="038671F6" w:rsidR="00272915" w:rsidRPr="00727111" w:rsidRDefault="00272915" w:rsidP="00593BF4">
      <w:pPr>
        <w:ind w:firstLine="284"/>
        <w:jc w:val="both"/>
        <w:rPr>
          <w:rFonts w:ascii="Garamond" w:hAnsi="Garamond"/>
          <w:b/>
          <w:sz w:val="24"/>
        </w:rPr>
      </w:pPr>
    </w:p>
    <w:p w14:paraId="57CEA123" w14:textId="2D08B374" w:rsidR="00272915" w:rsidRPr="00727111" w:rsidRDefault="00272915" w:rsidP="00593BF4">
      <w:pPr>
        <w:ind w:firstLine="284"/>
        <w:jc w:val="both"/>
        <w:rPr>
          <w:rFonts w:ascii="Garamond" w:hAnsi="Garamond"/>
          <w:b/>
          <w:sz w:val="24"/>
        </w:rPr>
      </w:pPr>
    </w:p>
    <w:p w14:paraId="41D926A8" w14:textId="42ACD9BE" w:rsidR="00272915" w:rsidRPr="00727111" w:rsidRDefault="00272915" w:rsidP="00593BF4">
      <w:pPr>
        <w:ind w:firstLine="284"/>
        <w:jc w:val="both"/>
        <w:rPr>
          <w:rFonts w:ascii="Garamond" w:hAnsi="Garamond"/>
          <w:b/>
          <w:sz w:val="24"/>
        </w:rPr>
      </w:pPr>
    </w:p>
    <w:p w14:paraId="7C2A1846" w14:textId="75F235DB" w:rsidR="00272915" w:rsidRPr="00727111" w:rsidRDefault="00272915" w:rsidP="00593BF4">
      <w:pPr>
        <w:ind w:firstLine="284"/>
        <w:jc w:val="both"/>
        <w:rPr>
          <w:rFonts w:ascii="Garamond" w:hAnsi="Garamond"/>
          <w:b/>
          <w:sz w:val="24"/>
        </w:rPr>
      </w:pPr>
    </w:p>
    <w:p w14:paraId="6808F948" w14:textId="3B50408F" w:rsidR="00272915" w:rsidRPr="00727111" w:rsidRDefault="00272915" w:rsidP="00593BF4">
      <w:pPr>
        <w:ind w:firstLine="284"/>
        <w:jc w:val="both"/>
        <w:rPr>
          <w:rFonts w:ascii="Garamond" w:hAnsi="Garamond"/>
          <w:b/>
          <w:sz w:val="24"/>
        </w:rPr>
      </w:pPr>
    </w:p>
    <w:p w14:paraId="10C97C07" w14:textId="1CA7D65C" w:rsidR="00272915" w:rsidRPr="00727111" w:rsidRDefault="00272915" w:rsidP="00593BF4">
      <w:pPr>
        <w:ind w:firstLine="284"/>
        <w:jc w:val="both"/>
        <w:rPr>
          <w:rFonts w:ascii="Garamond" w:hAnsi="Garamond"/>
          <w:b/>
          <w:sz w:val="24"/>
        </w:rPr>
      </w:pPr>
    </w:p>
    <w:p w14:paraId="6DD75BA4" w14:textId="79E382B5" w:rsidR="00272915" w:rsidRPr="00727111" w:rsidRDefault="00272915" w:rsidP="00593BF4">
      <w:pPr>
        <w:ind w:firstLine="284"/>
        <w:jc w:val="both"/>
        <w:rPr>
          <w:rFonts w:ascii="Garamond" w:hAnsi="Garamond"/>
          <w:b/>
          <w:sz w:val="24"/>
        </w:rPr>
      </w:pPr>
    </w:p>
    <w:p w14:paraId="281A5BC2" w14:textId="163EDAA6" w:rsidR="00272915" w:rsidRPr="00727111" w:rsidRDefault="00272915" w:rsidP="00593BF4">
      <w:pPr>
        <w:ind w:firstLine="284"/>
        <w:jc w:val="both"/>
        <w:rPr>
          <w:rFonts w:ascii="Garamond" w:hAnsi="Garamond"/>
          <w:b/>
          <w:sz w:val="24"/>
        </w:rPr>
      </w:pPr>
    </w:p>
    <w:p w14:paraId="0456DC7D" w14:textId="13555425" w:rsidR="00272915" w:rsidRPr="00727111" w:rsidRDefault="00272915" w:rsidP="00593BF4">
      <w:pPr>
        <w:ind w:firstLine="284"/>
        <w:jc w:val="both"/>
        <w:rPr>
          <w:rFonts w:ascii="Garamond" w:hAnsi="Garamond"/>
          <w:b/>
          <w:sz w:val="24"/>
        </w:rPr>
      </w:pPr>
    </w:p>
    <w:p w14:paraId="4B89D3C7" w14:textId="018E45F3" w:rsidR="00272915" w:rsidRPr="00727111" w:rsidRDefault="00272915" w:rsidP="00593BF4">
      <w:pPr>
        <w:ind w:firstLine="284"/>
        <w:jc w:val="both"/>
        <w:rPr>
          <w:rFonts w:ascii="Garamond" w:hAnsi="Garamond"/>
          <w:b/>
          <w:sz w:val="24"/>
        </w:rPr>
      </w:pPr>
    </w:p>
    <w:p w14:paraId="4A1E27C9" w14:textId="01E91FD1" w:rsidR="00272915" w:rsidRPr="00727111" w:rsidRDefault="00272915" w:rsidP="00593BF4">
      <w:pPr>
        <w:ind w:firstLine="284"/>
        <w:jc w:val="both"/>
        <w:rPr>
          <w:rFonts w:ascii="Garamond" w:hAnsi="Garamond"/>
          <w:b/>
          <w:sz w:val="24"/>
        </w:rPr>
      </w:pPr>
    </w:p>
    <w:p w14:paraId="6776530A" w14:textId="415C96BA" w:rsidR="00272915" w:rsidRPr="00727111" w:rsidRDefault="00272915" w:rsidP="00593BF4">
      <w:pPr>
        <w:ind w:firstLine="284"/>
        <w:jc w:val="both"/>
        <w:rPr>
          <w:rFonts w:ascii="Garamond" w:hAnsi="Garamond"/>
          <w:b/>
          <w:sz w:val="24"/>
        </w:rPr>
      </w:pPr>
    </w:p>
    <w:p w14:paraId="180F443A" w14:textId="1CB912B4" w:rsidR="00272915" w:rsidRPr="00727111" w:rsidRDefault="00272915" w:rsidP="00593BF4">
      <w:pPr>
        <w:ind w:firstLine="284"/>
        <w:jc w:val="both"/>
        <w:rPr>
          <w:rFonts w:ascii="Garamond" w:hAnsi="Garamond"/>
          <w:b/>
          <w:sz w:val="24"/>
        </w:rPr>
      </w:pPr>
    </w:p>
    <w:p w14:paraId="030F4E9F" w14:textId="7D47EB52" w:rsidR="00272915" w:rsidRPr="00727111" w:rsidRDefault="00272915" w:rsidP="00593BF4">
      <w:pPr>
        <w:ind w:firstLine="284"/>
        <w:jc w:val="both"/>
        <w:rPr>
          <w:rFonts w:ascii="Garamond" w:hAnsi="Garamond"/>
          <w:b/>
          <w:sz w:val="24"/>
        </w:rPr>
      </w:pPr>
    </w:p>
    <w:p w14:paraId="4B1BA685" w14:textId="7ED0254A" w:rsidR="00272915" w:rsidRPr="00727111" w:rsidRDefault="00272915" w:rsidP="00593BF4">
      <w:pPr>
        <w:ind w:firstLine="284"/>
        <w:jc w:val="both"/>
        <w:rPr>
          <w:rFonts w:ascii="Garamond" w:hAnsi="Garamond"/>
          <w:b/>
          <w:sz w:val="24"/>
        </w:rPr>
      </w:pPr>
    </w:p>
    <w:p w14:paraId="12337415" w14:textId="5AF90831" w:rsidR="00272915" w:rsidRPr="00727111" w:rsidRDefault="00272915" w:rsidP="00593BF4">
      <w:pPr>
        <w:ind w:firstLine="284"/>
        <w:jc w:val="both"/>
        <w:rPr>
          <w:rFonts w:ascii="Garamond" w:hAnsi="Garamond"/>
          <w:b/>
          <w:sz w:val="24"/>
        </w:rPr>
      </w:pPr>
    </w:p>
    <w:p w14:paraId="1EBC3358" w14:textId="350A6DE4" w:rsidR="00272915" w:rsidRPr="00727111" w:rsidRDefault="00272915" w:rsidP="00593BF4">
      <w:pPr>
        <w:ind w:firstLine="284"/>
        <w:jc w:val="both"/>
        <w:rPr>
          <w:rFonts w:ascii="Garamond" w:hAnsi="Garamond"/>
          <w:b/>
          <w:sz w:val="24"/>
        </w:rPr>
      </w:pPr>
    </w:p>
    <w:p w14:paraId="6C26A322" w14:textId="214D515B" w:rsidR="00272915" w:rsidRPr="00727111" w:rsidRDefault="00272915" w:rsidP="00593BF4">
      <w:pPr>
        <w:ind w:firstLine="284"/>
        <w:jc w:val="both"/>
        <w:rPr>
          <w:rFonts w:ascii="Garamond" w:hAnsi="Garamond"/>
          <w:b/>
          <w:sz w:val="24"/>
        </w:rPr>
      </w:pPr>
    </w:p>
    <w:p w14:paraId="2E36C93B" w14:textId="06D2A69E" w:rsidR="00272915" w:rsidRPr="00727111" w:rsidRDefault="00272915" w:rsidP="00593BF4">
      <w:pPr>
        <w:ind w:firstLine="284"/>
        <w:jc w:val="both"/>
        <w:rPr>
          <w:rFonts w:ascii="Garamond" w:hAnsi="Garamond"/>
          <w:b/>
          <w:sz w:val="24"/>
        </w:rPr>
      </w:pPr>
    </w:p>
    <w:p w14:paraId="5A4EA821" w14:textId="1694E4B0" w:rsidR="00272915" w:rsidRPr="00727111" w:rsidRDefault="00272915" w:rsidP="00593BF4">
      <w:pPr>
        <w:ind w:firstLine="284"/>
        <w:jc w:val="both"/>
        <w:rPr>
          <w:rFonts w:ascii="Garamond" w:hAnsi="Garamond"/>
          <w:b/>
          <w:sz w:val="24"/>
        </w:rPr>
      </w:pPr>
    </w:p>
    <w:p w14:paraId="69160096" w14:textId="0C2173BB" w:rsidR="00272915" w:rsidRPr="00727111" w:rsidRDefault="00272915" w:rsidP="00593BF4">
      <w:pPr>
        <w:ind w:firstLine="284"/>
        <w:jc w:val="both"/>
        <w:rPr>
          <w:rFonts w:ascii="Garamond" w:hAnsi="Garamond"/>
          <w:b/>
          <w:sz w:val="24"/>
        </w:rPr>
      </w:pPr>
    </w:p>
    <w:p w14:paraId="00AC8E39" w14:textId="77777777" w:rsidR="00272915" w:rsidRPr="00727111" w:rsidRDefault="00272915" w:rsidP="00593BF4">
      <w:pPr>
        <w:ind w:firstLine="284"/>
        <w:jc w:val="both"/>
        <w:rPr>
          <w:rFonts w:ascii="Garamond" w:hAnsi="Garamond"/>
          <w:b/>
          <w:sz w:val="24"/>
        </w:rPr>
        <w:sectPr w:rsidR="00272915" w:rsidRPr="00727111" w:rsidSect="0046489C">
          <w:pgSz w:w="11907" w:h="16839" w:code="9"/>
          <w:pgMar w:top="1440" w:right="1440" w:bottom="1440" w:left="1440" w:header="720" w:footer="720" w:gutter="0"/>
          <w:cols w:space="720"/>
          <w:docGrid w:linePitch="360"/>
        </w:sectPr>
      </w:pPr>
    </w:p>
    <w:tbl>
      <w:tblPr>
        <w:tblW w:w="14546" w:type="dxa"/>
        <w:jc w:val="center"/>
        <w:tblLayout w:type="fixed"/>
        <w:tblLook w:val="04A0" w:firstRow="1" w:lastRow="0" w:firstColumn="1" w:lastColumn="0" w:noHBand="0" w:noVBand="1"/>
      </w:tblPr>
      <w:tblGrid>
        <w:gridCol w:w="390"/>
        <w:gridCol w:w="1466"/>
        <w:gridCol w:w="955"/>
        <w:gridCol w:w="1605"/>
        <w:gridCol w:w="786"/>
        <w:gridCol w:w="2172"/>
        <w:gridCol w:w="1740"/>
        <w:gridCol w:w="1082"/>
        <w:gridCol w:w="1030"/>
        <w:gridCol w:w="1190"/>
        <w:gridCol w:w="2122"/>
        <w:gridCol w:w="8"/>
      </w:tblGrid>
      <w:tr w:rsidR="00687E30" w:rsidRPr="00727111" w14:paraId="458D3CB4" w14:textId="77777777" w:rsidTr="00687E30">
        <w:trPr>
          <w:trHeight w:val="180"/>
          <w:jc w:val="center"/>
        </w:trPr>
        <w:tc>
          <w:tcPr>
            <w:tcW w:w="14546" w:type="dxa"/>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53999245" w14:textId="77777777" w:rsidR="00687E30" w:rsidRPr="00727111" w:rsidRDefault="00687E30" w:rsidP="00687E30">
            <w:pPr>
              <w:jc w:val="center"/>
              <w:rPr>
                <w:rFonts w:ascii="Garamond" w:hAnsi="Garamond" w:cs="Calibri"/>
                <w:b/>
                <w:bCs/>
                <w:color w:val="000000"/>
                <w:sz w:val="12"/>
                <w:szCs w:val="12"/>
                <w:lang w:eastAsia="sq-AL"/>
              </w:rPr>
            </w:pPr>
            <w:bookmarkStart w:id="1" w:name="RANGE!A1:K39"/>
            <w:r w:rsidRPr="00727111">
              <w:rPr>
                <w:rFonts w:ascii="Garamond" w:hAnsi="Garamond" w:cs="Calibri"/>
                <w:b/>
                <w:bCs/>
                <w:color w:val="000000"/>
                <w:sz w:val="12"/>
                <w:szCs w:val="12"/>
                <w:lang w:eastAsia="sq-AL"/>
              </w:rPr>
              <w:lastRenderedPageBreak/>
              <w:t>Programi i Përgjithshëm Analitik i Projektakteve për vitin 2025</w:t>
            </w:r>
            <w:bookmarkEnd w:id="1"/>
          </w:p>
        </w:tc>
      </w:tr>
      <w:tr w:rsidR="00687E30" w:rsidRPr="00727111" w14:paraId="07E70269" w14:textId="77777777" w:rsidTr="00687E30">
        <w:trPr>
          <w:trHeight w:val="180"/>
          <w:jc w:val="center"/>
        </w:trPr>
        <w:tc>
          <w:tcPr>
            <w:tcW w:w="14546" w:type="dxa"/>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565EA4D9" w14:textId="77777777" w:rsidR="00687E30" w:rsidRPr="00727111" w:rsidRDefault="00687E30" w:rsidP="00687E30">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Kryeministri - Zv.Kryeministri</w:t>
            </w:r>
          </w:p>
        </w:tc>
      </w:tr>
      <w:tr w:rsidR="00687E30" w:rsidRPr="00727111" w14:paraId="01AB75C2"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000000" w:fill="C00000"/>
            <w:vAlign w:val="center"/>
            <w:hideMark/>
          </w:tcPr>
          <w:p w14:paraId="445426FF"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Nr.</w:t>
            </w:r>
          </w:p>
        </w:tc>
        <w:tc>
          <w:tcPr>
            <w:tcW w:w="1466" w:type="dxa"/>
            <w:tcBorders>
              <w:top w:val="nil"/>
              <w:left w:val="nil"/>
              <w:bottom w:val="single" w:sz="4" w:space="0" w:color="auto"/>
              <w:right w:val="single" w:sz="4" w:space="0" w:color="auto"/>
            </w:tcBorders>
            <w:shd w:val="clear" w:color="000000" w:fill="C00000"/>
            <w:vAlign w:val="center"/>
            <w:hideMark/>
          </w:tcPr>
          <w:p w14:paraId="6B68EEF5"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Titulli i projektaktit</w:t>
            </w:r>
          </w:p>
        </w:tc>
        <w:tc>
          <w:tcPr>
            <w:tcW w:w="955" w:type="dxa"/>
            <w:tcBorders>
              <w:top w:val="nil"/>
              <w:left w:val="nil"/>
              <w:bottom w:val="single" w:sz="4" w:space="0" w:color="auto"/>
              <w:right w:val="single" w:sz="4" w:space="0" w:color="auto"/>
            </w:tcBorders>
            <w:shd w:val="clear" w:color="000000" w:fill="C00000"/>
            <w:vAlign w:val="center"/>
            <w:hideMark/>
          </w:tcPr>
          <w:p w14:paraId="33A4238B"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Lloji i projektaktit</w:t>
            </w:r>
          </w:p>
        </w:tc>
        <w:tc>
          <w:tcPr>
            <w:tcW w:w="1605" w:type="dxa"/>
            <w:tcBorders>
              <w:top w:val="nil"/>
              <w:left w:val="nil"/>
              <w:bottom w:val="single" w:sz="4" w:space="0" w:color="auto"/>
              <w:right w:val="single" w:sz="4" w:space="0" w:color="auto"/>
            </w:tcBorders>
            <w:shd w:val="clear" w:color="000000" w:fill="C00000"/>
            <w:vAlign w:val="center"/>
            <w:hideMark/>
          </w:tcPr>
          <w:p w14:paraId="3AF44CC2"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Ministri propozues</w:t>
            </w:r>
          </w:p>
        </w:tc>
        <w:tc>
          <w:tcPr>
            <w:tcW w:w="786" w:type="dxa"/>
            <w:tcBorders>
              <w:top w:val="nil"/>
              <w:left w:val="nil"/>
              <w:bottom w:val="single" w:sz="4" w:space="0" w:color="auto"/>
              <w:right w:val="single" w:sz="4" w:space="0" w:color="auto"/>
            </w:tcBorders>
            <w:shd w:val="clear" w:color="000000" w:fill="C00000"/>
            <w:vAlign w:val="center"/>
            <w:hideMark/>
          </w:tcPr>
          <w:p w14:paraId="49319055"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Katër mujori</w:t>
            </w:r>
          </w:p>
        </w:tc>
        <w:tc>
          <w:tcPr>
            <w:tcW w:w="2172" w:type="dxa"/>
            <w:tcBorders>
              <w:top w:val="nil"/>
              <w:left w:val="nil"/>
              <w:bottom w:val="single" w:sz="4" w:space="0" w:color="auto"/>
              <w:right w:val="single" w:sz="4" w:space="0" w:color="auto"/>
            </w:tcBorders>
            <w:shd w:val="clear" w:color="000000" w:fill="C00000"/>
            <w:vAlign w:val="center"/>
            <w:hideMark/>
          </w:tcPr>
          <w:p w14:paraId="0D7AEF43"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Arsyet kryesore për propozimin e projektaktit</w:t>
            </w:r>
          </w:p>
        </w:tc>
        <w:tc>
          <w:tcPr>
            <w:tcW w:w="1740" w:type="dxa"/>
            <w:tcBorders>
              <w:top w:val="nil"/>
              <w:left w:val="nil"/>
              <w:bottom w:val="single" w:sz="4" w:space="0" w:color="auto"/>
              <w:right w:val="single" w:sz="4" w:space="0" w:color="auto"/>
            </w:tcBorders>
            <w:shd w:val="clear" w:color="000000" w:fill="C00000"/>
            <w:vAlign w:val="center"/>
            <w:hideMark/>
          </w:tcPr>
          <w:p w14:paraId="4039A3C6"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 xml:space="preserve">Çështjet kryesore që parashikon të rregullojë projektakti </w:t>
            </w:r>
          </w:p>
        </w:tc>
        <w:tc>
          <w:tcPr>
            <w:tcW w:w="1082" w:type="dxa"/>
            <w:tcBorders>
              <w:top w:val="nil"/>
              <w:left w:val="nil"/>
              <w:bottom w:val="single" w:sz="4" w:space="0" w:color="auto"/>
              <w:right w:val="single" w:sz="4" w:space="0" w:color="auto"/>
            </w:tcBorders>
            <w:shd w:val="clear" w:color="000000" w:fill="C00000"/>
            <w:vAlign w:val="center"/>
            <w:hideMark/>
          </w:tcPr>
          <w:p w14:paraId="7E4CB2E0"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 është parashikuar projektakti në PKIE?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po, të specifikohet kapitulli përkatës</w:t>
            </w:r>
          </w:p>
        </w:tc>
        <w:tc>
          <w:tcPr>
            <w:tcW w:w="1030" w:type="dxa"/>
            <w:tcBorders>
              <w:top w:val="nil"/>
              <w:left w:val="nil"/>
              <w:bottom w:val="single" w:sz="4" w:space="0" w:color="auto"/>
              <w:right w:val="single" w:sz="4" w:space="0" w:color="auto"/>
            </w:tcBorders>
            <w:shd w:val="clear" w:color="000000" w:fill="C00000"/>
            <w:vAlign w:val="center"/>
            <w:hideMark/>
          </w:tcPr>
          <w:p w14:paraId="5F77344F"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Përputhshmëria e projektaktit me programin politik qeverisës 2021-2025</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përputhet, të jepet  referenca e saktë në progam</w:t>
            </w:r>
          </w:p>
        </w:tc>
        <w:tc>
          <w:tcPr>
            <w:tcW w:w="1190" w:type="dxa"/>
            <w:tcBorders>
              <w:top w:val="nil"/>
              <w:left w:val="nil"/>
              <w:bottom w:val="single" w:sz="4" w:space="0" w:color="auto"/>
              <w:right w:val="single" w:sz="4" w:space="0" w:color="auto"/>
            </w:tcBorders>
            <w:shd w:val="clear" w:color="000000" w:fill="C00000"/>
            <w:vAlign w:val="center"/>
            <w:hideMark/>
          </w:tcPr>
          <w:p w14:paraId="7B1E9B21"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Lidhja e projektaktit me strategjitë kombëtare dhe sektoriale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lidhet, të specifikohen strategjitë</w:t>
            </w:r>
          </w:p>
        </w:tc>
        <w:tc>
          <w:tcPr>
            <w:tcW w:w="2122" w:type="dxa"/>
            <w:tcBorders>
              <w:top w:val="nil"/>
              <w:left w:val="nil"/>
              <w:bottom w:val="single" w:sz="4" w:space="0" w:color="auto"/>
              <w:right w:val="single" w:sz="4" w:space="0" w:color="auto"/>
            </w:tcBorders>
            <w:shd w:val="clear" w:color="000000" w:fill="C00000"/>
            <w:vAlign w:val="center"/>
            <w:hideMark/>
          </w:tcPr>
          <w:p w14:paraId="6032386C" w14:textId="77777777" w:rsidR="00687E30" w:rsidRPr="00727111" w:rsidRDefault="00687E30" w:rsidP="00687E3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Ndikimet e mundshme ekonomike, financiare, sociale dhe mjedisore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 xml:space="preserve">Përgjigjuni me Po/Jo për ndikimet përkatëse </w:t>
            </w:r>
          </w:p>
        </w:tc>
      </w:tr>
      <w:tr w:rsidR="00687E30" w:rsidRPr="00727111" w14:paraId="2D50E090"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9D143E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w:t>
            </w:r>
          </w:p>
        </w:tc>
        <w:tc>
          <w:tcPr>
            <w:tcW w:w="1466" w:type="dxa"/>
            <w:tcBorders>
              <w:top w:val="nil"/>
              <w:left w:val="nil"/>
              <w:bottom w:val="nil"/>
              <w:right w:val="nil"/>
            </w:tcBorders>
            <w:shd w:val="clear" w:color="auto" w:fill="auto"/>
            <w:vAlign w:val="center"/>
            <w:hideMark/>
          </w:tcPr>
          <w:p w14:paraId="5C25F59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organizimin dhe funksionimin e Agjencisë së Menaxhimit të Burimeve Ujore</w:t>
            </w:r>
          </w:p>
        </w:tc>
        <w:tc>
          <w:tcPr>
            <w:tcW w:w="955" w:type="dxa"/>
            <w:tcBorders>
              <w:top w:val="nil"/>
              <w:left w:val="single" w:sz="4" w:space="0" w:color="auto"/>
              <w:bottom w:val="single" w:sz="4" w:space="0" w:color="auto"/>
              <w:right w:val="single" w:sz="4" w:space="0" w:color="auto"/>
            </w:tcBorders>
            <w:shd w:val="clear" w:color="auto" w:fill="auto"/>
            <w:vAlign w:val="center"/>
            <w:hideMark/>
          </w:tcPr>
          <w:p w14:paraId="374C87F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0E07DE5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5EE9E63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000000" w:fill="FFFFFF"/>
            <w:vAlign w:val="center"/>
            <w:hideMark/>
          </w:tcPr>
          <w:p w14:paraId="4E314BF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Arsyeja e propozimit të këtij Projektakti lidhet me faktin që me hyrjen në fuqi të ligjit të ri "Për Burimet Ujore",  Agjencia e Menaxhimit te Burimeve Ujore ka përgjegjësi të reja dhe rrjedhimisht lind nevoja për riorganizimin e saj në këtë funksion.</w:t>
            </w:r>
          </w:p>
        </w:tc>
        <w:tc>
          <w:tcPr>
            <w:tcW w:w="1740" w:type="dxa"/>
            <w:tcBorders>
              <w:top w:val="nil"/>
              <w:left w:val="nil"/>
              <w:bottom w:val="single" w:sz="4" w:space="0" w:color="auto"/>
              <w:right w:val="single" w:sz="4" w:space="0" w:color="auto"/>
            </w:tcBorders>
            <w:shd w:val="clear" w:color="auto" w:fill="auto"/>
            <w:vAlign w:val="center"/>
            <w:hideMark/>
          </w:tcPr>
          <w:p w14:paraId="543CB60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Projektvendimi synon të përcaktojë qartësisht detyrat dhe përgjegjësitë kryesore të  Agjencisë së Menaxhimit të Burimeve Ujore </w:t>
            </w:r>
          </w:p>
        </w:tc>
        <w:tc>
          <w:tcPr>
            <w:tcW w:w="1082" w:type="dxa"/>
            <w:tcBorders>
              <w:top w:val="nil"/>
              <w:left w:val="nil"/>
              <w:bottom w:val="single" w:sz="4" w:space="0" w:color="auto"/>
              <w:right w:val="single" w:sz="4" w:space="0" w:color="auto"/>
            </w:tcBorders>
            <w:shd w:val="clear" w:color="auto" w:fill="auto"/>
            <w:vAlign w:val="center"/>
            <w:hideMark/>
          </w:tcPr>
          <w:p w14:paraId="381FD5D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000000"/>
              <w:right w:val="nil"/>
            </w:tcBorders>
            <w:shd w:val="clear" w:color="auto" w:fill="auto"/>
            <w:vAlign w:val="center"/>
            <w:hideMark/>
          </w:tcPr>
          <w:p w14:paraId="385BE59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single" w:sz="4" w:space="0" w:color="000000"/>
              <w:bottom w:val="single" w:sz="4" w:space="0" w:color="000000"/>
              <w:right w:val="nil"/>
            </w:tcBorders>
            <w:shd w:val="clear" w:color="auto" w:fill="auto"/>
            <w:vAlign w:val="center"/>
            <w:hideMark/>
          </w:tcPr>
          <w:p w14:paraId="388379B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e Menaxhimit të Integruar të Burimeve Ujore 2018-2029</w:t>
            </w:r>
          </w:p>
        </w:tc>
        <w:tc>
          <w:tcPr>
            <w:tcW w:w="2122" w:type="dxa"/>
            <w:tcBorders>
              <w:top w:val="nil"/>
              <w:left w:val="single" w:sz="4" w:space="0" w:color="auto"/>
              <w:bottom w:val="single" w:sz="4" w:space="0" w:color="auto"/>
              <w:right w:val="single" w:sz="4" w:space="0" w:color="auto"/>
            </w:tcBorders>
            <w:shd w:val="clear" w:color="000000" w:fill="FFFFFF"/>
            <w:vAlign w:val="center"/>
            <w:hideMark/>
          </w:tcPr>
          <w:p w14:paraId="26E1539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58E5B32A"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12C3AED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14:paraId="7816F5E5"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Për përbërjen dhe kufijtë territorialë e hidrografikë të rajoneve të baseneve lumorë e trupave të tjerë ujorë, përbërjen e Këshillave të Baseneve lumorë dhe për elementet e informacionit për autoritetet kompetente</w:t>
            </w:r>
          </w:p>
        </w:tc>
        <w:tc>
          <w:tcPr>
            <w:tcW w:w="955" w:type="dxa"/>
            <w:tcBorders>
              <w:top w:val="nil"/>
              <w:left w:val="nil"/>
              <w:bottom w:val="single" w:sz="4" w:space="0" w:color="auto"/>
              <w:right w:val="single" w:sz="4" w:space="0" w:color="auto"/>
            </w:tcBorders>
            <w:shd w:val="clear" w:color="auto" w:fill="auto"/>
            <w:vAlign w:val="center"/>
            <w:hideMark/>
          </w:tcPr>
          <w:p w14:paraId="23E44E3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0898C5A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67E4852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2172" w:type="dxa"/>
            <w:tcBorders>
              <w:top w:val="nil"/>
              <w:left w:val="nil"/>
              <w:bottom w:val="single" w:sz="4" w:space="0" w:color="auto"/>
              <w:right w:val="single" w:sz="4" w:space="0" w:color="auto"/>
            </w:tcBorders>
            <w:shd w:val="clear" w:color="000000" w:fill="FFFFFF"/>
            <w:vAlign w:val="center"/>
            <w:hideMark/>
          </w:tcPr>
          <w:p w14:paraId="44D59E1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Arsyet kryesore të propozimit të projektaktit lidhen me plotësimin dhe përmirësimin e kuadrit ligjor për menaxhimin e integruar të burimeve ujore në përgjithësi, dhe përcaktimin e kufijve territorialë dhe hidrografikë i në përpudhje me lgjin e ri të burimeve ujore, gjithashtu do të përcaktoje përbërjen e Këshillave të Baseneve Lumorë si një nga organet e menaxhhimit të burimeve ujore, si dhe elementet e nevojshëm të informacionit që do të duhet të publikohet për secilin prej autoriteve kompetente, në përputhje me legjislacionin Evropian</w:t>
            </w:r>
          </w:p>
        </w:tc>
        <w:tc>
          <w:tcPr>
            <w:tcW w:w="1740" w:type="dxa"/>
            <w:tcBorders>
              <w:top w:val="nil"/>
              <w:left w:val="nil"/>
              <w:bottom w:val="single" w:sz="4" w:space="0" w:color="auto"/>
              <w:right w:val="single" w:sz="4" w:space="0" w:color="auto"/>
            </w:tcBorders>
            <w:shd w:val="clear" w:color="auto" w:fill="auto"/>
            <w:vAlign w:val="center"/>
            <w:hideMark/>
          </w:tcPr>
          <w:p w14:paraId="521F69B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parashikon përcaktimin e kufijve territorialë dhe hidrografikë i në përpudhje me lgjin e ri të burimeve ujore, gjithashtu do të përcaktoje përbërjen e Këshillave të Baseneve Lumorë si një nga organet e menaxhhimit të burimeve ujore, si dhe elementet e nevojshëm të informacionit që do të duhet të publikohet për secilin prej autoriteve kompetente.</w:t>
            </w:r>
          </w:p>
        </w:tc>
        <w:tc>
          <w:tcPr>
            <w:tcW w:w="1082" w:type="dxa"/>
            <w:tcBorders>
              <w:top w:val="nil"/>
              <w:left w:val="nil"/>
              <w:bottom w:val="single" w:sz="4" w:space="0" w:color="auto"/>
              <w:right w:val="single" w:sz="4" w:space="0" w:color="auto"/>
            </w:tcBorders>
            <w:shd w:val="clear" w:color="000000" w:fill="FFFFFF"/>
            <w:vAlign w:val="center"/>
            <w:hideMark/>
          </w:tcPr>
          <w:p w14:paraId="1A269D1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w:t>
            </w:r>
          </w:p>
        </w:tc>
        <w:tc>
          <w:tcPr>
            <w:tcW w:w="1030" w:type="dxa"/>
            <w:tcBorders>
              <w:top w:val="nil"/>
              <w:left w:val="nil"/>
              <w:bottom w:val="single" w:sz="4" w:space="0" w:color="000000"/>
              <w:right w:val="nil"/>
            </w:tcBorders>
            <w:shd w:val="clear" w:color="auto" w:fill="auto"/>
            <w:vAlign w:val="center"/>
            <w:hideMark/>
          </w:tcPr>
          <w:p w14:paraId="56665E5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single" w:sz="4" w:space="0" w:color="000000"/>
              <w:bottom w:val="single" w:sz="4" w:space="0" w:color="000000"/>
              <w:right w:val="nil"/>
            </w:tcBorders>
            <w:shd w:val="clear" w:color="auto" w:fill="auto"/>
            <w:vAlign w:val="center"/>
            <w:hideMark/>
          </w:tcPr>
          <w:p w14:paraId="303F072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2018-2030</w:t>
            </w:r>
          </w:p>
        </w:tc>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D02362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4EECB549"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7F17497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3</w:t>
            </w:r>
          </w:p>
        </w:tc>
        <w:tc>
          <w:tcPr>
            <w:tcW w:w="1466" w:type="dxa"/>
            <w:tcBorders>
              <w:top w:val="nil"/>
              <w:left w:val="nil"/>
              <w:bottom w:val="single" w:sz="4" w:space="0" w:color="auto"/>
              <w:right w:val="single" w:sz="4" w:space="0" w:color="auto"/>
            </w:tcBorders>
            <w:shd w:val="clear" w:color="auto" w:fill="auto"/>
            <w:vAlign w:val="center"/>
            <w:hideMark/>
          </w:tcPr>
          <w:p w14:paraId="3B6A5A0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analizën e karakteristikave, përcaktimin e elementëve të cilësisë të trupave ujorë sipërfaqësorë,  klasifikimin e tyre dhe vlerësimin e ndikimit të aktivitetit njerëzor</w:t>
            </w:r>
          </w:p>
        </w:tc>
        <w:tc>
          <w:tcPr>
            <w:tcW w:w="955" w:type="dxa"/>
            <w:tcBorders>
              <w:top w:val="nil"/>
              <w:left w:val="nil"/>
              <w:bottom w:val="single" w:sz="4" w:space="0" w:color="auto"/>
              <w:right w:val="single" w:sz="4" w:space="0" w:color="auto"/>
            </w:tcBorders>
            <w:shd w:val="clear" w:color="auto" w:fill="auto"/>
            <w:vAlign w:val="center"/>
            <w:hideMark/>
          </w:tcPr>
          <w:p w14:paraId="7A0DC6C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7D902F5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1F73FAB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3F64F7B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Arsyet kryesore të propozimit të projektaktit lidhen me plotësimin dhe përmirësimin e  kuadrit ligjor për menaxhimin e integruar të burimeve ujore në përgjithësi dhe përcaktimin e  specifikimeve teknike për kryerjen e analizës së karakteristikave të rajoneve të BL-së, vlerësimin e ndikimit të veprimtarive njerëzore në statusin e trupave ujorë sipërfaqësorë, analizën ekonomike të përdorimit të ujit, në veçanti, në përputhje me legjislacionin Evropian. </w:t>
            </w:r>
          </w:p>
        </w:tc>
        <w:tc>
          <w:tcPr>
            <w:tcW w:w="1740" w:type="dxa"/>
            <w:tcBorders>
              <w:top w:val="nil"/>
              <w:left w:val="nil"/>
              <w:bottom w:val="single" w:sz="4" w:space="0" w:color="auto"/>
              <w:right w:val="single" w:sz="4" w:space="0" w:color="auto"/>
            </w:tcBorders>
            <w:shd w:val="clear" w:color="auto" w:fill="auto"/>
            <w:vAlign w:val="center"/>
            <w:hideMark/>
          </w:tcPr>
          <w:p w14:paraId="1F7F45A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përcakton kërkesat për kryerjen e analizës së karakteristikave dhe vlerësimin e ndikimit te aktivitetit njerëzor në statusin e ujërave sipërfaqësore, përcaktimin e elementëve të cilësisë dhe klasifikimin e statusit ekologjik trupave ujorë sipërfaqësorë, të cilësisë ekologjike shumë të mirë, të mirë dhe mesatare të ujërave sipërfaqësorë, kriteret e potencialit ekologjik shumë të mirë, të mirë dhe mesatar të një trupi ujor tepër të modifikuar ose artificial si dhe procedurën e përcaktimit  të standardeve të cilësisë kimike</w:t>
            </w:r>
          </w:p>
        </w:tc>
        <w:tc>
          <w:tcPr>
            <w:tcW w:w="1082" w:type="dxa"/>
            <w:tcBorders>
              <w:top w:val="nil"/>
              <w:left w:val="nil"/>
              <w:bottom w:val="single" w:sz="4" w:space="0" w:color="auto"/>
              <w:right w:val="single" w:sz="4" w:space="0" w:color="auto"/>
            </w:tcBorders>
            <w:shd w:val="clear" w:color="000000" w:fill="FFFFFF"/>
            <w:vAlign w:val="center"/>
            <w:hideMark/>
          </w:tcPr>
          <w:p w14:paraId="709EDC6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w:t>
            </w:r>
          </w:p>
        </w:tc>
        <w:tc>
          <w:tcPr>
            <w:tcW w:w="1030" w:type="dxa"/>
            <w:tcBorders>
              <w:top w:val="nil"/>
              <w:left w:val="nil"/>
              <w:bottom w:val="single" w:sz="4" w:space="0" w:color="000000"/>
              <w:right w:val="single" w:sz="4" w:space="0" w:color="000000"/>
            </w:tcBorders>
            <w:shd w:val="clear" w:color="auto" w:fill="auto"/>
            <w:vAlign w:val="center"/>
            <w:hideMark/>
          </w:tcPr>
          <w:p w14:paraId="197AF82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000000"/>
              <w:right w:val="nil"/>
            </w:tcBorders>
            <w:shd w:val="clear" w:color="auto" w:fill="auto"/>
            <w:vAlign w:val="center"/>
            <w:hideMark/>
          </w:tcPr>
          <w:p w14:paraId="1D8E864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2018-2031</w:t>
            </w:r>
          </w:p>
        </w:tc>
        <w:tc>
          <w:tcPr>
            <w:tcW w:w="2122" w:type="dxa"/>
            <w:tcBorders>
              <w:top w:val="nil"/>
              <w:left w:val="single" w:sz="4" w:space="0" w:color="auto"/>
              <w:bottom w:val="single" w:sz="4" w:space="0" w:color="auto"/>
              <w:right w:val="single" w:sz="4" w:space="0" w:color="auto"/>
            </w:tcBorders>
            <w:shd w:val="clear" w:color="000000" w:fill="FFFFFF"/>
            <w:vAlign w:val="center"/>
            <w:hideMark/>
          </w:tcPr>
          <w:p w14:paraId="7FC1F54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423D54DD"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9F3866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4</w:t>
            </w:r>
          </w:p>
        </w:tc>
        <w:tc>
          <w:tcPr>
            <w:tcW w:w="1466" w:type="dxa"/>
            <w:tcBorders>
              <w:top w:val="nil"/>
              <w:left w:val="nil"/>
              <w:bottom w:val="single" w:sz="4" w:space="0" w:color="auto"/>
              <w:right w:val="single" w:sz="4" w:space="0" w:color="auto"/>
            </w:tcBorders>
            <w:shd w:val="clear" w:color="auto" w:fill="auto"/>
            <w:vAlign w:val="center"/>
            <w:hideMark/>
          </w:tcPr>
          <w:p w14:paraId="3E7862A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Per miratimin e rregullores se monitorimit dhe vlerësimit të statusit të ujërave</w:t>
            </w:r>
          </w:p>
        </w:tc>
        <w:tc>
          <w:tcPr>
            <w:tcW w:w="955" w:type="dxa"/>
            <w:tcBorders>
              <w:top w:val="nil"/>
              <w:left w:val="nil"/>
              <w:bottom w:val="single" w:sz="4" w:space="0" w:color="auto"/>
              <w:right w:val="single" w:sz="4" w:space="0" w:color="auto"/>
            </w:tcBorders>
            <w:shd w:val="clear" w:color="auto" w:fill="auto"/>
            <w:vAlign w:val="center"/>
            <w:hideMark/>
          </w:tcPr>
          <w:p w14:paraId="2B6C975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7FF6270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2143927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3856496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Arsyet kryesore të propozimit të projektaktit lidhen me plotësimin dhe përmirësimin e  kuadrit ligjor për menaxhimin e integruar të burimeve ujore në përgjithësi  dhe përcaktimin e kërkesave për monitorimin e statusit ekologjik dhe kimik të ujërave sipërfaqësore, kërkesat shtesë të monitorimit për zonat e mbrojtura dhe klasifikimin e paraqitjen e statusit ekologjik, në veçanti, në Republikën e </w:t>
            </w:r>
            <w:r w:rsidRPr="00727111">
              <w:rPr>
                <w:rFonts w:ascii="Garamond" w:hAnsi="Garamond"/>
                <w:color w:val="000000"/>
                <w:sz w:val="12"/>
                <w:szCs w:val="12"/>
                <w:lang w:eastAsia="sq-AL"/>
              </w:rPr>
              <w:lastRenderedPageBreak/>
              <w:t>Shqipërisë, në përputhje me legjislacionin Evropian.</w:t>
            </w:r>
          </w:p>
        </w:tc>
        <w:tc>
          <w:tcPr>
            <w:tcW w:w="1740" w:type="dxa"/>
            <w:tcBorders>
              <w:top w:val="nil"/>
              <w:left w:val="nil"/>
              <w:bottom w:val="single" w:sz="4" w:space="0" w:color="auto"/>
              <w:right w:val="single" w:sz="4" w:space="0" w:color="auto"/>
            </w:tcBorders>
            <w:shd w:val="clear" w:color="auto" w:fill="auto"/>
            <w:vAlign w:val="center"/>
            <w:hideMark/>
          </w:tcPr>
          <w:p w14:paraId="614BB9E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Projektvendimi do të përcaktojë rregullimin e detajuar të të gjitha aspekteve që lidhen me monitorimin e statusit të ujërave sipërfaqësore dhe zonave të mbrojtura, si dhe specifikimet teknike për analizën kimike dhe monitorimin.</w:t>
            </w:r>
          </w:p>
        </w:tc>
        <w:tc>
          <w:tcPr>
            <w:tcW w:w="1082" w:type="dxa"/>
            <w:tcBorders>
              <w:top w:val="nil"/>
              <w:left w:val="nil"/>
              <w:bottom w:val="single" w:sz="4" w:space="0" w:color="auto"/>
              <w:right w:val="single" w:sz="4" w:space="0" w:color="auto"/>
            </w:tcBorders>
            <w:shd w:val="clear" w:color="000000" w:fill="FFFFFF"/>
            <w:vAlign w:val="center"/>
            <w:hideMark/>
          </w:tcPr>
          <w:p w14:paraId="3127D4E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w:t>
            </w:r>
          </w:p>
        </w:tc>
        <w:tc>
          <w:tcPr>
            <w:tcW w:w="1030" w:type="dxa"/>
            <w:tcBorders>
              <w:top w:val="nil"/>
              <w:left w:val="nil"/>
              <w:bottom w:val="single" w:sz="4" w:space="0" w:color="000000"/>
              <w:right w:val="single" w:sz="4" w:space="0" w:color="000000"/>
            </w:tcBorders>
            <w:shd w:val="clear" w:color="auto" w:fill="auto"/>
            <w:vAlign w:val="center"/>
            <w:hideMark/>
          </w:tcPr>
          <w:p w14:paraId="60201AD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000000"/>
              <w:right w:val="nil"/>
            </w:tcBorders>
            <w:shd w:val="clear" w:color="auto" w:fill="auto"/>
            <w:vAlign w:val="center"/>
            <w:hideMark/>
          </w:tcPr>
          <w:p w14:paraId="4AB2209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2018-2032</w:t>
            </w:r>
          </w:p>
        </w:tc>
        <w:tc>
          <w:tcPr>
            <w:tcW w:w="2122" w:type="dxa"/>
            <w:tcBorders>
              <w:top w:val="nil"/>
              <w:left w:val="single" w:sz="4" w:space="0" w:color="auto"/>
              <w:bottom w:val="single" w:sz="4" w:space="0" w:color="auto"/>
              <w:right w:val="single" w:sz="4" w:space="0" w:color="auto"/>
            </w:tcBorders>
            <w:shd w:val="clear" w:color="000000" w:fill="FFFFFF"/>
            <w:vAlign w:val="center"/>
            <w:hideMark/>
          </w:tcPr>
          <w:p w14:paraId="2E99181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7B3728FE"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5ED727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5</w:t>
            </w:r>
          </w:p>
        </w:tc>
        <w:tc>
          <w:tcPr>
            <w:tcW w:w="1466" w:type="dxa"/>
            <w:tcBorders>
              <w:top w:val="nil"/>
              <w:left w:val="nil"/>
              <w:bottom w:val="nil"/>
              <w:right w:val="nil"/>
            </w:tcBorders>
            <w:shd w:val="clear" w:color="auto" w:fill="auto"/>
            <w:vAlign w:val="center"/>
            <w:hideMark/>
          </w:tcPr>
          <w:p w14:paraId="414CD9F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specifikimeve teknike për kryerjen e analizës dhe vlerësimin, monitorimin e statusit sasior dhe kimik, standardet e cilësisë si dhe procedurën për vlerësimin e statusit kimik të ujërave nëntokësorë</w:t>
            </w:r>
          </w:p>
        </w:tc>
        <w:tc>
          <w:tcPr>
            <w:tcW w:w="955" w:type="dxa"/>
            <w:tcBorders>
              <w:top w:val="nil"/>
              <w:left w:val="single" w:sz="4" w:space="0" w:color="auto"/>
              <w:bottom w:val="single" w:sz="4" w:space="0" w:color="auto"/>
              <w:right w:val="single" w:sz="4" w:space="0" w:color="auto"/>
            </w:tcBorders>
            <w:shd w:val="clear" w:color="auto" w:fill="auto"/>
            <w:vAlign w:val="center"/>
            <w:hideMark/>
          </w:tcPr>
          <w:p w14:paraId="3C53461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61B53E1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011AFE3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0397A7B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Arsyet kryesore të propozimit të projektaktit lidhen me plotësimin dhe përmirësimin e  kuadrit ligjor për menaxhimin e integruar të burimeve ujore në përgjithësi  dhe përcaktimin e kërkesave për mbrojtjen e ujërave nëntokësorë nga ndotja dhe përkeqësimi në veçanti, në Republikën e Shqipërisë, në përputhje me legjislacionin Evropian. </w:t>
            </w:r>
          </w:p>
        </w:tc>
        <w:tc>
          <w:tcPr>
            <w:tcW w:w="1740" w:type="dxa"/>
            <w:tcBorders>
              <w:top w:val="nil"/>
              <w:left w:val="nil"/>
              <w:bottom w:val="single" w:sz="4" w:space="0" w:color="auto"/>
              <w:right w:val="single" w:sz="4" w:space="0" w:color="auto"/>
            </w:tcBorders>
            <w:shd w:val="clear" w:color="auto" w:fill="auto"/>
            <w:vAlign w:val="center"/>
            <w:hideMark/>
          </w:tcPr>
          <w:p w14:paraId="6C095372" w14:textId="77777777" w:rsidR="00687E30" w:rsidRPr="00727111" w:rsidRDefault="00687E30" w:rsidP="00687E30">
            <w:pPr>
              <w:jc w:val="center"/>
              <w:rPr>
                <w:rFonts w:ascii="Garamond" w:hAnsi="Garamond"/>
                <w:color w:val="000000"/>
                <w:sz w:val="12"/>
                <w:szCs w:val="12"/>
                <w:lang w:eastAsia="sq-AL"/>
              </w:rPr>
            </w:pPr>
            <w:bookmarkStart w:id="2" w:name="RANGE!G8"/>
            <w:r w:rsidRPr="00727111">
              <w:rPr>
                <w:rFonts w:ascii="Garamond" w:hAnsi="Garamond"/>
                <w:color w:val="000000"/>
                <w:sz w:val="12"/>
                <w:szCs w:val="12"/>
                <w:lang w:eastAsia="sq-AL"/>
              </w:rPr>
              <w:t xml:space="preserve">Projektvendimin synon përcaktimin e specifikimeve teknike për kryerjen e analizës dhe vlerësimeve  lidhur me karakteristikat e rajoneve të baseneve lumore, vlerësimin e ndikimit të aktivitetit njerzor, ndryshimeve në nivelin e trupave ujorë nëntokësorë, si dhe vlerësimin e ndikimit të e ndotjes  në to; përcaktimin e specifikimeve teknike  për kryerjen e monitorimeve të statusit sasior dhe kimik të këtyre ujërave; përcaktimin e standardeve të cilësisë për këto ujëra si dhe procedurën për vlerësimin e statusit kimik të të tyre. </w:t>
            </w:r>
            <w:bookmarkEnd w:id="2"/>
          </w:p>
        </w:tc>
        <w:tc>
          <w:tcPr>
            <w:tcW w:w="1082" w:type="dxa"/>
            <w:tcBorders>
              <w:top w:val="nil"/>
              <w:left w:val="nil"/>
              <w:bottom w:val="single" w:sz="4" w:space="0" w:color="auto"/>
              <w:right w:val="single" w:sz="4" w:space="0" w:color="auto"/>
            </w:tcBorders>
            <w:shd w:val="clear" w:color="000000" w:fill="FFFFFF"/>
            <w:vAlign w:val="center"/>
            <w:hideMark/>
          </w:tcPr>
          <w:p w14:paraId="3CD3247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w:t>
            </w:r>
          </w:p>
        </w:tc>
        <w:tc>
          <w:tcPr>
            <w:tcW w:w="1030" w:type="dxa"/>
            <w:tcBorders>
              <w:top w:val="nil"/>
              <w:left w:val="nil"/>
              <w:bottom w:val="single" w:sz="4" w:space="0" w:color="000000"/>
              <w:right w:val="single" w:sz="4" w:space="0" w:color="000000"/>
            </w:tcBorders>
            <w:shd w:val="clear" w:color="auto" w:fill="auto"/>
            <w:vAlign w:val="center"/>
            <w:hideMark/>
          </w:tcPr>
          <w:p w14:paraId="0B2A16E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000000"/>
              <w:right w:val="nil"/>
            </w:tcBorders>
            <w:shd w:val="clear" w:color="auto" w:fill="auto"/>
            <w:vAlign w:val="center"/>
            <w:hideMark/>
          </w:tcPr>
          <w:p w14:paraId="68BCC46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2018-2033</w:t>
            </w:r>
          </w:p>
        </w:tc>
        <w:tc>
          <w:tcPr>
            <w:tcW w:w="2122" w:type="dxa"/>
            <w:tcBorders>
              <w:top w:val="nil"/>
              <w:left w:val="single" w:sz="4" w:space="0" w:color="auto"/>
              <w:bottom w:val="single" w:sz="4" w:space="0" w:color="auto"/>
              <w:right w:val="single" w:sz="4" w:space="0" w:color="auto"/>
            </w:tcBorders>
            <w:shd w:val="clear" w:color="000000" w:fill="FFFFFF"/>
            <w:vAlign w:val="center"/>
            <w:hideMark/>
          </w:tcPr>
          <w:p w14:paraId="2CC7774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38862A18"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E2C887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6</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14:paraId="5D7B2DB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Per miratimin e listes së substancave, standardeve të cilësisë mjedisorë të tyre dhe listën kombëtare të vëzhgimit</w:t>
            </w:r>
          </w:p>
        </w:tc>
        <w:tc>
          <w:tcPr>
            <w:tcW w:w="955" w:type="dxa"/>
            <w:tcBorders>
              <w:top w:val="nil"/>
              <w:left w:val="nil"/>
              <w:bottom w:val="single" w:sz="4" w:space="0" w:color="auto"/>
              <w:right w:val="single" w:sz="4" w:space="0" w:color="auto"/>
            </w:tcBorders>
            <w:shd w:val="clear" w:color="auto" w:fill="auto"/>
            <w:vAlign w:val="center"/>
            <w:hideMark/>
          </w:tcPr>
          <w:p w14:paraId="5996B1E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0534E47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592E278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5AAF9F5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Arsyet kryesore të propozimit të projektaktit lidhen me plotësimin dhe përmirësimin e  kuadrit ligjor për menaxhimin e integruar të burimeve ujore në përgjithësi  dhe përcaktimin e standardeve të cilësisë mjedisore në fushën e politikave për burimet ujore në veçanti, në Republikën e Shqipërisë, në përputhje me legjislacionin Evropian</w:t>
            </w:r>
          </w:p>
        </w:tc>
        <w:tc>
          <w:tcPr>
            <w:tcW w:w="1740" w:type="dxa"/>
            <w:tcBorders>
              <w:top w:val="nil"/>
              <w:left w:val="nil"/>
              <w:bottom w:val="single" w:sz="4" w:space="0" w:color="auto"/>
              <w:right w:val="single" w:sz="4" w:space="0" w:color="auto"/>
            </w:tcBorders>
            <w:shd w:val="clear" w:color="auto" w:fill="auto"/>
            <w:vAlign w:val="center"/>
            <w:hideMark/>
          </w:tcPr>
          <w:p w14:paraId="1E80AE0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Projektvendimi synon përcaktimin e listës së substancave prioriteteve dhe substancave të rrezikshme prioritare, përcaktimin e listës së standardeve të cilësisë mjedisore për substancat prioritare dhe substancat e rrezikshme prioritare, përcaktimin e kërkesave për zbatimin e standardeve të cilësisë mjedisore; përcaktimi i standardeve të cilësisë mjedisore për dioksinat, PTB-të dhe substancat e ngjashme me dioksinat në artikujt ushqimorë; e listës së substancave prioritare për të cilat duhet të arrihet standardi i cilësisë mjedisore, si një element i statusit të mirë kimik të ujërave sipërfaqësore; e listës së substancave prioritare që priren të akumulohen në sediment dhe në biotë, si dhe përckatimin e listës komëtare të vëzhgimit.</w:t>
            </w:r>
          </w:p>
        </w:tc>
        <w:tc>
          <w:tcPr>
            <w:tcW w:w="1082" w:type="dxa"/>
            <w:tcBorders>
              <w:top w:val="nil"/>
              <w:left w:val="nil"/>
              <w:bottom w:val="single" w:sz="4" w:space="0" w:color="auto"/>
              <w:right w:val="single" w:sz="4" w:space="0" w:color="auto"/>
            </w:tcBorders>
            <w:shd w:val="clear" w:color="000000" w:fill="FFFFFF"/>
            <w:vAlign w:val="center"/>
            <w:hideMark/>
          </w:tcPr>
          <w:p w14:paraId="49A0880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w:t>
            </w:r>
          </w:p>
        </w:tc>
        <w:tc>
          <w:tcPr>
            <w:tcW w:w="1030" w:type="dxa"/>
            <w:tcBorders>
              <w:top w:val="nil"/>
              <w:left w:val="nil"/>
              <w:bottom w:val="single" w:sz="4" w:space="0" w:color="000000"/>
              <w:right w:val="single" w:sz="4" w:space="0" w:color="000000"/>
            </w:tcBorders>
            <w:shd w:val="clear" w:color="auto" w:fill="auto"/>
            <w:vAlign w:val="center"/>
            <w:hideMark/>
          </w:tcPr>
          <w:p w14:paraId="2E8F2D5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000000"/>
              <w:right w:val="nil"/>
            </w:tcBorders>
            <w:shd w:val="clear" w:color="auto" w:fill="auto"/>
            <w:vAlign w:val="center"/>
            <w:hideMark/>
          </w:tcPr>
          <w:p w14:paraId="45CB304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2018-2034</w:t>
            </w:r>
          </w:p>
        </w:tc>
        <w:tc>
          <w:tcPr>
            <w:tcW w:w="2122" w:type="dxa"/>
            <w:tcBorders>
              <w:top w:val="nil"/>
              <w:left w:val="single" w:sz="4" w:space="0" w:color="auto"/>
              <w:bottom w:val="single" w:sz="4" w:space="0" w:color="auto"/>
              <w:right w:val="single" w:sz="4" w:space="0" w:color="auto"/>
            </w:tcBorders>
            <w:shd w:val="clear" w:color="auto" w:fill="auto"/>
            <w:vAlign w:val="center"/>
            <w:hideMark/>
          </w:tcPr>
          <w:p w14:paraId="1F09080A"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jo</w:t>
            </w:r>
          </w:p>
        </w:tc>
      </w:tr>
      <w:tr w:rsidR="00687E30" w:rsidRPr="00727111" w14:paraId="48353DE9"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E09B8F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7</w:t>
            </w:r>
          </w:p>
        </w:tc>
        <w:tc>
          <w:tcPr>
            <w:tcW w:w="1466" w:type="dxa"/>
            <w:tcBorders>
              <w:top w:val="nil"/>
              <w:left w:val="nil"/>
              <w:bottom w:val="single" w:sz="4" w:space="0" w:color="auto"/>
              <w:right w:val="single" w:sz="4" w:space="0" w:color="auto"/>
            </w:tcBorders>
            <w:shd w:val="clear" w:color="auto" w:fill="auto"/>
            <w:vAlign w:val="center"/>
            <w:hideMark/>
          </w:tcPr>
          <w:p w14:paraId="260A3BF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listës së substancave ndotëse, si dhe vlerave kufi të emetimeve të ujërave të ndotura nga burimet industriale</w:t>
            </w:r>
          </w:p>
        </w:tc>
        <w:tc>
          <w:tcPr>
            <w:tcW w:w="955" w:type="dxa"/>
            <w:tcBorders>
              <w:top w:val="nil"/>
              <w:left w:val="nil"/>
              <w:bottom w:val="single" w:sz="4" w:space="0" w:color="auto"/>
              <w:right w:val="single" w:sz="4" w:space="0" w:color="auto"/>
            </w:tcBorders>
            <w:shd w:val="clear" w:color="auto" w:fill="auto"/>
            <w:vAlign w:val="center"/>
            <w:hideMark/>
          </w:tcPr>
          <w:p w14:paraId="71AC4BB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79E0F65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4657E34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2172" w:type="dxa"/>
            <w:tcBorders>
              <w:top w:val="nil"/>
              <w:left w:val="nil"/>
              <w:bottom w:val="single" w:sz="4" w:space="0" w:color="auto"/>
              <w:right w:val="single" w:sz="4" w:space="0" w:color="auto"/>
            </w:tcBorders>
            <w:shd w:val="clear" w:color="000000" w:fill="FFFFFF"/>
            <w:vAlign w:val="center"/>
            <w:hideMark/>
          </w:tcPr>
          <w:p w14:paraId="34B76CD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Arsyet kryesore të propozimit të projektaktit lidhen me plotësimin dhe përmirësimin e  kuadrit ligjor për menaxhimin e integruar të burimeve ujore në përgjithësi  dhe përcaktimin e vlerave kufi  të emetimeve për ujërat e ndotura nga burimet industriale, në veçanti, në Republikën e Shqipërisë, në përputhje me legjislacionin Evropian.</w:t>
            </w:r>
          </w:p>
        </w:tc>
        <w:tc>
          <w:tcPr>
            <w:tcW w:w="1740" w:type="dxa"/>
            <w:tcBorders>
              <w:top w:val="nil"/>
              <w:left w:val="nil"/>
              <w:bottom w:val="single" w:sz="4" w:space="0" w:color="auto"/>
              <w:right w:val="single" w:sz="4" w:space="0" w:color="auto"/>
            </w:tcBorders>
            <w:shd w:val="clear" w:color="auto" w:fill="auto"/>
            <w:vAlign w:val="center"/>
            <w:hideMark/>
          </w:tcPr>
          <w:p w14:paraId="7BD66D15"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Projektvendimi synon përcaktimin e listës së substancave ndotëse, të kushteve dhe kërkesave të veçanta për impiantet e incenerimit dhe bashkincenerimit të mbetjeve; përcaktimin e kushteve dhe kërkesave të veçanta për instalimet dhe veprimtaritë që përdorin tretës organikë, të cilat synojnë mbajtjen nën kontroll të emetimeve aksidentale, përcaktimi i kushteve dhe kërkesave të veçanta lidhur me instalimet që prodhojnë dioksid titani, përcaktimin e kritereve për identifikimin e teknikave më </w:t>
            </w:r>
            <w:r w:rsidRPr="00727111">
              <w:rPr>
                <w:rFonts w:ascii="Garamond" w:hAnsi="Garamond"/>
                <w:sz w:val="12"/>
                <w:szCs w:val="12"/>
                <w:lang w:eastAsia="sq-AL"/>
              </w:rPr>
              <w:lastRenderedPageBreak/>
              <w:t>të mira të disponueshme lidhur me burimet ujore.</w:t>
            </w:r>
          </w:p>
        </w:tc>
        <w:tc>
          <w:tcPr>
            <w:tcW w:w="1082" w:type="dxa"/>
            <w:tcBorders>
              <w:top w:val="nil"/>
              <w:left w:val="nil"/>
              <w:bottom w:val="single" w:sz="4" w:space="0" w:color="auto"/>
              <w:right w:val="single" w:sz="4" w:space="0" w:color="auto"/>
            </w:tcBorders>
            <w:shd w:val="clear" w:color="000000" w:fill="FFFFFF"/>
            <w:vAlign w:val="center"/>
            <w:hideMark/>
          </w:tcPr>
          <w:p w14:paraId="6C23B2B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po (Kapitulli 27)</w:t>
            </w:r>
          </w:p>
        </w:tc>
        <w:tc>
          <w:tcPr>
            <w:tcW w:w="1030" w:type="dxa"/>
            <w:tcBorders>
              <w:top w:val="nil"/>
              <w:left w:val="nil"/>
              <w:bottom w:val="single" w:sz="4" w:space="0" w:color="000000"/>
              <w:right w:val="single" w:sz="4" w:space="0" w:color="000000"/>
            </w:tcBorders>
            <w:shd w:val="clear" w:color="auto" w:fill="auto"/>
            <w:vAlign w:val="center"/>
            <w:hideMark/>
          </w:tcPr>
          <w:p w14:paraId="308B181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000000"/>
              <w:right w:val="nil"/>
            </w:tcBorders>
            <w:shd w:val="clear" w:color="auto" w:fill="auto"/>
            <w:vAlign w:val="center"/>
            <w:hideMark/>
          </w:tcPr>
          <w:p w14:paraId="632780C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2018-2035</w:t>
            </w:r>
          </w:p>
        </w:tc>
        <w:tc>
          <w:tcPr>
            <w:tcW w:w="2122" w:type="dxa"/>
            <w:tcBorders>
              <w:top w:val="nil"/>
              <w:left w:val="single" w:sz="4" w:space="0" w:color="auto"/>
              <w:bottom w:val="single" w:sz="4" w:space="0" w:color="auto"/>
              <w:right w:val="single" w:sz="4" w:space="0" w:color="auto"/>
            </w:tcBorders>
            <w:shd w:val="clear" w:color="auto" w:fill="auto"/>
            <w:vAlign w:val="center"/>
            <w:hideMark/>
          </w:tcPr>
          <w:p w14:paraId="7D83E6A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653C6FB6"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D94DD0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8</w:t>
            </w:r>
          </w:p>
        </w:tc>
        <w:tc>
          <w:tcPr>
            <w:tcW w:w="1466" w:type="dxa"/>
            <w:tcBorders>
              <w:top w:val="nil"/>
              <w:left w:val="nil"/>
              <w:bottom w:val="single" w:sz="4" w:space="0" w:color="auto"/>
              <w:right w:val="single" w:sz="4" w:space="0" w:color="auto"/>
            </w:tcBorders>
            <w:shd w:val="clear" w:color="auto" w:fill="auto"/>
            <w:vAlign w:val="center"/>
            <w:hideMark/>
          </w:tcPr>
          <w:p w14:paraId="12EF1C2C" w14:textId="77777777" w:rsidR="00687E30" w:rsidRPr="00727111" w:rsidRDefault="00687E30" w:rsidP="00687E30">
            <w:pPr>
              <w:jc w:val="center"/>
              <w:rPr>
                <w:rFonts w:ascii="Garamond" w:hAnsi="Garamond"/>
                <w:color w:val="000000"/>
                <w:sz w:val="12"/>
                <w:szCs w:val="12"/>
                <w:lang w:eastAsia="sq-AL"/>
              </w:rPr>
            </w:pPr>
            <w:bookmarkStart w:id="3" w:name="RANGE!B11"/>
            <w:r w:rsidRPr="00727111">
              <w:rPr>
                <w:rFonts w:ascii="Garamond" w:hAnsi="Garamond"/>
                <w:color w:val="000000"/>
                <w:sz w:val="12"/>
                <w:szCs w:val="12"/>
                <w:lang w:eastAsia="sq-AL"/>
              </w:rPr>
              <w:t xml:space="preserve"> Për miratimin e planit të menaxhimit të riskut nga përmbytjet, për basenin lumor Ishëm</w:t>
            </w:r>
            <w:bookmarkEnd w:id="3"/>
          </w:p>
        </w:tc>
        <w:tc>
          <w:tcPr>
            <w:tcW w:w="955" w:type="dxa"/>
            <w:tcBorders>
              <w:top w:val="nil"/>
              <w:left w:val="nil"/>
              <w:bottom w:val="single" w:sz="4" w:space="0" w:color="auto"/>
              <w:right w:val="single" w:sz="4" w:space="0" w:color="auto"/>
            </w:tcBorders>
            <w:shd w:val="clear" w:color="auto" w:fill="auto"/>
            <w:vAlign w:val="center"/>
            <w:hideMark/>
          </w:tcPr>
          <w:p w14:paraId="7A188F4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1B3DD26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2DBDFFC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6D096162"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Arsyet kryesore të propozimit të pjojektaktit lidhen me Plotësimin, përmirësimin dhe zbatimin e kuadrit ligjor për menaxhimin e burimeve ujore në përgjithësi dhe menaxhimin e riskut nga përmbytjet në veçanti, në Republikën e Shqipërisë, në përputhje me legjislacionin Evropian dhe reduktimi i pasojave të mundshme negative nga përmbytjet për shëndetin e njeriut, mjedisin, trashëgiminë kulturore dhe aktivitetin ekonomik, në Basenin Lumor respektiv. </w:t>
            </w:r>
          </w:p>
        </w:tc>
        <w:tc>
          <w:tcPr>
            <w:tcW w:w="1740" w:type="dxa"/>
            <w:tcBorders>
              <w:top w:val="nil"/>
              <w:left w:val="nil"/>
              <w:bottom w:val="single" w:sz="4" w:space="0" w:color="auto"/>
              <w:right w:val="single" w:sz="4" w:space="0" w:color="auto"/>
            </w:tcBorders>
            <w:shd w:val="clear" w:color="auto" w:fill="auto"/>
            <w:vAlign w:val="center"/>
            <w:hideMark/>
          </w:tcPr>
          <w:p w14:paraId="1BE9D760"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Projektvendimi është në vijim të akteve nënligjore që synojnë të plotësojnë dhe përmirësojnë kuadrin ligjor për menaxhimin e burimeve ujore në përgjithësi dhe menaxhimin e riskut nga përmbytjet në veçanti, në Republikën e Shqipërisë, në përputhje me legjislacionin Evropian. Zbatimi i planit të masave dhe rekomandimeve të Planit të Menaxhimit të Riskut nga Përmbytjet do të ndikojnë në uljen e rrezikut dhe risqeve që vijnë nga përmbytjet në territorin e basenit lumor Ishëm si dhe do të arrijnë objektivat me qëllim reduktimin e pasojave të mundshme negative nga përmbytjet për shëndetin e njeriut, mjedisin, trashëgiminë kulturore dhe aktivitetin ekonomik. </w:t>
            </w:r>
          </w:p>
        </w:tc>
        <w:tc>
          <w:tcPr>
            <w:tcW w:w="1082" w:type="dxa"/>
            <w:tcBorders>
              <w:top w:val="nil"/>
              <w:left w:val="nil"/>
              <w:bottom w:val="single" w:sz="4" w:space="0" w:color="auto"/>
              <w:right w:val="single" w:sz="4" w:space="0" w:color="auto"/>
            </w:tcBorders>
            <w:shd w:val="clear" w:color="000000" w:fill="FFFFFF"/>
            <w:vAlign w:val="center"/>
            <w:hideMark/>
          </w:tcPr>
          <w:p w14:paraId="74F8519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w:t>
            </w:r>
          </w:p>
        </w:tc>
        <w:tc>
          <w:tcPr>
            <w:tcW w:w="1030" w:type="dxa"/>
            <w:tcBorders>
              <w:top w:val="nil"/>
              <w:left w:val="nil"/>
              <w:bottom w:val="nil"/>
              <w:right w:val="single" w:sz="4" w:space="0" w:color="000000"/>
            </w:tcBorders>
            <w:shd w:val="clear" w:color="auto" w:fill="auto"/>
            <w:vAlign w:val="center"/>
            <w:hideMark/>
          </w:tcPr>
          <w:p w14:paraId="755E23C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000000"/>
              <w:right w:val="nil"/>
            </w:tcBorders>
            <w:shd w:val="clear" w:color="auto" w:fill="auto"/>
            <w:vAlign w:val="center"/>
            <w:hideMark/>
          </w:tcPr>
          <w:p w14:paraId="378E9B8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2018-2036</w:t>
            </w:r>
          </w:p>
        </w:tc>
        <w:tc>
          <w:tcPr>
            <w:tcW w:w="2122" w:type="dxa"/>
            <w:tcBorders>
              <w:top w:val="nil"/>
              <w:left w:val="single" w:sz="4" w:space="0" w:color="auto"/>
              <w:bottom w:val="nil"/>
              <w:right w:val="single" w:sz="4" w:space="0" w:color="auto"/>
            </w:tcBorders>
            <w:shd w:val="clear" w:color="auto" w:fill="auto"/>
            <w:vAlign w:val="center"/>
            <w:hideMark/>
          </w:tcPr>
          <w:p w14:paraId="74F1399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471C55AC"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A96892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9</w:t>
            </w:r>
          </w:p>
        </w:tc>
        <w:tc>
          <w:tcPr>
            <w:tcW w:w="1466" w:type="dxa"/>
            <w:tcBorders>
              <w:top w:val="nil"/>
              <w:left w:val="nil"/>
              <w:bottom w:val="single" w:sz="4" w:space="0" w:color="auto"/>
              <w:right w:val="single" w:sz="4" w:space="0" w:color="auto"/>
            </w:tcBorders>
            <w:shd w:val="clear" w:color="auto" w:fill="auto"/>
            <w:vAlign w:val="center"/>
            <w:hideMark/>
          </w:tcPr>
          <w:p w14:paraId="5C17CC6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planit të menaxhimit të riskut nga përmbytjet, për basenin lumor Shkumbin</w:t>
            </w:r>
          </w:p>
        </w:tc>
        <w:tc>
          <w:tcPr>
            <w:tcW w:w="955" w:type="dxa"/>
            <w:tcBorders>
              <w:top w:val="nil"/>
              <w:left w:val="nil"/>
              <w:bottom w:val="single" w:sz="4" w:space="0" w:color="auto"/>
              <w:right w:val="single" w:sz="4" w:space="0" w:color="auto"/>
            </w:tcBorders>
            <w:shd w:val="clear" w:color="auto" w:fill="auto"/>
            <w:noWrap/>
            <w:vAlign w:val="center"/>
            <w:hideMark/>
          </w:tcPr>
          <w:p w14:paraId="18091FE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31189E6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1881C0F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44D3AA21"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Arsyet kryesore të propozimit të pjojektaktit lidhen me Plotësimin, përmirësimin dhe zbatimin e kuadrit ligjor për menaxhimin e burimeve ujore në përgjithësi dhe menaxhimin e riskut nga përmbytjet në veçanti, në Republikën e Shqipërisë, në përputhje me legjislacionin Evropian dhe reduktimi i pasojave të mundshme negative nga përmbytjet për shëndetin e njeriut, mjedisin, trashëgiminë kulturore dhe aktivitetin ekonomik, në Basenin Lumor respektiv. </w:t>
            </w:r>
          </w:p>
        </w:tc>
        <w:tc>
          <w:tcPr>
            <w:tcW w:w="1740" w:type="dxa"/>
            <w:tcBorders>
              <w:top w:val="nil"/>
              <w:left w:val="nil"/>
              <w:bottom w:val="single" w:sz="4" w:space="0" w:color="auto"/>
              <w:right w:val="single" w:sz="4" w:space="0" w:color="auto"/>
            </w:tcBorders>
            <w:shd w:val="clear" w:color="auto" w:fill="auto"/>
            <w:vAlign w:val="center"/>
            <w:hideMark/>
          </w:tcPr>
          <w:p w14:paraId="07327FE5"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Projektvendimi është në vijim të akteve nënligjore që synojnë të plotësojnë dhe përmirësojnë kuadrin ligjor për menaxhimin e burimeve ujore në përgjithësi dhe menaxhimin e riskut nga përmbytjet në veçanti, në Republikën e Shqipërisë, në përputhje me legjislacionin Evropian. Zbatimi i planit të masave dhe rekomandimeve të Planit të Menaxhimit të Riskut nga Përmbytjet do të ndikojnë në uljen e rrezikut dhe risqeve që vijnë nga përmbytjet në territorin e basenit lumor Shkumbin si dhe do të arrijnë objektivat me qëllim reduktimin e pasojave të mundshme negative nga përmbytjet për shëndetin e njeriut, mjedisin, trashëgiminë kulturore dhe aktivitetin ekonomik. </w:t>
            </w:r>
          </w:p>
        </w:tc>
        <w:tc>
          <w:tcPr>
            <w:tcW w:w="1082" w:type="dxa"/>
            <w:tcBorders>
              <w:top w:val="nil"/>
              <w:left w:val="nil"/>
              <w:bottom w:val="single" w:sz="4" w:space="0" w:color="auto"/>
              <w:right w:val="single" w:sz="4" w:space="0" w:color="auto"/>
            </w:tcBorders>
            <w:shd w:val="clear" w:color="000000" w:fill="FFFFFF"/>
            <w:vAlign w:val="center"/>
            <w:hideMark/>
          </w:tcPr>
          <w:p w14:paraId="376127B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w:t>
            </w:r>
          </w:p>
        </w:tc>
        <w:tc>
          <w:tcPr>
            <w:tcW w:w="1030" w:type="dxa"/>
            <w:tcBorders>
              <w:top w:val="single" w:sz="4" w:space="0" w:color="000000"/>
              <w:left w:val="nil"/>
              <w:bottom w:val="nil"/>
              <w:right w:val="single" w:sz="4" w:space="0" w:color="000000"/>
            </w:tcBorders>
            <w:shd w:val="clear" w:color="auto" w:fill="auto"/>
            <w:vAlign w:val="center"/>
            <w:hideMark/>
          </w:tcPr>
          <w:p w14:paraId="253E7CA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000000"/>
              <w:right w:val="nil"/>
            </w:tcBorders>
            <w:shd w:val="clear" w:color="auto" w:fill="auto"/>
            <w:vAlign w:val="center"/>
            <w:hideMark/>
          </w:tcPr>
          <w:p w14:paraId="69415B0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2018-2037</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DEA2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63F401D8"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50F853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10</w:t>
            </w:r>
          </w:p>
        </w:tc>
        <w:tc>
          <w:tcPr>
            <w:tcW w:w="1466" w:type="dxa"/>
            <w:tcBorders>
              <w:top w:val="nil"/>
              <w:left w:val="nil"/>
              <w:bottom w:val="single" w:sz="4" w:space="0" w:color="auto"/>
              <w:right w:val="single" w:sz="4" w:space="0" w:color="auto"/>
            </w:tcBorders>
            <w:shd w:val="clear" w:color="auto" w:fill="auto"/>
            <w:vAlign w:val="center"/>
            <w:hideMark/>
          </w:tcPr>
          <w:p w14:paraId="5F76981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planit të menaxhimit të riskut nga përmbytjet, për basenin lumor Erzen</w:t>
            </w:r>
          </w:p>
        </w:tc>
        <w:tc>
          <w:tcPr>
            <w:tcW w:w="955" w:type="dxa"/>
            <w:tcBorders>
              <w:top w:val="nil"/>
              <w:left w:val="nil"/>
              <w:bottom w:val="single" w:sz="4" w:space="0" w:color="auto"/>
              <w:right w:val="single" w:sz="4" w:space="0" w:color="auto"/>
            </w:tcBorders>
            <w:shd w:val="clear" w:color="auto" w:fill="auto"/>
            <w:noWrap/>
            <w:vAlign w:val="center"/>
            <w:hideMark/>
          </w:tcPr>
          <w:p w14:paraId="63B5E05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536CE4C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139107A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3DDF39FB"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Arsyet kryesore të propozimit të pjojektaktit lidhen me Plotësimin, përmirësimin dhe zbatimin e kuadrit ligjor për menaxhimin e burimeve ujore në përgjithësi dhe menaxhimin e riskut nga përmbytjet në veçanti, në Republikën e Shqipërisë, në përputhje me legjislacionin Evropian dhe reduktimi i pasojave të mundshme negative nga përmbytjet për shëndetin e njeriut, mjedisin, trashëgiminë kulturore dhe aktivitetin ekonomik, në Basenin Lumor respektiv. </w:t>
            </w:r>
          </w:p>
        </w:tc>
        <w:tc>
          <w:tcPr>
            <w:tcW w:w="1740" w:type="dxa"/>
            <w:tcBorders>
              <w:top w:val="nil"/>
              <w:left w:val="nil"/>
              <w:bottom w:val="single" w:sz="4" w:space="0" w:color="auto"/>
              <w:right w:val="single" w:sz="4" w:space="0" w:color="auto"/>
            </w:tcBorders>
            <w:shd w:val="clear" w:color="auto" w:fill="auto"/>
            <w:vAlign w:val="center"/>
            <w:hideMark/>
          </w:tcPr>
          <w:p w14:paraId="37C02162"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Projektvendimi është në vijim të akteve nënligjore që synojnë të plotësojnë dhe përmirësojnë kuadrin ligjor për menaxhimin e burimeve ujore në përgjithësi dhe menaxhimin e riskut nga përmbytjet në veçanti, në Republikën e Shqipërisë, në përputhje me legjislacionin Evropian. Zbatimi i planit të masave dhe rekomandimeve të Planit të Menaxhimit të Riskut nga Përmbytjet do të ndikojnë në uljen e rrezikut dhe risqeve që vijnë nga përmbytjet në territorin e basenit lumor Erzen si dhe do të arrijnë objektivat me qëllim reduktimin e pasojave </w:t>
            </w:r>
            <w:r w:rsidRPr="00727111">
              <w:rPr>
                <w:rFonts w:ascii="Garamond" w:hAnsi="Garamond"/>
                <w:sz w:val="12"/>
                <w:szCs w:val="12"/>
                <w:lang w:eastAsia="sq-AL"/>
              </w:rPr>
              <w:lastRenderedPageBreak/>
              <w:t xml:space="preserve">të mundshme negative nga përmbytjet për shëndetin e njeriut, mjedisin, trashëgiminë kulturore dhe aktivitetin ekonomik. </w:t>
            </w:r>
          </w:p>
        </w:tc>
        <w:tc>
          <w:tcPr>
            <w:tcW w:w="1082" w:type="dxa"/>
            <w:tcBorders>
              <w:top w:val="nil"/>
              <w:left w:val="nil"/>
              <w:bottom w:val="single" w:sz="4" w:space="0" w:color="auto"/>
              <w:right w:val="single" w:sz="4" w:space="0" w:color="auto"/>
            </w:tcBorders>
            <w:shd w:val="clear" w:color="000000" w:fill="FFFFFF"/>
            <w:vAlign w:val="center"/>
            <w:hideMark/>
          </w:tcPr>
          <w:p w14:paraId="60CD863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po (Kapitulli 27)</w:t>
            </w:r>
          </w:p>
        </w:tc>
        <w:tc>
          <w:tcPr>
            <w:tcW w:w="1030" w:type="dxa"/>
            <w:tcBorders>
              <w:top w:val="single" w:sz="4" w:space="0" w:color="000000"/>
              <w:left w:val="nil"/>
              <w:bottom w:val="nil"/>
              <w:right w:val="single" w:sz="4" w:space="0" w:color="000000"/>
            </w:tcBorders>
            <w:shd w:val="clear" w:color="auto" w:fill="auto"/>
            <w:vAlign w:val="center"/>
            <w:hideMark/>
          </w:tcPr>
          <w:p w14:paraId="47A2CF1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000000"/>
              <w:right w:val="nil"/>
            </w:tcBorders>
            <w:shd w:val="clear" w:color="auto" w:fill="auto"/>
            <w:vAlign w:val="center"/>
            <w:hideMark/>
          </w:tcPr>
          <w:p w14:paraId="4BF04AE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2018-2038</w:t>
            </w:r>
          </w:p>
        </w:tc>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C77333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1C034725"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2F79EE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11</w:t>
            </w:r>
          </w:p>
        </w:tc>
        <w:tc>
          <w:tcPr>
            <w:tcW w:w="1466" w:type="dxa"/>
            <w:tcBorders>
              <w:top w:val="nil"/>
              <w:left w:val="nil"/>
              <w:bottom w:val="single" w:sz="4" w:space="0" w:color="auto"/>
              <w:right w:val="single" w:sz="4" w:space="0" w:color="auto"/>
            </w:tcBorders>
            <w:shd w:val="clear" w:color="auto" w:fill="auto"/>
            <w:vAlign w:val="center"/>
            <w:hideMark/>
          </w:tcPr>
          <w:p w14:paraId="1097B8D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planit të menaxhimit të riskut nga përmbytjet, për basenin lumor Seman</w:t>
            </w:r>
          </w:p>
        </w:tc>
        <w:tc>
          <w:tcPr>
            <w:tcW w:w="955" w:type="dxa"/>
            <w:tcBorders>
              <w:top w:val="nil"/>
              <w:left w:val="nil"/>
              <w:bottom w:val="single" w:sz="4" w:space="0" w:color="auto"/>
              <w:right w:val="single" w:sz="4" w:space="0" w:color="auto"/>
            </w:tcBorders>
            <w:shd w:val="clear" w:color="auto" w:fill="auto"/>
            <w:noWrap/>
            <w:vAlign w:val="center"/>
            <w:hideMark/>
          </w:tcPr>
          <w:p w14:paraId="279A0CE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5BEDF81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5353AC6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4C0AA72A"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Arsyet kryesore të propozimit të pjojektaktit lidhen me Plotësimin, përmirësimin dhe zbatimin e kuadrit ligjor për menaxhimin e burimeve ujore në përgjithësi dhe menaxhimin e riskut nga përmbytjet në veçanti, në Republikën e Shqipërisë, në përputhje me legjislacionin Evropian dhe reduktimi i pasojave të mundshme negative nga përmbytjet për shëndetin e njeriut, mjedisin, trashëgiminë kulturore dhe aktivitetin ekonomik, në Basenin Lumor respektiv. </w:t>
            </w:r>
          </w:p>
        </w:tc>
        <w:tc>
          <w:tcPr>
            <w:tcW w:w="1740" w:type="dxa"/>
            <w:tcBorders>
              <w:top w:val="nil"/>
              <w:left w:val="nil"/>
              <w:bottom w:val="single" w:sz="4" w:space="0" w:color="auto"/>
              <w:right w:val="single" w:sz="4" w:space="0" w:color="auto"/>
            </w:tcBorders>
            <w:shd w:val="clear" w:color="auto" w:fill="auto"/>
            <w:vAlign w:val="center"/>
            <w:hideMark/>
          </w:tcPr>
          <w:p w14:paraId="4FBBE0BB"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Projektvendimi është në vijim të akteve nënligjore që synojnë të plotësojnë dhe përmirësojnë kuadrin ligjor për menaxhimin e burimeve ujore në përgjithësi dhe menaxhimin e riskut nga përmbytjet në veçanti, në Republikën e Shqipërisë, në përputhje me legjislacionin Evropian. Zbatimi i planit të masave dhe rekomandimeve të Planit të Menaxhimit të Riskut nga Përmbytjet do të ndikojnë në uljen e rrezikut dhe risqeve që vijnë nga përmbytjet në territorin e basenit lumor Seman si dhe do të arrijnë objektivat me qëllim reduktimin e pasojave të mundshme negative nga përmbytjet për shëndetin e njeriut, mjedisin, trashëgiminë kulturore dhe aktivitetin ekonomik. </w:t>
            </w:r>
          </w:p>
        </w:tc>
        <w:tc>
          <w:tcPr>
            <w:tcW w:w="1082" w:type="dxa"/>
            <w:tcBorders>
              <w:top w:val="nil"/>
              <w:left w:val="nil"/>
              <w:bottom w:val="single" w:sz="4" w:space="0" w:color="auto"/>
              <w:right w:val="single" w:sz="4" w:space="0" w:color="auto"/>
            </w:tcBorders>
            <w:shd w:val="clear" w:color="000000" w:fill="FFFFFF"/>
            <w:vAlign w:val="center"/>
            <w:hideMark/>
          </w:tcPr>
          <w:p w14:paraId="75A9440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w:t>
            </w:r>
          </w:p>
        </w:tc>
        <w:tc>
          <w:tcPr>
            <w:tcW w:w="1030" w:type="dxa"/>
            <w:tcBorders>
              <w:top w:val="single" w:sz="4" w:space="0" w:color="000000"/>
              <w:left w:val="nil"/>
              <w:bottom w:val="nil"/>
              <w:right w:val="single" w:sz="4" w:space="0" w:color="000000"/>
            </w:tcBorders>
            <w:shd w:val="clear" w:color="auto" w:fill="auto"/>
            <w:vAlign w:val="center"/>
            <w:hideMark/>
          </w:tcPr>
          <w:p w14:paraId="79A4393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000000"/>
              <w:right w:val="nil"/>
            </w:tcBorders>
            <w:shd w:val="clear" w:color="auto" w:fill="auto"/>
            <w:vAlign w:val="center"/>
            <w:hideMark/>
          </w:tcPr>
          <w:p w14:paraId="2C34612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2018-2039</w:t>
            </w:r>
          </w:p>
        </w:tc>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080E5F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507893E5"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4CD073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12</w:t>
            </w:r>
          </w:p>
        </w:tc>
        <w:tc>
          <w:tcPr>
            <w:tcW w:w="1466" w:type="dxa"/>
            <w:tcBorders>
              <w:top w:val="nil"/>
              <w:left w:val="nil"/>
              <w:bottom w:val="single" w:sz="4" w:space="0" w:color="auto"/>
              <w:right w:val="single" w:sz="4" w:space="0" w:color="auto"/>
            </w:tcBorders>
            <w:shd w:val="clear" w:color="auto" w:fill="auto"/>
            <w:vAlign w:val="center"/>
            <w:hideMark/>
          </w:tcPr>
          <w:p w14:paraId="089AD2B4"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 Per miratimin e metodologjisë për hartimin e Strategjise së mbrojtjes së Mjedisit  detar të Republikës së Shqipërisë</w:t>
            </w:r>
          </w:p>
        </w:tc>
        <w:tc>
          <w:tcPr>
            <w:tcW w:w="955" w:type="dxa"/>
            <w:tcBorders>
              <w:top w:val="nil"/>
              <w:left w:val="nil"/>
              <w:bottom w:val="single" w:sz="4" w:space="0" w:color="auto"/>
              <w:right w:val="single" w:sz="4" w:space="0" w:color="auto"/>
            </w:tcBorders>
            <w:shd w:val="clear" w:color="auto" w:fill="auto"/>
            <w:noWrap/>
            <w:vAlign w:val="center"/>
            <w:hideMark/>
          </w:tcPr>
          <w:p w14:paraId="3691F15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17E3BDE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(AMBU)</w:t>
            </w:r>
          </w:p>
        </w:tc>
        <w:tc>
          <w:tcPr>
            <w:tcW w:w="786" w:type="dxa"/>
            <w:tcBorders>
              <w:top w:val="nil"/>
              <w:left w:val="nil"/>
              <w:bottom w:val="single" w:sz="4" w:space="0" w:color="auto"/>
              <w:right w:val="single" w:sz="4" w:space="0" w:color="auto"/>
            </w:tcBorders>
            <w:shd w:val="clear" w:color="auto" w:fill="auto"/>
            <w:vAlign w:val="center"/>
            <w:hideMark/>
          </w:tcPr>
          <w:p w14:paraId="16F8AB4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5CCF4EEE"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Arsyet kryesore të propozimit të projektvendimit lidhen me plotësimin dhe përmirësimin e kuadrit ligjor për menaxhimin e integruar të burimeve ujore në përgjithësi dhe në zbatim të kërkesave të përcaktuara në ligjin</w:t>
            </w:r>
            <w:r w:rsidRPr="00727111">
              <w:rPr>
                <w:rFonts w:ascii="Garamond" w:hAnsi="Garamond"/>
                <w:sz w:val="12"/>
                <w:szCs w:val="12"/>
                <w:lang w:eastAsia="sq-AL"/>
              </w:rPr>
              <w:br/>
              <w:t xml:space="preserve">nr. 15/2024 "Për Strategjinë e Mbrojtjes së Mjedisit Detar të Republikës së Shqipërisë" , me synim  përputhjen me legjislacionin Evropian. </w:t>
            </w:r>
          </w:p>
        </w:tc>
        <w:tc>
          <w:tcPr>
            <w:tcW w:w="1740" w:type="dxa"/>
            <w:tcBorders>
              <w:top w:val="nil"/>
              <w:left w:val="nil"/>
              <w:bottom w:val="single" w:sz="4" w:space="0" w:color="auto"/>
              <w:right w:val="single" w:sz="4" w:space="0" w:color="auto"/>
            </w:tcBorders>
            <w:shd w:val="clear" w:color="000000" w:fill="FFFFFF"/>
            <w:vAlign w:val="center"/>
            <w:hideMark/>
          </w:tcPr>
          <w:p w14:paraId="1813EAA3"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Projekvendimi synon miratimin e metodologjisë për hartimin e Strategjisë së Mbrojtjes së Mjedisit Detar të Republikës së Shqipërisë, në të cilën do të përfshihen:                                                                                                                   a) elementet që duhet të përmbajnë dy fazat që ndiqen për hartimin e Strategjisë së Mbrojtjes së Mjedisit Detar të Republikës së Shqipërisë;  b) lista treguese e elementeve të ekosistemit, të presioneve antropogjene dhe të veprimtarisë njerëzore në ujërat detare; ç) elementet që duhet të përmbajë informacioni për autoritetet kompetente; d) lista treguese e karakteristikave që do të merren parasysh gjatë përcaktimit të objektivave mjedisorë për nënrajonet detare në Republikën e Shqipërisë;                                                                                                                            h) elementet që duhet të përmbajnë programet e monitorimit;                     e) elementet që duhet të përmbajnë programet e masave.</w:t>
            </w:r>
          </w:p>
        </w:tc>
        <w:tc>
          <w:tcPr>
            <w:tcW w:w="1082" w:type="dxa"/>
            <w:tcBorders>
              <w:top w:val="nil"/>
              <w:left w:val="nil"/>
              <w:bottom w:val="single" w:sz="4" w:space="0" w:color="auto"/>
              <w:right w:val="single" w:sz="4" w:space="0" w:color="auto"/>
            </w:tcBorders>
            <w:shd w:val="clear" w:color="auto" w:fill="auto"/>
            <w:noWrap/>
            <w:vAlign w:val="center"/>
            <w:hideMark/>
          </w:tcPr>
          <w:p w14:paraId="4F1D317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w:t>
            </w:r>
          </w:p>
        </w:tc>
        <w:tc>
          <w:tcPr>
            <w:tcW w:w="1030" w:type="dxa"/>
            <w:tcBorders>
              <w:top w:val="single" w:sz="4" w:space="0" w:color="auto"/>
              <w:left w:val="nil"/>
              <w:bottom w:val="single" w:sz="4" w:space="0" w:color="auto"/>
              <w:right w:val="single" w:sz="4" w:space="0" w:color="auto"/>
            </w:tcBorders>
            <w:shd w:val="clear" w:color="auto" w:fill="auto"/>
            <w:vAlign w:val="center"/>
            <w:hideMark/>
          </w:tcPr>
          <w:p w14:paraId="2DFEF87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Mjedisi</w:t>
            </w:r>
          </w:p>
        </w:tc>
        <w:tc>
          <w:tcPr>
            <w:tcW w:w="1190" w:type="dxa"/>
            <w:tcBorders>
              <w:top w:val="nil"/>
              <w:left w:val="nil"/>
              <w:bottom w:val="single" w:sz="4" w:space="0" w:color="auto"/>
              <w:right w:val="single" w:sz="4" w:space="0" w:color="auto"/>
            </w:tcBorders>
            <w:shd w:val="clear" w:color="auto" w:fill="auto"/>
            <w:vAlign w:val="center"/>
            <w:hideMark/>
          </w:tcPr>
          <w:p w14:paraId="298FF34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 2022-2030,                          Strategjia Kombëtare e Menaxhimit të Integruar të Burimeve Ujore 2018-2041</w:t>
            </w:r>
          </w:p>
        </w:tc>
        <w:tc>
          <w:tcPr>
            <w:tcW w:w="2122" w:type="dxa"/>
            <w:tcBorders>
              <w:top w:val="nil"/>
              <w:left w:val="nil"/>
              <w:bottom w:val="single" w:sz="4" w:space="0" w:color="auto"/>
              <w:right w:val="single" w:sz="4" w:space="0" w:color="auto"/>
            </w:tcBorders>
            <w:shd w:val="clear" w:color="auto" w:fill="auto"/>
            <w:noWrap/>
            <w:vAlign w:val="center"/>
            <w:hideMark/>
          </w:tcPr>
          <w:p w14:paraId="1275E90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55144EDD"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CCE8B7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13</w:t>
            </w:r>
          </w:p>
        </w:tc>
        <w:tc>
          <w:tcPr>
            <w:tcW w:w="1466" w:type="dxa"/>
            <w:tcBorders>
              <w:top w:val="nil"/>
              <w:left w:val="nil"/>
              <w:bottom w:val="single" w:sz="4" w:space="0" w:color="auto"/>
              <w:right w:val="single" w:sz="4" w:space="0" w:color="auto"/>
            </w:tcBorders>
            <w:shd w:val="clear" w:color="000000" w:fill="FFFFFF"/>
            <w:hideMark/>
          </w:tcPr>
          <w:p w14:paraId="5AC819F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w:t>
            </w:r>
            <w:r w:rsidRPr="00727111">
              <w:rPr>
                <w:rFonts w:ascii="Garamond" w:hAnsi="Garamond"/>
                <w:sz w:val="12"/>
                <w:szCs w:val="12"/>
                <w:lang w:eastAsia="sq-AL"/>
              </w:rPr>
              <w:t>mbikëqyrjen, kryerjen e inspektimeve dhe trajnimeve, lidhur me sigurinë e informacionit të klasifikuar</w:t>
            </w:r>
          </w:p>
        </w:tc>
        <w:tc>
          <w:tcPr>
            <w:tcW w:w="955" w:type="dxa"/>
            <w:tcBorders>
              <w:top w:val="nil"/>
              <w:left w:val="nil"/>
              <w:bottom w:val="single" w:sz="4" w:space="0" w:color="auto"/>
              <w:right w:val="single" w:sz="4" w:space="0" w:color="auto"/>
            </w:tcBorders>
            <w:shd w:val="clear" w:color="000000" w:fill="FFFFFF"/>
            <w:noWrap/>
            <w:hideMark/>
          </w:tcPr>
          <w:p w14:paraId="4998B6C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02A8C3E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(AKSIK)</w:t>
            </w:r>
          </w:p>
        </w:tc>
        <w:tc>
          <w:tcPr>
            <w:tcW w:w="786" w:type="dxa"/>
            <w:tcBorders>
              <w:top w:val="nil"/>
              <w:left w:val="nil"/>
              <w:bottom w:val="single" w:sz="4" w:space="0" w:color="auto"/>
              <w:right w:val="single" w:sz="4" w:space="0" w:color="auto"/>
            </w:tcBorders>
            <w:shd w:val="clear" w:color="000000" w:fill="FFFFFF"/>
            <w:hideMark/>
          </w:tcPr>
          <w:p w14:paraId="1F70B6C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000000" w:fill="FFFFFF"/>
            <w:hideMark/>
          </w:tcPr>
          <w:p w14:paraId="422006A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Ligji 10/2023 "Për informacionin e klasifikuar"</w:t>
            </w:r>
          </w:p>
        </w:tc>
        <w:tc>
          <w:tcPr>
            <w:tcW w:w="1740" w:type="dxa"/>
            <w:tcBorders>
              <w:top w:val="nil"/>
              <w:left w:val="nil"/>
              <w:bottom w:val="single" w:sz="4" w:space="0" w:color="auto"/>
              <w:right w:val="single" w:sz="4" w:space="0" w:color="auto"/>
            </w:tcBorders>
            <w:shd w:val="clear" w:color="000000" w:fill="FFFFFF"/>
            <w:hideMark/>
          </w:tcPr>
          <w:p w14:paraId="61ABD47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Projektvendimi i ka për qëllim  </w:t>
            </w:r>
            <w:r w:rsidRPr="00727111">
              <w:rPr>
                <w:rFonts w:ascii="Garamond" w:hAnsi="Garamond"/>
                <w:sz w:val="12"/>
                <w:szCs w:val="12"/>
                <w:lang w:eastAsia="sq-AL"/>
              </w:rPr>
              <w:t xml:space="preserve">përcaktimin e rregullave për mbikëqyrjen shtetërore, kryerjen e inspektimeve dhe trajnimeve në institucionet e administratës publike dhe operatorët ekonomik, në fushën e sigurisë së informacionit të klasifikuar </w:t>
            </w:r>
          </w:p>
        </w:tc>
        <w:tc>
          <w:tcPr>
            <w:tcW w:w="1082" w:type="dxa"/>
            <w:tcBorders>
              <w:top w:val="nil"/>
              <w:left w:val="nil"/>
              <w:bottom w:val="single" w:sz="4" w:space="0" w:color="auto"/>
              <w:right w:val="single" w:sz="4" w:space="0" w:color="auto"/>
            </w:tcBorders>
            <w:shd w:val="clear" w:color="auto" w:fill="auto"/>
            <w:hideMark/>
          </w:tcPr>
          <w:p w14:paraId="1801A72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000000" w:fill="FFFFFF"/>
            <w:hideMark/>
          </w:tcPr>
          <w:p w14:paraId="127559A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0" w:type="dxa"/>
            <w:tcBorders>
              <w:top w:val="nil"/>
              <w:left w:val="nil"/>
              <w:bottom w:val="single" w:sz="4" w:space="0" w:color="auto"/>
              <w:right w:val="single" w:sz="4" w:space="0" w:color="auto"/>
            </w:tcBorders>
            <w:shd w:val="clear" w:color="auto" w:fill="auto"/>
            <w:noWrap/>
            <w:hideMark/>
          </w:tcPr>
          <w:p w14:paraId="3AFE46F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22" w:type="dxa"/>
            <w:tcBorders>
              <w:top w:val="nil"/>
              <w:left w:val="nil"/>
              <w:bottom w:val="single" w:sz="4" w:space="0" w:color="auto"/>
              <w:right w:val="single" w:sz="4" w:space="0" w:color="auto"/>
            </w:tcBorders>
            <w:shd w:val="clear" w:color="auto" w:fill="auto"/>
            <w:noWrap/>
            <w:hideMark/>
          </w:tcPr>
          <w:p w14:paraId="47F675D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7586A502"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7225B3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14</w:t>
            </w:r>
          </w:p>
        </w:tc>
        <w:tc>
          <w:tcPr>
            <w:tcW w:w="1466" w:type="dxa"/>
            <w:tcBorders>
              <w:top w:val="nil"/>
              <w:left w:val="nil"/>
              <w:bottom w:val="single" w:sz="4" w:space="0" w:color="auto"/>
              <w:right w:val="single" w:sz="4" w:space="0" w:color="auto"/>
            </w:tcBorders>
            <w:shd w:val="clear" w:color="auto" w:fill="auto"/>
            <w:vAlign w:val="center"/>
            <w:hideMark/>
          </w:tcPr>
          <w:p w14:paraId="4C12FCA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Per miratimin e Strategjisë Kombëtare për Sigurinë Kibernetike dhe Plani te veprimit në zbatim të saj</w:t>
            </w:r>
          </w:p>
        </w:tc>
        <w:tc>
          <w:tcPr>
            <w:tcW w:w="955" w:type="dxa"/>
            <w:tcBorders>
              <w:top w:val="nil"/>
              <w:left w:val="nil"/>
              <w:bottom w:val="single" w:sz="4" w:space="0" w:color="auto"/>
              <w:right w:val="single" w:sz="4" w:space="0" w:color="auto"/>
            </w:tcBorders>
            <w:shd w:val="clear" w:color="auto" w:fill="auto"/>
            <w:noWrap/>
            <w:vAlign w:val="center"/>
            <w:hideMark/>
          </w:tcPr>
          <w:p w14:paraId="0F73E6D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6C6C95B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(AKSK)</w:t>
            </w:r>
          </w:p>
        </w:tc>
        <w:tc>
          <w:tcPr>
            <w:tcW w:w="786" w:type="dxa"/>
            <w:tcBorders>
              <w:top w:val="nil"/>
              <w:left w:val="nil"/>
              <w:bottom w:val="single" w:sz="4" w:space="0" w:color="auto"/>
              <w:right w:val="single" w:sz="4" w:space="0" w:color="auto"/>
            </w:tcBorders>
            <w:shd w:val="clear" w:color="auto" w:fill="auto"/>
            <w:vAlign w:val="center"/>
            <w:hideMark/>
          </w:tcPr>
          <w:p w14:paraId="1CB8306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auto" w:fill="auto"/>
            <w:vAlign w:val="center"/>
            <w:hideMark/>
          </w:tcPr>
          <w:p w14:paraId="6125856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Akt nenligjor në zbatim të ligjit nr.25/2024 "Per sigurine kibernetike". Nevoja per te adresuar sfidat komplekse dhe të shpejta në fushën e sigurisë kibernetike. Krijimi i nje kornize ligjore te qarte lidhur me politikat  e sigurise kibernetike, krijimin e nje qasje te unifikuar dhe te qendrueshme  në nivel kombëtar, përmirësimin e sigurisë kombëtare dhe mbrojtjen nga kërcënimet kibernetike, forcimi i përgjegjësisë dhe transparencës, ndërtimi i kapaciteteve të nevojshme për reagimin ndaj incidentëve kibernetikë, ndergjegjesimi dhe edukimi etje</w:t>
            </w:r>
          </w:p>
        </w:tc>
        <w:tc>
          <w:tcPr>
            <w:tcW w:w="1740" w:type="dxa"/>
            <w:tcBorders>
              <w:top w:val="nil"/>
              <w:left w:val="nil"/>
              <w:bottom w:val="single" w:sz="4" w:space="0" w:color="auto"/>
              <w:right w:val="single" w:sz="4" w:space="0" w:color="auto"/>
            </w:tcBorders>
            <w:shd w:val="clear" w:color="auto" w:fill="auto"/>
            <w:vAlign w:val="center"/>
            <w:hideMark/>
          </w:tcPr>
          <w:p w14:paraId="777BC424"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Strategjia do të përcaktojë politika dhe objektivave specifike ne kuader te sigurise kibernetike,  duke përfshirë mbrojtjen e infrastrukturave te informacionit, ndergjegjesimin, bashkepunimin midis sektorit publik dhe atij privat, krijimin e  nje mjedisi te sigurit online, percatimin e aktiviteteve konkrete per secilen politik dhe institucionet perkatese etj.</w:t>
            </w:r>
          </w:p>
        </w:tc>
        <w:tc>
          <w:tcPr>
            <w:tcW w:w="1082" w:type="dxa"/>
            <w:tcBorders>
              <w:top w:val="nil"/>
              <w:left w:val="nil"/>
              <w:bottom w:val="single" w:sz="4" w:space="0" w:color="auto"/>
              <w:right w:val="single" w:sz="4" w:space="0" w:color="auto"/>
            </w:tcBorders>
            <w:shd w:val="clear" w:color="auto" w:fill="auto"/>
            <w:noWrap/>
            <w:vAlign w:val="center"/>
            <w:hideMark/>
          </w:tcPr>
          <w:p w14:paraId="62207F5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13C29DA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0" w:type="dxa"/>
            <w:tcBorders>
              <w:top w:val="nil"/>
              <w:left w:val="nil"/>
              <w:bottom w:val="single" w:sz="4" w:space="0" w:color="auto"/>
              <w:right w:val="single" w:sz="4" w:space="0" w:color="auto"/>
            </w:tcBorders>
            <w:shd w:val="clear" w:color="auto" w:fill="auto"/>
            <w:noWrap/>
            <w:vAlign w:val="center"/>
            <w:hideMark/>
          </w:tcPr>
          <w:p w14:paraId="2C26D01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22" w:type="dxa"/>
            <w:tcBorders>
              <w:top w:val="nil"/>
              <w:left w:val="nil"/>
              <w:bottom w:val="single" w:sz="4" w:space="0" w:color="auto"/>
              <w:right w:val="single" w:sz="4" w:space="0" w:color="auto"/>
            </w:tcBorders>
            <w:shd w:val="clear" w:color="auto" w:fill="auto"/>
            <w:vAlign w:val="center"/>
            <w:hideMark/>
          </w:tcPr>
          <w:p w14:paraId="680A7DB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Financiare sociale</w:t>
            </w:r>
          </w:p>
        </w:tc>
      </w:tr>
      <w:tr w:rsidR="00687E30" w:rsidRPr="00727111" w14:paraId="163B2C98"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975266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15</w:t>
            </w:r>
          </w:p>
        </w:tc>
        <w:tc>
          <w:tcPr>
            <w:tcW w:w="1466" w:type="dxa"/>
            <w:tcBorders>
              <w:top w:val="nil"/>
              <w:left w:val="nil"/>
              <w:bottom w:val="single" w:sz="4" w:space="0" w:color="auto"/>
              <w:right w:val="single" w:sz="4" w:space="0" w:color="auto"/>
            </w:tcBorders>
            <w:shd w:val="clear" w:color="000000" w:fill="FFFFFF"/>
            <w:vAlign w:val="center"/>
            <w:hideMark/>
          </w:tcPr>
          <w:p w14:paraId="2E4F0DD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procedurave për identifikimin, klasifikimin, përshkallëzimin dhe menaxhimin e krizës kibernetike</w:t>
            </w:r>
          </w:p>
        </w:tc>
        <w:tc>
          <w:tcPr>
            <w:tcW w:w="955" w:type="dxa"/>
            <w:tcBorders>
              <w:top w:val="nil"/>
              <w:left w:val="nil"/>
              <w:bottom w:val="single" w:sz="4" w:space="0" w:color="auto"/>
              <w:right w:val="single" w:sz="4" w:space="0" w:color="auto"/>
            </w:tcBorders>
            <w:shd w:val="clear" w:color="auto" w:fill="auto"/>
            <w:noWrap/>
            <w:vAlign w:val="center"/>
            <w:hideMark/>
          </w:tcPr>
          <w:p w14:paraId="29D1E0F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73AF6B7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(AKSK)</w:t>
            </w:r>
          </w:p>
        </w:tc>
        <w:tc>
          <w:tcPr>
            <w:tcW w:w="786" w:type="dxa"/>
            <w:tcBorders>
              <w:top w:val="nil"/>
              <w:left w:val="nil"/>
              <w:bottom w:val="single" w:sz="4" w:space="0" w:color="auto"/>
              <w:right w:val="single" w:sz="4" w:space="0" w:color="auto"/>
            </w:tcBorders>
            <w:shd w:val="clear" w:color="auto" w:fill="auto"/>
            <w:vAlign w:val="center"/>
            <w:hideMark/>
          </w:tcPr>
          <w:p w14:paraId="2BBAC65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auto" w:fill="auto"/>
            <w:vAlign w:val="center"/>
            <w:hideMark/>
          </w:tcPr>
          <w:p w14:paraId="3757D93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Akt nenligjor në zbatim të ligjit nr.25/2024 "Per sigurine kibernetike". Nevoja per te patur nje procedure te percaktuar per trajtimin dhe menaxhimin  e krizes kibernetike e cila do te ndihmoje për reagimin ne rastet kur kemi te bejme me gjendjen e krizes kibernetike</w:t>
            </w:r>
          </w:p>
        </w:tc>
        <w:tc>
          <w:tcPr>
            <w:tcW w:w="1740" w:type="dxa"/>
            <w:tcBorders>
              <w:top w:val="nil"/>
              <w:left w:val="nil"/>
              <w:bottom w:val="single" w:sz="4" w:space="0" w:color="auto"/>
              <w:right w:val="single" w:sz="4" w:space="0" w:color="auto"/>
            </w:tcBorders>
            <w:shd w:val="clear" w:color="auto" w:fill="auto"/>
            <w:vAlign w:val="center"/>
            <w:hideMark/>
          </w:tcPr>
          <w:p w14:paraId="4035C6A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dhe detajimi i procedurave lidhur me identifikimin, klasifikimin,përshkallëzimin dhe menaxhimin e krizës kibernetike.</w:t>
            </w:r>
          </w:p>
        </w:tc>
        <w:tc>
          <w:tcPr>
            <w:tcW w:w="1082" w:type="dxa"/>
            <w:tcBorders>
              <w:top w:val="nil"/>
              <w:left w:val="nil"/>
              <w:bottom w:val="single" w:sz="4" w:space="0" w:color="auto"/>
              <w:right w:val="single" w:sz="4" w:space="0" w:color="auto"/>
            </w:tcBorders>
            <w:shd w:val="clear" w:color="auto" w:fill="auto"/>
            <w:noWrap/>
            <w:vAlign w:val="center"/>
            <w:hideMark/>
          </w:tcPr>
          <w:p w14:paraId="6A122E0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567BF7E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0" w:type="dxa"/>
            <w:tcBorders>
              <w:top w:val="nil"/>
              <w:left w:val="nil"/>
              <w:bottom w:val="single" w:sz="4" w:space="0" w:color="auto"/>
              <w:right w:val="single" w:sz="4" w:space="0" w:color="auto"/>
            </w:tcBorders>
            <w:shd w:val="clear" w:color="auto" w:fill="auto"/>
            <w:noWrap/>
            <w:vAlign w:val="center"/>
            <w:hideMark/>
          </w:tcPr>
          <w:p w14:paraId="6CE2A92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22" w:type="dxa"/>
            <w:tcBorders>
              <w:top w:val="nil"/>
              <w:left w:val="nil"/>
              <w:bottom w:val="single" w:sz="4" w:space="0" w:color="auto"/>
              <w:right w:val="single" w:sz="4" w:space="0" w:color="auto"/>
            </w:tcBorders>
            <w:shd w:val="clear" w:color="auto" w:fill="auto"/>
            <w:noWrap/>
            <w:vAlign w:val="center"/>
            <w:hideMark/>
          </w:tcPr>
          <w:p w14:paraId="4E7FC1D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4B25C214"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772A898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16</w:t>
            </w:r>
          </w:p>
        </w:tc>
        <w:tc>
          <w:tcPr>
            <w:tcW w:w="1466" w:type="dxa"/>
            <w:tcBorders>
              <w:top w:val="nil"/>
              <w:left w:val="nil"/>
              <w:bottom w:val="single" w:sz="4" w:space="0" w:color="auto"/>
              <w:right w:val="single" w:sz="4" w:space="0" w:color="auto"/>
            </w:tcBorders>
            <w:shd w:val="clear" w:color="000000" w:fill="FFFFFF"/>
            <w:vAlign w:val="center"/>
            <w:hideMark/>
          </w:tcPr>
          <w:p w14:paraId="35E9DBE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ngritjen, mënyrën e organizimit dhe funksionimit të CERT-it</w:t>
            </w:r>
          </w:p>
        </w:tc>
        <w:tc>
          <w:tcPr>
            <w:tcW w:w="955" w:type="dxa"/>
            <w:tcBorders>
              <w:top w:val="nil"/>
              <w:left w:val="nil"/>
              <w:bottom w:val="single" w:sz="4" w:space="0" w:color="auto"/>
              <w:right w:val="single" w:sz="4" w:space="0" w:color="auto"/>
            </w:tcBorders>
            <w:shd w:val="clear" w:color="auto" w:fill="auto"/>
            <w:noWrap/>
            <w:vAlign w:val="center"/>
            <w:hideMark/>
          </w:tcPr>
          <w:p w14:paraId="67A4FB4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3F481FD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(AKSK)</w:t>
            </w:r>
          </w:p>
        </w:tc>
        <w:tc>
          <w:tcPr>
            <w:tcW w:w="786" w:type="dxa"/>
            <w:tcBorders>
              <w:top w:val="nil"/>
              <w:left w:val="nil"/>
              <w:bottom w:val="single" w:sz="4" w:space="0" w:color="auto"/>
              <w:right w:val="single" w:sz="4" w:space="0" w:color="auto"/>
            </w:tcBorders>
            <w:shd w:val="clear" w:color="auto" w:fill="auto"/>
            <w:vAlign w:val="center"/>
            <w:hideMark/>
          </w:tcPr>
          <w:p w14:paraId="4CFA678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auto" w:fill="auto"/>
            <w:vAlign w:val="center"/>
            <w:hideMark/>
          </w:tcPr>
          <w:p w14:paraId="3D62798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Akt nenligjor në zbatim të ligjit nr.25/2024 "Per sigurine kibernetike". Nevoja për të patur një strukturë e cila do të ndihmojë për rastet e menaxhimit të krizave kibernetike.</w:t>
            </w:r>
          </w:p>
        </w:tc>
        <w:tc>
          <w:tcPr>
            <w:tcW w:w="1740" w:type="dxa"/>
            <w:tcBorders>
              <w:top w:val="nil"/>
              <w:left w:val="nil"/>
              <w:bottom w:val="single" w:sz="4" w:space="0" w:color="auto"/>
              <w:right w:val="single" w:sz="4" w:space="0" w:color="auto"/>
            </w:tcBorders>
            <w:shd w:val="clear" w:color="auto" w:fill="auto"/>
            <w:vAlign w:val="center"/>
            <w:hideMark/>
          </w:tcPr>
          <w:p w14:paraId="05DC7DC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Pëcaktimi I mënyrës së organizimit dhe funskionimit të CERT-it, si një strukturë e rëndësishme,ad hoc, në rastet e menaxhimit të krizave dhe emergjencave kibernetike</w:t>
            </w:r>
          </w:p>
        </w:tc>
        <w:tc>
          <w:tcPr>
            <w:tcW w:w="1082" w:type="dxa"/>
            <w:tcBorders>
              <w:top w:val="nil"/>
              <w:left w:val="nil"/>
              <w:bottom w:val="single" w:sz="4" w:space="0" w:color="auto"/>
              <w:right w:val="single" w:sz="4" w:space="0" w:color="auto"/>
            </w:tcBorders>
            <w:shd w:val="clear" w:color="auto" w:fill="auto"/>
            <w:noWrap/>
            <w:vAlign w:val="center"/>
            <w:hideMark/>
          </w:tcPr>
          <w:p w14:paraId="76D1A69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63F1A9C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0" w:type="dxa"/>
            <w:tcBorders>
              <w:top w:val="nil"/>
              <w:left w:val="nil"/>
              <w:bottom w:val="single" w:sz="4" w:space="0" w:color="auto"/>
              <w:right w:val="single" w:sz="4" w:space="0" w:color="auto"/>
            </w:tcBorders>
            <w:shd w:val="clear" w:color="auto" w:fill="auto"/>
            <w:noWrap/>
            <w:vAlign w:val="center"/>
            <w:hideMark/>
          </w:tcPr>
          <w:p w14:paraId="490B21E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22" w:type="dxa"/>
            <w:tcBorders>
              <w:top w:val="nil"/>
              <w:left w:val="nil"/>
              <w:bottom w:val="single" w:sz="4" w:space="0" w:color="auto"/>
              <w:right w:val="single" w:sz="4" w:space="0" w:color="auto"/>
            </w:tcBorders>
            <w:shd w:val="clear" w:color="auto" w:fill="auto"/>
            <w:noWrap/>
            <w:vAlign w:val="center"/>
            <w:hideMark/>
          </w:tcPr>
          <w:p w14:paraId="4B20FA0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259DAA6C"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2934EB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17</w:t>
            </w:r>
          </w:p>
        </w:tc>
        <w:tc>
          <w:tcPr>
            <w:tcW w:w="1466" w:type="dxa"/>
            <w:tcBorders>
              <w:top w:val="nil"/>
              <w:left w:val="nil"/>
              <w:bottom w:val="single" w:sz="4" w:space="0" w:color="auto"/>
              <w:right w:val="single" w:sz="4" w:space="0" w:color="auto"/>
            </w:tcBorders>
            <w:shd w:val="clear" w:color="000000" w:fill="FFFFFF"/>
            <w:vAlign w:val="center"/>
            <w:hideMark/>
          </w:tcPr>
          <w:p w14:paraId="683E6C1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përcaktimin e mënyrës së ngritjes së CSIRT-eve sektoriale</w:t>
            </w:r>
          </w:p>
        </w:tc>
        <w:tc>
          <w:tcPr>
            <w:tcW w:w="955" w:type="dxa"/>
            <w:tcBorders>
              <w:top w:val="nil"/>
              <w:left w:val="nil"/>
              <w:bottom w:val="single" w:sz="4" w:space="0" w:color="auto"/>
              <w:right w:val="single" w:sz="4" w:space="0" w:color="auto"/>
            </w:tcBorders>
            <w:shd w:val="clear" w:color="auto" w:fill="auto"/>
            <w:noWrap/>
            <w:vAlign w:val="center"/>
            <w:hideMark/>
          </w:tcPr>
          <w:p w14:paraId="3DC6548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7CA58E2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(AKSK)</w:t>
            </w:r>
          </w:p>
        </w:tc>
        <w:tc>
          <w:tcPr>
            <w:tcW w:w="786" w:type="dxa"/>
            <w:tcBorders>
              <w:top w:val="nil"/>
              <w:left w:val="nil"/>
              <w:bottom w:val="single" w:sz="4" w:space="0" w:color="auto"/>
              <w:right w:val="single" w:sz="4" w:space="0" w:color="auto"/>
            </w:tcBorders>
            <w:shd w:val="clear" w:color="auto" w:fill="auto"/>
            <w:vAlign w:val="center"/>
            <w:hideMark/>
          </w:tcPr>
          <w:p w14:paraId="764BDA4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2172" w:type="dxa"/>
            <w:tcBorders>
              <w:top w:val="nil"/>
              <w:left w:val="nil"/>
              <w:bottom w:val="single" w:sz="4" w:space="0" w:color="auto"/>
              <w:right w:val="single" w:sz="4" w:space="0" w:color="auto"/>
            </w:tcBorders>
            <w:shd w:val="clear" w:color="auto" w:fill="auto"/>
            <w:vAlign w:val="center"/>
            <w:hideMark/>
          </w:tcPr>
          <w:p w14:paraId="57014A0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Akt nenligjor në zbatim të ligjit nr.25/2024 "Per sigurine kibernetike". Përcaktimi I qartë I strukturave përgjegjëse me qëllim  rritjen e nivelit të  sigurisë kibernetike ne infrastrukturat e informacionit. </w:t>
            </w:r>
          </w:p>
        </w:tc>
        <w:tc>
          <w:tcPr>
            <w:tcW w:w="1740" w:type="dxa"/>
            <w:tcBorders>
              <w:top w:val="nil"/>
              <w:left w:val="nil"/>
              <w:bottom w:val="single" w:sz="4" w:space="0" w:color="auto"/>
              <w:right w:val="single" w:sz="4" w:space="0" w:color="auto"/>
            </w:tcBorders>
            <w:shd w:val="clear" w:color="auto" w:fill="auto"/>
            <w:vAlign w:val="center"/>
            <w:hideMark/>
          </w:tcPr>
          <w:p w14:paraId="6781DAF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Ky akt do të përcaktojë mënyrën e ngritjes së CSIRT-eve sektoriale, sesi do të bëhet përcaktimi I tyre, psh cili do të jetë CSIRT-i sektorial për bakat etje</w:t>
            </w:r>
          </w:p>
        </w:tc>
        <w:tc>
          <w:tcPr>
            <w:tcW w:w="1082" w:type="dxa"/>
            <w:tcBorders>
              <w:top w:val="nil"/>
              <w:left w:val="nil"/>
              <w:bottom w:val="single" w:sz="4" w:space="0" w:color="auto"/>
              <w:right w:val="single" w:sz="4" w:space="0" w:color="auto"/>
            </w:tcBorders>
            <w:shd w:val="clear" w:color="auto" w:fill="auto"/>
            <w:noWrap/>
            <w:vAlign w:val="center"/>
            <w:hideMark/>
          </w:tcPr>
          <w:p w14:paraId="7BBA093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2AFFD0B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0" w:type="dxa"/>
            <w:tcBorders>
              <w:top w:val="nil"/>
              <w:left w:val="nil"/>
              <w:bottom w:val="single" w:sz="4" w:space="0" w:color="auto"/>
              <w:right w:val="single" w:sz="4" w:space="0" w:color="auto"/>
            </w:tcBorders>
            <w:shd w:val="clear" w:color="auto" w:fill="auto"/>
            <w:noWrap/>
            <w:vAlign w:val="center"/>
            <w:hideMark/>
          </w:tcPr>
          <w:p w14:paraId="32F667E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22" w:type="dxa"/>
            <w:tcBorders>
              <w:top w:val="nil"/>
              <w:left w:val="nil"/>
              <w:bottom w:val="single" w:sz="4" w:space="0" w:color="auto"/>
              <w:right w:val="single" w:sz="4" w:space="0" w:color="auto"/>
            </w:tcBorders>
            <w:shd w:val="clear" w:color="auto" w:fill="auto"/>
            <w:noWrap/>
            <w:vAlign w:val="center"/>
            <w:hideMark/>
          </w:tcPr>
          <w:p w14:paraId="31FBD81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613E6CC1"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C9FB05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18</w:t>
            </w:r>
          </w:p>
        </w:tc>
        <w:tc>
          <w:tcPr>
            <w:tcW w:w="1466" w:type="dxa"/>
            <w:tcBorders>
              <w:top w:val="nil"/>
              <w:left w:val="nil"/>
              <w:bottom w:val="single" w:sz="4" w:space="0" w:color="auto"/>
              <w:right w:val="single" w:sz="4" w:space="0" w:color="auto"/>
            </w:tcBorders>
            <w:shd w:val="clear" w:color="auto" w:fill="auto"/>
            <w:vAlign w:val="center"/>
            <w:hideMark/>
          </w:tcPr>
          <w:p w14:paraId="053C37B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Per identifikimin elektronik dhe sherbimet e besuara</w:t>
            </w:r>
          </w:p>
        </w:tc>
        <w:tc>
          <w:tcPr>
            <w:tcW w:w="955" w:type="dxa"/>
            <w:tcBorders>
              <w:top w:val="nil"/>
              <w:left w:val="nil"/>
              <w:bottom w:val="single" w:sz="4" w:space="0" w:color="auto"/>
              <w:right w:val="single" w:sz="4" w:space="0" w:color="auto"/>
            </w:tcBorders>
            <w:shd w:val="clear" w:color="auto" w:fill="auto"/>
            <w:noWrap/>
            <w:vAlign w:val="center"/>
            <w:hideMark/>
          </w:tcPr>
          <w:p w14:paraId="72335AD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605" w:type="dxa"/>
            <w:tcBorders>
              <w:top w:val="nil"/>
              <w:left w:val="nil"/>
              <w:bottom w:val="single" w:sz="4" w:space="0" w:color="auto"/>
              <w:right w:val="single" w:sz="4" w:space="0" w:color="auto"/>
            </w:tcBorders>
            <w:shd w:val="clear" w:color="auto" w:fill="auto"/>
            <w:vAlign w:val="center"/>
            <w:hideMark/>
          </w:tcPr>
          <w:p w14:paraId="3730329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(AKSK)</w:t>
            </w:r>
          </w:p>
        </w:tc>
        <w:tc>
          <w:tcPr>
            <w:tcW w:w="786" w:type="dxa"/>
            <w:tcBorders>
              <w:top w:val="nil"/>
              <w:left w:val="nil"/>
              <w:bottom w:val="single" w:sz="4" w:space="0" w:color="auto"/>
              <w:right w:val="single" w:sz="4" w:space="0" w:color="auto"/>
            </w:tcBorders>
            <w:shd w:val="clear" w:color="auto" w:fill="auto"/>
            <w:vAlign w:val="center"/>
            <w:hideMark/>
          </w:tcPr>
          <w:p w14:paraId="4F11678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auto" w:fill="auto"/>
            <w:vAlign w:val="center"/>
            <w:hideMark/>
          </w:tcPr>
          <w:p w14:paraId="69BE7BD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1.Nevoja për përmirësimin e ofrimit të shërbimeve të besuara duke bërë të mundur një qasje më të lehtë dhe më të shpejtë në shërbimet e ofruara nga ofruesit e kualifikuar të shërbimit të besuar, me qëllim garantimin e besueshmërisë dhe sigurisë në përdorimin e shërbimeve të identifikimit elektronik dhe shërbimeve të besuara nga qytetarët, bizneset dhe administrata publike, për të hyrë në shërbimet online ose për të menaxhuar transaksionet elektronike në vend.                                                                                   2. Plotesimi i mangesive dhe dhenia zgjidhje e problematikave që janë vënë në pah në këtë moment gjatë zbatimit të legjislacionit ekzistues per identifikimin elektronik dhe sherbimet e besuara.   3. Permbshja e detyrimit ne kuader te procesit te integrimit te RSH ne BE.                      </w:t>
            </w:r>
          </w:p>
        </w:tc>
        <w:tc>
          <w:tcPr>
            <w:tcW w:w="1740" w:type="dxa"/>
            <w:tcBorders>
              <w:top w:val="nil"/>
              <w:left w:val="nil"/>
              <w:bottom w:val="single" w:sz="4" w:space="0" w:color="auto"/>
              <w:right w:val="single" w:sz="4" w:space="0" w:color="auto"/>
            </w:tcBorders>
            <w:shd w:val="clear" w:color="auto" w:fill="auto"/>
            <w:vAlign w:val="center"/>
            <w:hideMark/>
          </w:tcPr>
          <w:p w14:paraId="4BA2BFD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Plotëson kuadrin ligjor në përputhje me legjislacionin e BE-së duke futur elementët e rinj të cilët do të kompletojnë kornizën ligjore në fushën e identifikimit elektronik dhe shërbineve të besuara.</w:t>
            </w:r>
            <w:r w:rsidRPr="00727111">
              <w:rPr>
                <w:rFonts w:ascii="Garamond" w:hAnsi="Garamond"/>
                <w:color w:val="000000"/>
                <w:sz w:val="12"/>
                <w:szCs w:val="12"/>
                <w:lang w:eastAsia="sq-AL"/>
              </w:rPr>
              <w:br/>
              <w:t xml:space="preserve">Identifikimin elektronik në distancë (remote) i aplikuesit për pajisjen me mjete të identifikimit elektronik duke lehtësuar procesin e identifikimit elektronik si dhe duke shkurtuar distancë.  </w:t>
            </w:r>
            <w:r w:rsidRPr="00727111">
              <w:rPr>
                <w:rFonts w:ascii="Garamond" w:hAnsi="Garamond"/>
                <w:color w:val="000000"/>
                <w:sz w:val="12"/>
                <w:szCs w:val="12"/>
                <w:lang w:eastAsia="sq-AL"/>
              </w:rPr>
              <w:br/>
              <w:t>Përcaktimin i kërkesave të sigurisë (teknike dhe organizative) që duhen ndërmarrë nga ofruesit e kualifikuar të shërbimit të besuar  për menaxhimin e rreziqeve që prekin sigurinë dhe besueshmërinë e shërbimeve që ata ofrojnë.</w:t>
            </w:r>
            <w:r w:rsidRPr="00727111">
              <w:rPr>
                <w:rFonts w:ascii="Garamond" w:hAnsi="Garamond"/>
                <w:color w:val="000000"/>
                <w:sz w:val="12"/>
                <w:szCs w:val="12"/>
                <w:lang w:eastAsia="sq-AL"/>
              </w:rPr>
              <w:br/>
              <w:t>Forcimin e bashkëpunimit midis ofruesve të kualifikuar të shërbimit të besuar dhe institucionet shtetërore private  me qëllim autentifikimin e personave fizikë apo juridikë.                                                                   Përcaktime lidhur me Portofolin e Digjital te Identitetit</w:t>
            </w:r>
          </w:p>
        </w:tc>
        <w:tc>
          <w:tcPr>
            <w:tcW w:w="1082" w:type="dxa"/>
            <w:tcBorders>
              <w:top w:val="nil"/>
              <w:left w:val="nil"/>
              <w:bottom w:val="single" w:sz="4" w:space="0" w:color="auto"/>
              <w:right w:val="single" w:sz="4" w:space="0" w:color="auto"/>
            </w:tcBorders>
            <w:shd w:val="clear" w:color="auto" w:fill="auto"/>
            <w:vAlign w:val="center"/>
            <w:hideMark/>
          </w:tcPr>
          <w:p w14:paraId="3DA6DD9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10 "Shoqeria e Informacionit dhe Media"</w:t>
            </w:r>
          </w:p>
        </w:tc>
        <w:tc>
          <w:tcPr>
            <w:tcW w:w="1030" w:type="dxa"/>
            <w:tcBorders>
              <w:top w:val="nil"/>
              <w:left w:val="nil"/>
              <w:bottom w:val="single" w:sz="4" w:space="0" w:color="auto"/>
              <w:right w:val="single" w:sz="4" w:space="0" w:color="auto"/>
            </w:tcBorders>
            <w:shd w:val="clear" w:color="auto" w:fill="auto"/>
            <w:vAlign w:val="center"/>
            <w:hideMark/>
          </w:tcPr>
          <w:p w14:paraId="4590E4E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Referencë : Fusha: Shoqëria Digjitale, Angazhimi: Njohjen e nënshkrimit dhe vulës elektronike me vendet e rajonit.</w:t>
            </w:r>
          </w:p>
        </w:tc>
        <w:tc>
          <w:tcPr>
            <w:tcW w:w="1190" w:type="dxa"/>
            <w:tcBorders>
              <w:top w:val="nil"/>
              <w:left w:val="nil"/>
              <w:bottom w:val="single" w:sz="4" w:space="0" w:color="auto"/>
              <w:right w:val="single" w:sz="4" w:space="0" w:color="auto"/>
            </w:tcBorders>
            <w:shd w:val="clear" w:color="auto" w:fill="auto"/>
            <w:vAlign w:val="center"/>
            <w:hideMark/>
          </w:tcPr>
          <w:p w14:paraId="62AAE223"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Jo</w:t>
            </w:r>
          </w:p>
        </w:tc>
        <w:tc>
          <w:tcPr>
            <w:tcW w:w="2122" w:type="dxa"/>
            <w:tcBorders>
              <w:top w:val="nil"/>
              <w:left w:val="nil"/>
              <w:bottom w:val="single" w:sz="4" w:space="0" w:color="auto"/>
              <w:right w:val="single" w:sz="4" w:space="0" w:color="auto"/>
            </w:tcBorders>
            <w:shd w:val="clear" w:color="auto" w:fill="auto"/>
            <w:vAlign w:val="center"/>
            <w:hideMark/>
          </w:tcPr>
          <w:p w14:paraId="50B23F9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ndikime financiare, sociale</w:t>
            </w:r>
          </w:p>
        </w:tc>
      </w:tr>
      <w:tr w:rsidR="00687E30" w:rsidRPr="00727111" w14:paraId="34931736"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2DF0D5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19</w:t>
            </w:r>
          </w:p>
        </w:tc>
        <w:tc>
          <w:tcPr>
            <w:tcW w:w="1466" w:type="dxa"/>
            <w:tcBorders>
              <w:top w:val="nil"/>
              <w:left w:val="nil"/>
              <w:bottom w:val="single" w:sz="4" w:space="0" w:color="auto"/>
              <w:right w:val="single" w:sz="4" w:space="0" w:color="auto"/>
            </w:tcBorders>
            <w:shd w:val="clear" w:color="000000" w:fill="FFFFFF"/>
            <w:vAlign w:val="center"/>
            <w:hideMark/>
          </w:tcPr>
          <w:p w14:paraId="320FABA8"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Për miratimin e skemes kombetare te certifikimit te sigurise kibernetike</w:t>
            </w:r>
          </w:p>
        </w:tc>
        <w:tc>
          <w:tcPr>
            <w:tcW w:w="955" w:type="dxa"/>
            <w:tcBorders>
              <w:top w:val="nil"/>
              <w:left w:val="nil"/>
              <w:bottom w:val="single" w:sz="4" w:space="0" w:color="auto"/>
              <w:right w:val="single" w:sz="4" w:space="0" w:color="auto"/>
            </w:tcBorders>
            <w:shd w:val="clear" w:color="auto" w:fill="auto"/>
            <w:noWrap/>
            <w:vAlign w:val="center"/>
            <w:hideMark/>
          </w:tcPr>
          <w:p w14:paraId="1E3918D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0F7A843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(AKSK)</w:t>
            </w:r>
          </w:p>
        </w:tc>
        <w:tc>
          <w:tcPr>
            <w:tcW w:w="786" w:type="dxa"/>
            <w:tcBorders>
              <w:top w:val="nil"/>
              <w:left w:val="nil"/>
              <w:bottom w:val="single" w:sz="4" w:space="0" w:color="auto"/>
              <w:right w:val="single" w:sz="4" w:space="0" w:color="auto"/>
            </w:tcBorders>
            <w:shd w:val="clear" w:color="auto" w:fill="auto"/>
            <w:vAlign w:val="center"/>
            <w:hideMark/>
          </w:tcPr>
          <w:p w14:paraId="6A2DF2F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auto" w:fill="auto"/>
            <w:vAlign w:val="center"/>
            <w:hideMark/>
          </w:tcPr>
          <w:p w14:paraId="7FCFADA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Akt nenligjor në zbatim të ligjit nr.25/2024 "Per sigurine kibernetike". Rritja e nivelit te sigurise kibernetike ne vend mbetet nje nga sfidat kryesore. Krijimi i një skeme kombetare te certifikimit te sigurise kibernetike do te beje te mundur certifikimin e produkteve, sherbimeve, proceseve TIK, te cilat do te rrisin nivelin e sigurise kibernetike ne infrastrukturat e informacioni. </w:t>
            </w:r>
          </w:p>
        </w:tc>
        <w:tc>
          <w:tcPr>
            <w:tcW w:w="1740" w:type="dxa"/>
            <w:tcBorders>
              <w:top w:val="nil"/>
              <w:left w:val="nil"/>
              <w:bottom w:val="single" w:sz="4" w:space="0" w:color="auto"/>
              <w:right w:val="single" w:sz="4" w:space="0" w:color="auto"/>
            </w:tcBorders>
            <w:shd w:val="clear" w:color="auto" w:fill="auto"/>
            <w:vAlign w:val="center"/>
            <w:hideMark/>
          </w:tcPr>
          <w:p w14:paraId="5D46908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Percaktimi I elementeve perberes te skemes se cetifikimit te sigurise kibernetike, afatet per implementimin e saj, percaktime lidhur me certifikimin e produkteve, sherbmeve, procesve Tik, percaktimi I niveleve te sigurise se skemes se certifikimit te sigruise kibernetike</w:t>
            </w:r>
          </w:p>
        </w:tc>
        <w:tc>
          <w:tcPr>
            <w:tcW w:w="1082" w:type="dxa"/>
            <w:tcBorders>
              <w:top w:val="nil"/>
              <w:left w:val="nil"/>
              <w:bottom w:val="single" w:sz="4" w:space="0" w:color="auto"/>
              <w:right w:val="single" w:sz="4" w:space="0" w:color="auto"/>
            </w:tcBorders>
            <w:shd w:val="clear" w:color="auto" w:fill="auto"/>
            <w:noWrap/>
            <w:vAlign w:val="center"/>
            <w:hideMark/>
          </w:tcPr>
          <w:p w14:paraId="77244EC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46F0300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0" w:type="dxa"/>
            <w:tcBorders>
              <w:top w:val="nil"/>
              <w:left w:val="nil"/>
              <w:bottom w:val="single" w:sz="4" w:space="0" w:color="auto"/>
              <w:right w:val="single" w:sz="4" w:space="0" w:color="auto"/>
            </w:tcBorders>
            <w:shd w:val="clear" w:color="auto" w:fill="auto"/>
            <w:noWrap/>
            <w:vAlign w:val="center"/>
            <w:hideMark/>
          </w:tcPr>
          <w:p w14:paraId="076EFAF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22" w:type="dxa"/>
            <w:tcBorders>
              <w:top w:val="nil"/>
              <w:left w:val="nil"/>
              <w:bottom w:val="single" w:sz="4" w:space="0" w:color="auto"/>
              <w:right w:val="single" w:sz="4" w:space="0" w:color="auto"/>
            </w:tcBorders>
            <w:shd w:val="clear" w:color="auto" w:fill="auto"/>
            <w:vAlign w:val="center"/>
            <w:hideMark/>
          </w:tcPr>
          <w:p w14:paraId="479EDD0D"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Po financiare, sociale</w:t>
            </w:r>
          </w:p>
        </w:tc>
      </w:tr>
      <w:tr w:rsidR="00687E30" w:rsidRPr="00727111" w14:paraId="057F7FF4"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9EE442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20</w:t>
            </w:r>
          </w:p>
        </w:tc>
        <w:tc>
          <w:tcPr>
            <w:tcW w:w="1466" w:type="dxa"/>
            <w:tcBorders>
              <w:top w:val="nil"/>
              <w:left w:val="nil"/>
              <w:bottom w:val="single" w:sz="4" w:space="0" w:color="auto"/>
              <w:right w:val="single" w:sz="4" w:space="0" w:color="auto"/>
            </w:tcBorders>
            <w:shd w:val="clear" w:color="auto" w:fill="auto"/>
            <w:vAlign w:val="center"/>
            <w:hideMark/>
          </w:tcPr>
          <w:p w14:paraId="14B8E48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metodologjisë për llogaritjen së çmimeve të tokës në RSH</w:t>
            </w:r>
          </w:p>
        </w:tc>
        <w:tc>
          <w:tcPr>
            <w:tcW w:w="955" w:type="dxa"/>
            <w:tcBorders>
              <w:top w:val="nil"/>
              <w:left w:val="nil"/>
              <w:bottom w:val="single" w:sz="4" w:space="0" w:color="auto"/>
              <w:right w:val="single" w:sz="4" w:space="0" w:color="auto"/>
            </w:tcBorders>
            <w:shd w:val="clear" w:color="auto" w:fill="auto"/>
            <w:vAlign w:val="center"/>
            <w:hideMark/>
          </w:tcPr>
          <w:p w14:paraId="14240BE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45E85B6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(ASHK)</w:t>
            </w:r>
          </w:p>
        </w:tc>
        <w:tc>
          <w:tcPr>
            <w:tcW w:w="786" w:type="dxa"/>
            <w:tcBorders>
              <w:top w:val="nil"/>
              <w:left w:val="nil"/>
              <w:bottom w:val="single" w:sz="4" w:space="0" w:color="auto"/>
              <w:right w:val="single" w:sz="4" w:space="0" w:color="auto"/>
            </w:tcBorders>
            <w:shd w:val="clear" w:color="auto" w:fill="auto"/>
            <w:vAlign w:val="center"/>
            <w:hideMark/>
          </w:tcPr>
          <w:p w14:paraId="7E066B4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auto" w:fill="auto"/>
            <w:vAlign w:val="center"/>
            <w:hideMark/>
          </w:tcPr>
          <w:p w14:paraId="574DA6B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Në funksion të përmirësimit të punës dhe ecurisë së  veprimtarisë së ASHK dhe detyrimeve që burojnë nga ligji  nr.111/2018 " Për Kadastrën", neni 9, pika 2, germa k.</w:t>
            </w:r>
          </w:p>
        </w:tc>
        <w:tc>
          <w:tcPr>
            <w:tcW w:w="1740" w:type="dxa"/>
            <w:tcBorders>
              <w:top w:val="nil"/>
              <w:left w:val="nil"/>
              <w:bottom w:val="single" w:sz="4" w:space="0" w:color="auto"/>
              <w:right w:val="single" w:sz="4" w:space="0" w:color="auto"/>
            </w:tcBorders>
            <w:shd w:val="clear" w:color="auto" w:fill="auto"/>
            <w:vAlign w:val="center"/>
            <w:hideMark/>
          </w:tcPr>
          <w:p w14:paraId="59013E9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Përcakton metodologjinë e vlerësimit të pronave të paluajtshme(tokës) në RSH, në zbatim të nenit 9/2/k  të ligjit nr.111/2018 " Për Kadastrën" </w:t>
            </w:r>
          </w:p>
        </w:tc>
        <w:tc>
          <w:tcPr>
            <w:tcW w:w="1082" w:type="dxa"/>
            <w:tcBorders>
              <w:top w:val="nil"/>
              <w:left w:val="nil"/>
              <w:bottom w:val="single" w:sz="4" w:space="0" w:color="auto"/>
              <w:right w:val="single" w:sz="4" w:space="0" w:color="auto"/>
            </w:tcBorders>
            <w:shd w:val="clear" w:color="auto" w:fill="auto"/>
            <w:noWrap/>
            <w:vAlign w:val="center"/>
            <w:hideMark/>
          </w:tcPr>
          <w:p w14:paraId="1FCB736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5B17585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Përputhet  me programin politik të qeverisë dhe konkretisht me kreun  "Siguria e prones" (faqe 36-37)</w:t>
            </w:r>
          </w:p>
        </w:tc>
        <w:tc>
          <w:tcPr>
            <w:tcW w:w="1190" w:type="dxa"/>
            <w:tcBorders>
              <w:top w:val="nil"/>
              <w:left w:val="nil"/>
              <w:bottom w:val="single" w:sz="4" w:space="0" w:color="auto"/>
              <w:right w:val="single" w:sz="4" w:space="0" w:color="auto"/>
            </w:tcBorders>
            <w:shd w:val="clear" w:color="auto" w:fill="auto"/>
            <w:vAlign w:val="center"/>
            <w:hideMark/>
          </w:tcPr>
          <w:p w14:paraId="29A4C93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22" w:type="dxa"/>
            <w:tcBorders>
              <w:top w:val="nil"/>
              <w:left w:val="nil"/>
              <w:bottom w:val="single" w:sz="4" w:space="0" w:color="auto"/>
              <w:right w:val="single" w:sz="4" w:space="0" w:color="auto"/>
            </w:tcBorders>
            <w:shd w:val="clear" w:color="auto" w:fill="auto"/>
            <w:vAlign w:val="center"/>
            <w:hideMark/>
          </w:tcPr>
          <w:p w14:paraId="31C8F58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ndikim ekonomik dhe social</w:t>
            </w:r>
          </w:p>
        </w:tc>
      </w:tr>
      <w:tr w:rsidR="00687E30" w:rsidRPr="00727111" w14:paraId="3C7E7C5F"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75C738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21</w:t>
            </w:r>
          </w:p>
        </w:tc>
        <w:tc>
          <w:tcPr>
            <w:tcW w:w="1466" w:type="dxa"/>
            <w:tcBorders>
              <w:top w:val="nil"/>
              <w:left w:val="nil"/>
              <w:bottom w:val="single" w:sz="4" w:space="0" w:color="auto"/>
              <w:right w:val="single" w:sz="4" w:space="0" w:color="auto"/>
            </w:tcBorders>
            <w:shd w:val="clear" w:color="auto" w:fill="auto"/>
            <w:vAlign w:val="center"/>
            <w:hideMark/>
          </w:tcPr>
          <w:p w14:paraId="00C9E61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në udhëzimin nr.1 ,datë 17.07.2024 " Për miratimin e modelit  dhe përcaktimin e rregullave të mbajtjes së regjistrit të lejes së ndërtimit, si dhe të procedurave të regjsitrimit të kontratës së sipërmarrjes/porosisë dhe premtim shitjes"</w:t>
            </w:r>
          </w:p>
        </w:tc>
        <w:tc>
          <w:tcPr>
            <w:tcW w:w="955" w:type="dxa"/>
            <w:tcBorders>
              <w:top w:val="nil"/>
              <w:left w:val="nil"/>
              <w:bottom w:val="single" w:sz="4" w:space="0" w:color="auto"/>
              <w:right w:val="single" w:sz="4" w:space="0" w:color="auto"/>
            </w:tcBorders>
            <w:shd w:val="clear" w:color="auto" w:fill="auto"/>
            <w:vAlign w:val="center"/>
            <w:hideMark/>
          </w:tcPr>
          <w:p w14:paraId="5C8D534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Projektudhëzim</w:t>
            </w:r>
          </w:p>
        </w:tc>
        <w:tc>
          <w:tcPr>
            <w:tcW w:w="1605" w:type="dxa"/>
            <w:tcBorders>
              <w:top w:val="nil"/>
              <w:left w:val="nil"/>
              <w:bottom w:val="single" w:sz="4" w:space="0" w:color="auto"/>
              <w:right w:val="single" w:sz="4" w:space="0" w:color="auto"/>
            </w:tcBorders>
            <w:shd w:val="clear" w:color="auto" w:fill="auto"/>
            <w:vAlign w:val="center"/>
            <w:hideMark/>
          </w:tcPr>
          <w:p w14:paraId="34C0B0D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(ASHK)</w:t>
            </w:r>
          </w:p>
        </w:tc>
        <w:tc>
          <w:tcPr>
            <w:tcW w:w="786" w:type="dxa"/>
            <w:tcBorders>
              <w:top w:val="nil"/>
              <w:left w:val="nil"/>
              <w:bottom w:val="single" w:sz="4" w:space="0" w:color="auto"/>
              <w:right w:val="single" w:sz="4" w:space="0" w:color="auto"/>
            </w:tcBorders>
            <w:shd w:val="clear" w:color="auto" w:fill="auto"/>
            <w:vAlign w:val="center"/>
            <w:hideMark/>
          </w:tcPr>
          <w:p w14:paraId="5F4D42E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auto" w:fill="auto"/>
            <w:vAlign w:val="center"/>
            <w:hideMark/>
          </w:tcPr>
          <w:p w14:paraId="320CA27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Ne funksion të përmirësimit të ecurisë së veprimtarisë së ASHK dhe detyrimeve që burojnë nga ligji nr.111/2018 "Për Kadastrën" neni 48,49 dhe 50 i tij</w:t>
            </w:r>
          </w:p>
        </w:tc>
        <w:tc>
          <w:tcPr>
            <w:tcW w:w="1740" w:type="dxa"/>
            <w:tcBorders>
              <w:top w:val="nil"/>
              <w:left w:val="nil"/>
              <w:bottom w:val="single" w:sz="4" w:space="0" w:color="auto"/>
              <w:right w:val="single" w:sz="4" w:space="0" w:color="auto"/>
            </w:tcBorders>
            <w:shd w:val="clear" w:color="auto" w:fill="auto"/>
            <w:vAlign w:val="center"/>
            <w:hideMark/>
          </w:tcPr>
          <w:p w14:paraId="29C15D1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Përcakton rregullat që do të ndjek ASHK në rastet e regjistrimit  të karabinasë në regjistrat regjistrin e karabinasë, dhe miraton modelin e këtij regjistri, në vijim te regjistrimit te objektit ne regjistrin e lejes se ndertimit  zbatim të nenit 48, 49 dhe 50 të ligjit nr.111/2018 "Për Kadastrën"</w:t>
            </w:r>
          </w:p>
        </w:tc>
        <w:tc>
          <w:tcPr>
            <w:tcW w:w="1082" w:type="dxa"/>
            <w:tcBorders>
              <w:top w:val="nil"/>
              <w:left w:val="nil"/>
              <w:bottom w:val="single" w:sz="4" w:space="0" w:color="auto"/>
              <w:right w:val="single" w:sz="4" w:space="0" w:color="auto"/>
            </w:tcBorders>
            <w:shd w:val="clear" w:color="auto" w:fill="auto"/>
            <w:noWrap/>
            <w:vAlign w:val="center"/>
            <w:hideMark/>
          </w:tcPr>
          <w:p w14:paraId="7A1CF51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43F4A83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Përputhet  me programin politik të qeverisë dhe konkretisht me kreun  "Siguria e prones" (faqe 36-37)</w:t>
            </w:r>
          </w:p>
        </w:tc>
        <w:tc>
          <w:tcPr>
            <w:tcW w:w="1190" w:type="dxa"/>
            <w:tcBorders>
              <w:top w:val="nil"/>
              <w:left w:val="nil"/>
              <w:bottom w:val="single" w:sz="4" w:space="0" w:color="auto"/>
              <w:right w:val="single" w:sz="4" w:space="0" w:color="auto"/>
            </w:tcBorders>
            <w:shd w:val="clear" w:color="auto" w:fill="auto"/>
            <w:vAlign w:val="center"/>
            <w:hideMark/>
          </w:tcPr>
          <w:p w14:paraId="1BE5121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22" w:type="dxa"/>
            <w:tcBorders>
              <w:top w:val="nil"/>
              <w:left w:val="nil"/>
              <w:bottom w:val="single" w:sz="4" w:space="0" w:color="auto"/>
              <w:right w:val="single" w:sz="4" w:space="0" w:color="auto"/>
            </w:tcBorders>
            <w:shd w:val="clear" w:color="auto" w:fill="auto"/>
            <w:vAlign w:val="center"/>
            <w:hideMark/>
          </w:tcPr>
          <w:p w14:paraId="3DF35E8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 ka karakter teknik</w:t>
            </w:r>
          </w:p>
        </w:tc>
      </w:tr>
      <w:tr w:rsidR="00687E30" w:rsidRPr="00727111" w14:paraId="192472CE"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B7610B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22</w:t>
            </w:r>
          </w:p>
        </w:tc>
        <w:tc>
          <w:tcPr>
            <w:tcW w:w="1466" w:type="dxa"/>
            <w:tcBorders>
              <w:top w:val="nil"/>
              <w:left w:val="nil"/>
              <w:bottom w:val="single" w:sz="4" w:space="0" w:color="auto"/>
              <w:right w:val="single" w:sz="4" w:space="0" w:color="auto"/>
            </w:tcBorders>
            <w:shd w:val="clear" w:color="auto" w:fill="auto"/>
            <w:vAlign w:val="center"/>
            <w:hideMark/>
          </w:tcPr>
          <w:p w14:paraId="5B6D26C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hartës së vlerës së tokës në RSH</w:t>
            </w:r>
          </w:p>
        </w:tc>
        <w:tc>
          <w:tcPr>
            <w:tcW w:w="955" w:type="dxa"/>
            <w:tcBorders>
              <w:top w:val="nil"/>
              <w:left w:val="nil"/>
              <w:bottom w:val="single" w:sz="4" w:space="0" w:color="auto"/>
              <w:right w:val="single" w:sz="4" w:space="0" w:color="auto"/>
            </w:tcBorders>
            <w:shd w:val="clear" w:color="auto" w:fill="auto"/>
            <w:vAlign w:val="center"/>
            <w:hideMark/>
          </w:tcPr>
          <w:p w14:paraId="0574C33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6B7297B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(ASHK)</w:t>
            </w:r>
          </w:p>
        </w:tc>
        <w:tc>
          <w:tcPr>
            <w:tcW w:w="786" w:type="dxa"/>
            <w:tcBorders>
              <w:top w:val="nil"/>
              <w:left w:val="nil"/>
              <w:bottom w:val="single" w:sz="4" w:space="0" w:color="auto"/>
              <w:right w:val="single" w:sz="4" w:space="0" w:color="auto"/>
            </w:tcBorders>
            <w:shd w:val="clear" w:color="auto" w:fill="auto"/>
            <w:vAlign w:val="center"/>
            <w:hideMark/>
          </w:tcPr>
          <w:p w14:paraId="2632DC7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auto" w:fill="auto"/>
            <w:vAlign w:val="center"/>
            <w:hideMark/>
          </w:tcPr>
          <w:p w14:paraId="08406F5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Në funksion të përmirësimit të punës dhe ecurisë së  veprimtarisë së ASHK dhe detyrimeve që burojnë nga ligji nr.111/2018 " Për Kadastrën", neni 9, pika 2, germa k.</w:t>
            </w:r>
          </w:p>
        </w:tc>
        <w:tc>
          <w:tcPr>
            <w:tcW w:w="1740" w:type="dxa"/>
            <w:tcBorders>
              <w:top w:val="nil"/>
              <w:left w:val="nil"/>
              <w:bottom w:val="single" w:sz="4" w:space="0" w:color="auto"/>
              <w:right w:val="single" w:sz="4" w:space="0" w:color="auto"/>
            </w:tcBorders>
            <w:shd w:val="clear" w:color="auto" w:fill="auto"/>
            <w:vAlign w:val="center"/>
            <w:hideMark/>
          </w:tcPr>
          <w:p w14:paraId="2AFB1EB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Përcaktojë hartën e vlerës së tokës në RSH (pasurive të paluajtshme truall, tokë bujqësore, pyll, livadh, kullote), në zbatim të nenit 9/2/k të ligjit nr.111/2018 "Për Kadastrën"</w:t>
            </w:r>
          </w:p>
        </w:tc>
        <w:tc>
          <w:tcPr>
            <w:tcW w:w="1082" w:type="dxa"/>
            <w:tcBorders>
              <w:top w:val="nil"/>
              <w:left w:val="nil"/>
              <w:bottom w:val="single" w:sz="4" w:space="0" w:color="auto"/>
              <w:right w:val="single" w:sz="4" w:space="0" w:color="auto"/>
            </w:tcBorders>
            <w:shd w:val="clear" w:color="auto" w:fill="auto"/>
            <w:noWrap/>
            <w:vAlign w:val="center"/>
            <w:hideMark/>
          </w:tcPr>
          <w:p w14:paraId="7ED707D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1A555C8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Përputhet  me programin politik të qeverisë dhe konkretisht me kreun  "Siguria e prones" (faqe 36-37)</w:t>
            </w:r>
          </w:p>
        </w:tc>
        <w:tc>
          <w:tcPr>
            <w:tcW w:w="1190" w:type="dxa"/>
            <w:tcBorders>
              <w:top w:val="nil"/>
              <w:left w:val="nil"/>
              <w:bottom w:val="single" w:sz="4" w:space="0" w:color="auto"/>
              <w:right w:val="single" w:sz="4" w:space="0" w:color="auto"/>
            </w:tcBorders>
            <w:shd w:val="clear" w:color="auto" w:fill="auto"/>
            <w:vAlign w:val="center"/>
            <w:hideMark/>
          </w:tcPr>
          <w:p w14:paraId="57CBD6E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22" w:type="dxa"/>
            <w:tcBorders>
              <w:top w:val="nil"/>
              <w:left w:val="nil"/>
              <w:bottom w:val="single" w:sz="4" w:space="0" w:color="auto"/>
              <w:right w:val="single" w:sz="4" w:space="0" w:color="auto"/>
            </w:tcBorders>
            <w:shd w:val="clear" w:color="auto" w:fill="auto"/>
            <w:vAlign w:val="center"/>
            <w:hideMark/>
          </w:tcPr>
          <w:p w14:paraId="42001B4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ndikim financiar dhe social</w:t>
            </w:r>
          </w:p>
        </w:tc>
      </w:tr>
      <w:tr w:rsidR="00687E30" w:rsidRPr="00727111" w14:paraId="4BAA8D00"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654F8C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23</w:t>
            </w:r>
          </w:p>
        </w:tc>
        <w:tc>
          <w:tcPr>
            <w:tcW w:w="1466" w:type="dxa"/>
            <w:tcBorders>
              <w:top w:val="nil"/>
              <w:left w:val="nil"/>
              <w:bottom w:val="single" w:sz="4" w:space="0" w:color="000000"/>
              <w:right w:val="single" w:sz="4" w:space="0" w:color="000000"/>
            </w:tcBorders>
            <w:shd w:val="clear" w:color="auto" w:fill="auto"/>
            <w:vAlign w:val="center"/>
            <w:hideMark/>
          </w:tcPr>
          <w:p w14:paraId="24D940D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përcaktimin e mënyrës së ofrimit të shërbimeve elektronike për subjektet private </w:t>
            </w:r>
          </w:p>
        </w:tc>
        <w:tc>
          <w:tcPr>
            <w:tcW w:w="955" w:type="dxa"/>
            <w:tcBorders>
              <w:top w:val="nil"/>
              <w:left w:val="nil"/>
              <w:bottom w:val="single" w:sz="4" w:space="0" w:color="000000"/>
              <w:right w:val="single" w:sz="4" w:space="0" w:color="000000"/>
            </w:tcBorders>
            <w:shd w:val="clear" w:color="auto" w:fill="auto"/>
            <w:vAlign w:val="center"/>
            <w:hideMark/>
          </w:tcPr>
          <w:p w14:paraId="3D9846D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15E1EFA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(AKSHI)</w:t>
            </w:r>
          </w:p>
        </w:tc>
        <w:tc>
          <w:tcPr>
            <w:tcW w:w="786" w:type="dxa"/>
            <w:tcBorders>
              <w:top w:val="nil"/>
              <w:left w:val="nil"/>
              <w:bottom w:val="single" w:sz="4" w:space="0" w:color="000000"/>
              <w:right w:val="single" w:sz="4" w:space="0" w:color="000000"/>
            </w:tcBorders>
            <w:shd w:val="clear" w:color="auto" w:fill="auto"/>
            <w:vAlign w:val="center"/>
            <w:hideMark/>
          </w:tcPr>
          <w:p w14:paraId="17B2F1A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2172" w:type="dxa"/>
            <w:tcBorders>
              <w:top w:val="nil"/>
              <w:left w:val="nil"/>
              <w:bottom w:val="single" w:sz="4" w:space="0" w:color="000000"/>
              <w:right w:val="single" w:sz="4" w:space="0" w:color="000000"/>
            </w:tcBorders>
            <w:shd w:val="clear" w:color="auto" w:fill="auto"/>
            <w:vAlign w:val="center"/>
            <w:hideMark/>
          </w:tcPr>
          <w:p w14:paraId="46EE027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Nnei 52, pika 4, Ligj nr. 43/2023 "Për qeverisjen elektronike" të ndryshuar</w:t>
            </w:r>
          </w:p>
        </w:tc>
        <w:tc>
          <w:tcPr>
            <w:tcW w:w="1740" w:type="dxa"/>
            <w:tcBorders>
              <w:top w:val="nil"/>
              <w:left w:val="nil"/>
              <w:bottom w:val="single" w:sz="4" w:space="0" w:color="000000"/>
              <w:right w:val="single" w:sz="4" w:space="0" w:color="000000"/>
            </w:tcBorders>
            <w:shd w:val="clear" w:color="auto" w:fill="auto"/>
            <w:vAlign w:val="center"/>
            <w:hideMark/>
          </w:tcPr>
          <w:p w14:paraId="33E164C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 Për ofrimin e shërbimeve elektronike nga subjektet private, AKSHI ngre platformën elektronike dhe mundëson pagesën elektronike në mënyrë të drejtpërdrejtë nëpërmjet platformës së pagesave të ngritur nga AKSHI e të pavarur nga platformat elektronike të pagesave nga institucionet financiare.</w:t>
            </w:r>
            <w:r w:rsidRPr="00727111">
              <w:rPr>
                <w:rFonts w:ascii="Garamond" w:hAnsi="Garamond"/>
                <w:color w:val="000000"/>
                <w:sz w:val="12"/>
                <w:szCs w:val="12"/>
                <w:lang w:eastAsia="sq-AL"/>
              </w:rPr>
              <w:br/>
              <w:t>2. Ofrimi i shërbimeve elektronike në platformë ofrohet si mënyrë alternative.</w:t>
            </w:r>
            <w:r w:rsidRPr="00727111">
              <w:rPr>
                <w:rFonts w:ascii="Garamond" w:hAnsi="Garamond"/>
                <w:color w:val="000000"/>
                <w:sz w:val="12"/>
                <w:szCs w:val="12"/>
                <w:lang w:eastAsia="sq-AL"/>
              </w:rPr>
              <w:br/>
              <w:t>3. AKSHI aplikon tarifa për subjektet që zgjedhin ofrimin e shërbimeve elektronike publike në platformë.</w:t>
            </w:r>
          </w:p>
        </w:tc>
        <w:tc>
          <w:tcPr>
            <w:tcW w:w="1082" w:type="dxa"/>
            <w:tcBorders>
              <w:top w:val="nil"/>
              <w:left w:val="nil"/>
              <w:bottom w:val="single" w:sz="4" w:space="0" w:color="000000"/>
              <w:right w:val="single" w:sz="4" w:space="0" w:color="000000"/>
            </w:tcBorders>
            <w:shd w:val="clear" w:color="auto" w:fill="auto"/>
            <w:noWrap/>
            <w:vAlign w:val="center"/>
            <w:hideMark/>
          </w:tcPr>
          <w:p w14:paraId="68E4D09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000000"/>
              <w:right w:val="single" w:sz="4" w:space="0" w:color="000000"/>
            </w:tcBorders>
            <w:shd w:val="clear" w:color="auto" w:fill="auto"/>
            <w:vAlign w:val="center"/>
            <w:hideMark/>
          </w:tcPr>
          <w:p w14:paraId="2D22C23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Fusha, Shoqeria Digjitale</w:t>
            </w:r>
          </w:p>
        </w:tc>
        <w:tc>
          <w:tcPr>
            <w:tcW w:w="1190" w:type="dxa"/>
            <w:tcBorders>
              <w:top w:val="nil"/>
              <w:left w:val="nil"/>
              <w:bottom w:val="single" w:sz="4" w:space="0" w:color="000000"/>
              <w:right w:val="single" w:sz="4" w:space="0" w:color="000000"/>
            </w:tcBorders>
            <w:shd w:val="clear" w:color="auto" w:fill="auto"/>
            <w:vAlign w:val="center"/>
            <w:hideMark/>
          </w:tcPr>
          <w:p w14:paraId="29827D6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Agjenda Digjitale e Shqipërisë 2022 – 2026, miratuar me VKM Nr. 370, datë 1.6.2022, </w:t>
            </w:r>
          </w:p>
        </w:tc>
        <w:tc>
          <w:tcPr>
            <w:tcW w:w="2122" w:type="dxa"/>
            <w:tcBorders>
              <w:top w:val="nil"/>
              <w:left w:val="nil"/>
              <w:bottom w:val="single" w:sz="4" w:space="0" w:color="000000"/>
              <w:right w:val="single" w:sz="4" w:space="0" w:color="000000"/>
            </w:tcBorders>
            <w:shd w:val="clear" w:color="auto" w:fill="auto"/>
            <w:noWrap/>
            <w:vAlign w:val="center"/>
            <w:hideMark/>
          </w:tcPr>
          <w:p w14:paraId="0E11605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1D0AABA7"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8F0223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24</w:t>
            </w:r>
          </w:p>
        </w:tc>
        <w:tc>
          <w:tcPr>
            <w:tcW w:w="1466" w:type="dxa"/>
            <w:tcBorders>
              <w:top w:val="nil"/>
              <w:left w:val="nil"/>
              <w:bottom w:val="single" w:sz="4" w:space="0" w:color="000000"/>
              <w:right w:val="single" w:sz="4" w:space="0" w:color="000000"/>
            </w:tcBorders>
            <w:shd w:val="clear" w:color="auto" w:fill="auto"/>
            <w:vAlign w:val="center"/>
            <w:hideMark/>
          </w:tcPr>
          <w:p w14:paraId="5F5CD94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përcaktimin e Autoritetit përgjegjës për mbledhjen e tarifave </w:t>
            </w:r>
            <w:r w:rsidRPr="00727111">
              <w:rPr>
                <w:rFonts w:ascii="Garamond" w:hAnsi="Garamond"/>
                <w:i/>
                <w:iCs/>
                <w:color w:val="000000"/>
                <w:sz w:val="12"/>
                <w:szCs w:val="12"/>
                <w:lang w:eastAsia="sq-AL"/>
              </w:rPr>
              <w:t>(open data</w:t>
            </w:r>
            <w:r w:rsidRPr="00727111">
              <w:rPr>
                <w:rFonts w:ascii="Garamond" w:hAnsi="Garamond"/>
                <w:color w:val="000000"/>
                <w:sz w:val="12"/>
                <w:szCs w:val="12"/>
                <w:lang w:eastAsia="sq-AL"/>
              </w:rPr>
              <w:t xml:space="preserve">), masën e këtyre tarifave dhe mënyrën e pagesës </w:t>
            </w:r>
          </w:p>
        </w:tc>
        <w:tc>
          <w:tcPr>
            <w:tcW w:w="955" w:type="dxa"/>
            <w:tcBorders>
              <w:top w:val="nil"/>
              <w:left w:val="nil"/>
              <w:bottom w:val="single" w:sz="4" w:space="0" w:color="000000"/>
              <w:right w:val="single" w:sz="4" w:space="0" w:color="000000"/>
            </w:tcBorders>
            <w:shd w:val="clear" w:color="auto" w:fill="auto"/>
            <w:vAlign w:val="center"/>
            <w:hideMark/>
          </w:tcPr>
          <w:p w14:paraId="0807DE4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30E6CB5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Kryeministri/Zv.Kryeministri (AKSHI)</w:t>
            </w:r>
          </w:p>
        </w:tc>
        <w:tc>
          <w:tcPr>
            <w:tcW w:w="786" w:type="dxa"/>
            <w:tcBorders>
              <w:top w:val="nil"/>
              <w:left w:val="nil"/>
              <w:bottom w:val="single" w:sz="4" w:space="0" w:color="000000"/>
              <w:right w:val="single" w:sz="4" w:space="0" w:color="000000"/>
            </w:tcBorders>
            <w:shd w:val="clear" w:color="auto" w:fill="auto"/>
            <w:vAlign w:val="center"/>
            <w:hideMark/>
          </w:tcPr>
          <w:p w14:paraId="2114A7D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000000"/>
              <w:right w:val="single" w:sz="4" w:space="0" w:color="000000"/>
            </w:tcBorders>
            <w:shd w:val="clear" w:color="auto" w:fill="auto"/>
            <w:vAlign w:val="center"/>
            <w:hideMark/>
          </w:tcPr>
          <w:p w14:paraId="3078DDD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Neni 43, pika2, Ligj nr. 43/2023 "Për qeverisjen elektronike"të ndryshuar</w:t>
            </w:r>
          </w:p>
        </w:tc>
        <w:tc>
          <w:tcPr>
            <w:tcW w:w="1740" w:type="dxa"/>
            <w:tcBorders>
              <w:top w:val="nil"/>
              <w:left w:val="nil"/>
              <w:bottom w:val="single" w:sz="4" w:space="0" w:color="000000"/>
              <w:right w:val="single" w:sz="4" w:space="0" w:color="000000"/>
            </w:tcBorders>
            <w:shd w:val="clear" w:color="auto" w:fill="auto"/>
            <w:vAlign w:val="center"/>
            <w:hideMark/>
          </w:tcPr>
          <w:p w14:paraId="27E46EE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Me qëllim krijimin e produkteve të reja të informacionit dhe shërbimeve, të cilat kanë si bazë informacionet dhe të dhënat që gjenden në portalin opendata.gov.al, si dhe për promovimin e zhvillimin e ekonomisë së të dhënave, autoritetet publike dhe AKSHI u ofrojnë personave fizikë dhe juridikë të drejtën e ripërdorimit të informacionit që prodhohet dhe mbahet nga autoritetet </w:t>
            </w:r>
            <w:r w:rsidRPr="00727111">
              <w:rPr>
                <w:rFonts w:ascii="Garamond" w:hAnsi="Garamond"/>
                <w:color w:val="000000"/>
                <w:sz w:val="12"/>
                <w:szCs w:val="12"/>
                <w:lang w:eastAsia="sq-AL"/>
              </w:rPr>
              <w:lastRenderedPageBreak/>
              <w:t>publike si pjesë e të dhënave të hapura.</w:t>
            </w:r>
          </w:p>
        </w:tc>
        <w:tc>
          <w:tcPr>
            <w:tcW w:w="1082" w:type="dxa"/>
            <w:tcBorders>
              <w:top w:val="nil"/>
              <w:left w:val="nil"/>
              <w:bottom w:val="single" w:sz="4" w:space="0" w:color="000000"/>
              <w:right w:val="single" w:sz="4" w:space="0" w:color="000000"/>
            </w:tcBorders>
            <w:shd w:val="clear" w:color="auto" w:fill="auto"/>
            <w:noWrap/>
            <w:vAlign w:val="center"/>
            <w:hideMark/>
          </w:tcPr>
          <w:p w14:paraId="017F8B4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Jo</w:t>
            </w:r>
          </w:p>
        </w:tc>
        <w:tc>
          <w:tcPr>
            <w:tcW w:w="1030" w:type="dxa"/>
            <w:tcBorders>
              <w:top w:val="nil"/>
              <w:left w:val="nil"/>
              <w:bottom w:val="single" w:sz="4" w:space="0" w:color="000000"/>
              <w:right w:val="single" w:sz="4" w:space="0" w:color="000000"/>
            </w:tcBorders>
            <w:shd w:val="clear" w:color="auto" w:fill="auto"/>
            <w:vAlign w:val="center"/>
            <w:hideMark/>
          </w:tcPr>
          <w:p w14:paraId="150F0A3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Fusha, Shoqeria Digjitale</w:t>
            </w:r>
          </w:p>
        </w:tc>
        <w:tc>
          <w:tcPr>
            <w:tcW w:w="1190" w:type="dxa"/>
            <w:tcBorders>
              <w:top w:val="nil"/>
              <w:left w:val="nil"/>
              <w:bottom w:val="single" w:sz="4" w:space="0" w:color="000000"/>
              <w:right w:val="single" w:sz="4" w:space="0" w:color="000000"/>
            </w:tcBorders>
            <w:shd w:val="clear" w:color="auto" w:fill="auto"/>
            <w:vAlign w:val="center"/>
            <w:hideMark/>
          </w:tcPr>
          <w:p w14:paraId="7D06ED1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Agjenda Digjitale e Shqipërisë 2022 – 2026, miratuar me VKM Nr. 370, datë 1.6.2022, </w:t>
            </w:r>
          </w:p>
        </w:tc>
        <w:tc>
          <w:tcPr>
            <w:tcW w:w="2122" w:type="dxa"/>
            <w:tcBorders>
              <w:top w:val="nil"/>
              <w:left w:val="nil"/>
              <w:bottom w:val="single" w:sz="4" w:space="0" w:color="000000"/>
              <w:right w:val="single" w:sz="4" w:space="0" w:color="000000"/>
            </w:tcBorders>
            <w:shd w:val="clear" w:color="auto" w:fill="auto"/>
            <w:noWrap/>
            <w:vAlign w:val="center"/>
            <w:hideMark/>
          </w:tcPr>
          <w:p w14:paraId="0DC36BC9" w14:textId="77777777" w:rsidR="00687E30" w:rsidRPr="00727111" w:rsidRDefault="00687E30" w:rsidP="00687E30">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w:t>
            </w:r>
          </w:p>
        </w:tc>
      </w:tr>
      <w:tr w:rsidR="00687E30" w:rsidRPr="00727111" w14:paraId="220170F8"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D67F0E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25</w:t>
            </w:r>
          </w:p>
        </w:tc>
        <w:tc>
          <w:tcPr>
            <w:tcW w:w="1466" w:type="dxa"/>
            <w:tcBorders>
              <w:top w:val="nil"/>
              <w:left w:val="nil"/>
              <w:bottom w:val="single" w:sz="4" w:space="0" w:color="auto"/>
              <w:right w:val="single" w:sz="4" w:space="0" w:color="auto"/>
            </w:tcBorders>
            <w:shd w:val="clear" w:color="auto" w:fill="auto"/>
            <w:vAlign w:val="center"/>
            <w:hideMark/>
          </w:tcPr>
          <w:p w14:paraId="5791691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listës së të dhënave dhe shërbimeve të Autoritetit shtetëror për Informacionin Gjeohapësinor që do të tarifohen, si dhe masën e tarifës</w:t>
            </w:r>
          </w:p>
        </w:tc>
        <w:tc>
          <w:tcPr>
            <w:tcW w:w="955" w:type="dxa"/>
            <w:tcBorders>
              <w:top w:val="nil"/>
              <w:left w:val="nil"/>
              <w:bottom w:val="single" w:sz="4" w:space="0" w:color="auto"/>
              <w:right w:val="single" w:sz="4" w:space="0" w:color="auto"/>
            </w:tcBorders>
            <w:shd w:val="clear" w:color="auto" w:fill="auto"/>
            <w:vAlign w:val="center"/>
            <w:hideMark/>
          </w:tcPr>
          <w:p w14:paraId="007A7B4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75D7B19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(ASIG)</w:t>
            </w:r>
          </w:p>
        </w:tc>
        <w:tc>
          <w:tcPr>
            <w:tcW w:w="786" w:type="dxa"/>
            <w:tcBorders>
              <w:top w:val="nil"/>
              <w:left w:val="nil"/>
              <w:bottom w:val="single" w:sz="4" w:space="0" w:color="auto"/>
              <w:right w:val="single" w:sz="4" w:space="0" w:color="auto"/>
            </w:tcBorders>
            <w:shd w:val="clear" w:color="auto" w:fill="auto"/>
            <w:vAlign w:val="center"/>
            <w:hideMark/>
          </w:tcPr>
          <w:p w14:paraId="6EC528E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auto" w:fill="auto"/>
            <w:vAlign w:val="center"/>
            <w:hideMark/>
          </w:tcPr>
          <w:p w14:paraId="1CBE0D2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Detyrim ligjor i përcaktuar në Ligjin nr. 103/2024 "Për disa shtesa dhe ndryshime në ligjin nr. 72/2012, “Për organizimin dhe funksionimin e Infrastrukturës Kombëtare të</w:t>
            </w:r>
            <w:r w:rsidRPr="00727111">
              <w:rPr>
                <w:rFonts w:ascii="Garamond" w:hAnsi="Garamond"/>
                <w:color w:val="000000"/>
                <w:sz w:val="12"/>
                <w:szCs w:val="12"/>
                <w:lang w:eastAsia="sq-AL"/>
              </w:rPr>
              <w:br/>
              <w:t>Informacionit Gjeohapësinor në Republikën e Shqipërisë”.</w:t>
            </w:r>
          </w:p>
        </w:tc>
        <w:tc>
          <w:tcPr>
            <w:tcW w:w="1740" w:type="dxa"/>
            <w:tcBorders>
              <w:top w:val="nil"/>
              <w:left w:val="nil"/>
              <w:bottom w:val="single" w:sz="4" w:space="0" w:color="auto"/>
              <w:right w:val="single" w:sz="4" w:space="0" w:color="auto"/>
            </w:tcBorders>
            <w:shd w:val="clear" w:color="auto" w:fill="auto"/>
            <w:vAlign w:val="center"/>
            <w:hideMark/>
          </w:tcPr>
          <w:p w14:paraId="420AE9F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1-Përcaktimin e lisës së të dhënave dhe shërbimeve që do të ofrohen kundrejt tarifave.                                                                                                                            2-Masa e tarifës për cdo të dhënë dhe shërbim që do të tarifohet.</w:t>
            </w:r>
          </w:p>
        </w:tc>
        <w:tc>
          <w:tcPr>
            <w:tcW w:w="1082" w:type="dxa"/>
            <w:tcBorders>
              <w:top w:val="nil"/>
              <w:left w:val="nil"/>
              <w:bottom w:val="single" w:sz="4" w:space="0" w:color="auto"/>
              <w:right w:val="single" w:sz="4" w:space="0" w:color="auto"/>
            </w:tcBorders>
            <w:shd w:val="clear" w:color="auto" w:fill="auto"/>
            <w:noWrap/>
            <w:vAlign w:val="center"/>
            <w:hideMark/>
          </w:tcPr>
          <w:p w14:paraId="37BF1C1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39A5C3B9"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Fusha, Shoqeria</w:t>
            </w:r>
            <w:r w:rsidRPr="00727111">
              <w:rPr>
                <w:rFonts w:ascii="Garamond" w:hAnsi="Garamond"/>
                <w:sz w:val="12"/>
                <w:szCs w:val="12"/>
                <w:lang w:eastAsia="sq-AL"/>
              </w:rPr>
              <w:br/>
              <w:t>Digjitale</w:t>
            </w:r>
          </w:p>
        </w:tc>
        <w:tc>
          <w:tcPr>
            <w:tcW w:w="1190" w:type="dxa"/>
            <w:tcBorders>
              <w:top w:val="nil"/>
              <w:left w:val="nil"/>
              <w:bottom w:val="single" w:sz="4" w:space="0" w:color="auto"/>
              <w:right w:val="single" w:sz="4" w:space="0" w:color="auto"/>
            </w:tcBorders>
            <w:shd w:val="clear" w:color="auto" w:fill="auto"/>
            <w:vAlign w:val="center"/>
            <w:hideMark/>
          </w:tcPr>
          <w:p w14:paraId="2752657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Dokumenti I  politikave “Për Qeverisjen e Sektorit të Informacionit Gjeohapësinor në Shqipëri, 2020-2030”, miratuar me VKM Nr. 402, datë 20.05.2020.</w:t>
            </w:r>
          </w:p>
        </w:tc>
        <w:tc>
          <w:tcPr>
            <w:tcW w:w="2122" w:type="dxa"/>
            <w:tcBorders>
              <w:top w:val="nil"/>
              <w:left w:val="nil"/>
              <w:bottom w:val="single" w:sz="4" w:space="0" w:color="auto"/>
              <w:right w:val="single" w:sz="4" w:space="0" w:color="auto"/>
            </w:tcBorders>
            <w:shd w:val="clear" w:color="auto" w:fill="auto"/>
            <w:noWrap/>
            <w:vAlign w:val="center"/>
            <w:hideMark/>
          </w:tcPr>
          <w:p w14:paraId="1F0BC7E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5596EDD7"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C57917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26</w:t>
            </w:r>
          </w:p>
        </w:tc>
        <w:tc>
          <w:tcPr>
            <w:tcW w:w="1466" w:type="dxa"/>
            <w:tcBorders>
              <w:top w:val="nil"/>
              <w:left w:val="nil"/>
              <w:bottom w:val="single" w:sz="4" w:space="0" w:color="auto"/>
              <w:right w:val="single" w:sz="4" w:space="0" w:color="auto"/>
            </w:tcBorders>
            <w:shd w:val="clear" w:color="auto" w:fill="auto"/>
            <w:vAlign w:val="center"/>
            <w:hideMark/>
          </w:tcPr>
          <w:p w14:paraId="367464F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ratifikimin e Marrëveshjes së Financimit ndërmjet Republikës së Shqipërisë, përfaqësuar nga Këshilli i Ministrave i Republikës së Shqipërisë dhe Komisionit të Bashkimit Evropian, në lidhje me Programin Shumëvjecar "Ekonomia dhe shoqeria digjitale 2024-2027" , në kuadër të Instrumentit të Asistencës së Para-Anëtarësimit (IPA III)”</w:t>
            </w:r>
          </w:p>
        </w:tc>
        <w:tc>
          <w:tcPr>
            <w:tcW w:w="955" w:type="dxa"/>
            <w:tcBorders>
              <w:top w:val="nil"/>
              <w:left w:val="nil"/>
              <w:bottom w:val="single" w:sz="4" w:space="0" w:color="auto"/>
              <w:right w:val="single" w:sz="4" w:space="0" w:color="auto"/>
            </w:tcBorders>
            <w:shd w:val="clear" w:color="auto" w:fill="auto"/>
            <w:vAlign w:val="center"/>
            <w:hideMark/>
          </w:tcPr>
          <w:p w14:paraId="2A5300D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605" w:type="dxa"/>
            <w:tcBorders>
              <w:top w:val="nil"/>
              <w:left w:val="nil"/>
              <w:bottom w:val="single" w:sz="4" w:space="0" w:color="auto"/>
              <w:right w:val="single" w:sz="4" w:space="0" w:color="auto"/>
            </w:tcBorders>
            <w:shd w:val="clear" w:color="auto" w:fill="auto"/>
            <w:vAlign w:val="center"/>
            <w:hideMark/>
          </w:tcPr>
          <w:p w14:paraId="4D5359F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auto" w:fill="auto"/>
            <w:vAlign w:val="center"/>
            <w:hideMark/>
          </w:tcPr>
          <w:p w14:paraId="11B0601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pare</w:t>
            </w:r>
          </w:p>
        </w:tc>
        <w:tc>
          <w:tcPr>
            <w:tcW w:w="2172" w:type="dxa"/>
            <w:tcBorders>
              <w:top w:val="nil"/>
              <w:left w:val="nil"/>
              <w:bottom w:val="single" w:sz="4" w:space="0" w:color="auto"/>
              <w:right w:val="single" w:sz="4" w:space="0" w:color="auto"/>
            </w:tcBorders>
            <w:shd w:val="clear" w:color="auto" w:fill="auto"/>
            <w:vAlign w:val="center"/>
            <w:hideMark/>
          </w:tcPr>
          <w:p w14:paraId="3662D44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Detyrimet e parashikuara në Nenin 10 të Ligjit nr. 43/2016 “Për marrëveshjet ndërkombëtare në Republikën e Shqipërisë”. Me miratimin e këtij projektakti, Shqipëria bëhet përfituese e fondeve të BE dhe i lind e drejta e aksesimit dhe përthithjes së fondeve të miratuara në këtë program. </w:t>
            </w:r>
          </w:p>
        </w:tc>
        <w:tc>
          <w:tcPr>
            <w:tcW w:w="1740" w:type="dxa"/>
            <w:tcBorders>
              <w:top w:val="nil"/>
              <w:left w:val="nil"/>
              <w:bottom w:val="single" w:sz="4" w:space="0" w:color="auto"/>
              <w:right w:val="single" w:sz="4" w:space="0" w:color="auto"/>
            </w:tcBorders>
            <w:shd w:val="clear" w:color="auto" w:fill="auto"/>
            <w:vAlign w:val="center"/>
            <w:hideMark/>
          </w:tcPr>
          <w:p w14:paraId="0877838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Prioritetet tematike të programit, strukturat, autoritetet, palët, mënyrat e financimit të projekteve, alokimet dhe kushtet financiare të marrëveshjes</w:t>
            </w:r>
          </w:p>
        </w:tc>
        <w:tc>
          <w:tcPr>
            <w:tcW w:w="1082" w:type="dxa"/>
            <w:tcBorders>
              <w:top w:val="nil"/>
              <w:left w:val="nil"/>
              <w:bottom w:val="single" w:sz="4" w:space="0" w:color="auto"/>
              <w:right w:val="single" w:sz="4" w:space="0" w:color="auto"/>
            </w:tcBorders>
            <w:shd w:val="clear" w:color="auto" w:fill="auto"/>
            <w:vAlign w:val="center"/>
            <w:hideMark/>
          </w:tcPr>
          <w:p w14:paraId="6BFDF86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092EAAB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Modernizim për zhvillim</w:t>
            </w:r>
            <w:r w:rsidRPr="00727111">
              <w:rPr>
                <w:rFonts w:ascii="Garamond" w:hAnsi="Garamond"/>
                <w:color w:val="000000"/>
                <w:sz w:val="12"/>
                <w:szCs w:val="12"/>
                <w:lang w:eastAsia="sq-AL"/>
              </w:rPr>
              <w:br/>
              <w:t>Energjia</w:t>
            </w:r>
            <w:r w:rsidRPr="00727111">
              <w:rPr>
                <w:rFonts w:ascii="Garamond" w:hAnsi="Garamond"/>
                <w:color w:val="000000"/>
                <w:sz w:val="12"/>
                <w:szCs w:val="12"/>
                <w:lang w:eastAsia="sq-AL"/>
              </w:rPr>
              <w:br/>
              <w:t>Shoqeria digjitale</w:t>
            </w:r>
            <w:r w:rsidRPr="00727111">
              <w:rPr>
                <w:rFonts w:ascii="Garamond" w:hAnsi="Garamond"/>
                <w:color w:val="000000"/>
                <w:sz w:val="12"/>
                <w:szCs w:val="12"/>
                <w:lang w:eastAsia="sq-AL"/>
              </w:rPr>
              <w:br/>
              <w:t>Integrimi Europian</w:t>
            </w:r>
          </w:p>
        </w:tc>
        <w:tc>
          <w:tcPr>
            <w:tcW w:w="1190" w:type="dxa"/>
            <w:tcBorders>
              <w:top w:val="nil"/>
              <w:left w:val="nil"/>
              <w:bottom w:val="single" w:sz="4" w:space="0" w:color="auto"/>
              <w:right w:val="single" w:sz="4" w:space="0" w:color="auto"/>
            </w:tcBorders>
            <w:shd w:val="clear" w:color="auto" w:fill="auto"/>
            <w:vAlign w:val="center"/>
            <w:hideMark/>
          </w:tcPr>
          <w:p w14:paraId="5E58ADC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Zhvillim dhe Integrim Evropian</w:t>
            </w:r>
          </w:p>
        </w:tc>
        <w:tc>
          <w:tcPr>
            <w:tcW w:w="2122" w:type="dxa"/>
            <w:tcBorders>
              <w:top w:val="nil"/>
              <w:left w:val="nil"/>
              <w:bottom w:val="single" w:sz="4" w:space="0" w:color="auto"/>
              <w:right w:val="single" w:sz="4" w:space="0" w:color="auto"/>
            </w:tcBorders>
            <w:shd w:val="clear" w:color="auto" w:fill="auto"/>
            <w:vAlign w:val="center"/>
            <w:hideMark/>
          </w:tcPr>
          <w:p w14:paraId="0B0EE5E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2C3477CD"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1A2F34E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27</w:t>
            </w:r>
          </w:p>
        </w:tc>
        <w:tc>
          <w:tcPr>
            <w:tcW w:w="1466" w:type="dxa"/>
            <w:tcBorders>
              <w:top w:val="nil"/>
              <w:left w:val="nil"/>
              <w:bottom w:val="single" w:sz="4" w:space="0" w:color="auto"/>
              <w:right w:val="single" w:sz="4" w:space="0" w:color="auto"/>
            </w:tcBorders>
            <w:shd w:val="clear" w:color="auto" w:fill="auto"/>
            <w:vAlign w:val="center"/>
            <w:hideMark/>
          </w:tcPr>
          <w:p w14:paraId="200DA66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ratifikimin e Marrëveshjes së Financimit ndërmjet Republikës së Shqipërisë, përfaqësuar nga Këshilli i Ministrave i Republikës së Shqipërisë dhe Komisionit të Bashkimit Evropian, në lidhje me Programin Shumëvjecar "Punesimi i rinise 2024-2027", në kuadër të Instrumentit të Asistencës së Para-Anëtarësimit (IPA III)”</w:t>
            </w:r>
          </w:p>
        </w:tc>
        <w:tc>
          <w:tcPr>
            <w:tcW w:w="955" w:type="dxa"/>
            <w:tcBorders>
              <w:top w:val="nil"/>
              <w:left w:val="nil"/>
              <w:bottom w:val="single" w:sz="4" w:space="0" w:color="auto"/>
              <w:right w:val="single" w:sz="4" w:space="0" w:color="auto"/>
            </w:tcBorders>
            <w:shd w:val="clear" w:color="auto" w:fill="auto"/>
            <w:vAlign w:val="center"/>
            <w:hideMark/>
          </w:tcPr>
          <w:p w14:paraId="46B4F25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605" w:type="dxa"/>
            <w:tcBorders>
              <w:top w:val="nil"/>
              <w:left w:val="nil"/>
              <w:bottom w:val="single" w:sz="4" w:space="0" w:color="auto"/>
              <w:right w:val="single" w:sz="4" w:space="0" w:color="auto"/>
            </w:tcBorders>
            <w:shd w:val="clear" w:color="auto" w:fill="auto"/>
            <w:vAlign w:val="center"/>
            <w:hideMark/>
          </w:tcPr>
          <w:p w14:paraId="26C1CD4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auto" w:fill="auto"/>
            <w:vAlign w:val="center"/>
            <w:hideMark/>
          </w:tcPr>
          <w:p w14:paraId="73EDA05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pare</w:t>
            </w:r>
          </w:p>
        </w:tc>
        <w:tc>
          <w:tcPr>
            <w:tcW w:w="2172" w:type="dxa"/>
            <w:tcBorders>
              <w:top w:val="nil"/>
              <w:left w:val="nil"/>
              <w:bottom w:val="single" w:sz="4" w:space="0" w:color="auto"/>
              <w:right w:val="single" w:sz="4" w:space="0" w:color="auto"/>
            </w:tcBorders>
            <w:shd w:val="clear" w:color="auto" w:fill="auto"/>
            <w:vAlign w:val="center"/>
            <w:hideMark/>
          </w:tcPr>
          <w:p w14:paraId="7E2D319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Detyrimet e parashikuara në Nenin 10 të Ligjit nr. 43/2016 “Për marrëveshjet ndërkombëtare në Republikën e Shqipërisë”. Me miratimin e këtij projektakti, Shqipëria bëhet përfituese e fondeve të BE dhe i lind e drejta e aksesimit dhe përthithjes së fondeve të miratuara në këtë program. </w:t>
            </w:r>
          </w:p>
        </w:tc>
        <w:tc>
          <w:tcPr>
            <w:tcW w:w="1740" w:type="dxa"/>
            <w:tcBorders>
              <w:top w:val="nil"/>
              <w:left w:val="nil"/>
              <w:bottom w:val="single" w:sz="4" w:space="0" w:color="auto"/>
              <w:right w:val="single" w:sz="4" w:space="0" w:color="auto"/>
            </w:tcBorders>
            <w:shd w:val="clear" w:color="auto" w:fill="auto"/>
            <w:vAlign w:val="center"/>
            <w:hideMark/>
          </w:tcPr>
          <w:p w14:paraId="26D4AE7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Prioritetet tematike të programit, strukturat, autoritetet, palët, mënyrat e financimit të projekteve, alokimet dhe kushtet financiare të marrëveshjes</w:t>
            </w:r>
          </w:p>
        </w:tc>
        <w:tc>
          <w:tcPr>
            <w:tcW w:w="1082" w:type="dxa"/>
            <w:tcBorders>
              <w:top w:val="nil"/>
              <w:left w:val="nil"/>
              <w:bottom w:val="single" w:sz="4" w:space="0" w:color="auto"/>
              <w:right w:val="single" w:sz="4" w:space="0" w:color="auto"/>
            </w:tcBorders>
            <w:shd w:val="clear" w:color="auto" w:fill="auto"/>
            <w:vAlign w:val="center"/>
            <w:hideMark/>
          </w:tcPr>
          <w:p w14:paraId="483717F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049FA37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Punesimi</w:t>
            </w:r>
            <w:r w:rsidRPr="00727111">
              <w:rPr>
                <w:rFonts w:ascii="Garamond" w:hAnsi="Garamond"/>
                <w:color w:val="000000"/>
                <w:sz w:val="12"/>
                <w:szCs w:val="12"/>
                <w:lang w:eastAsia="sq-AL"/>
              </w:rPr>
              <w:br/>
              <w:t>Integrimi Europian</w:t>
            </w:r>
          </w:p>
        </w:tc>
        <w:tc>
          <w:tcPr>
            <w:tcW w:w="1190" w:type="dxa"/>
            <w:tcBorders>
              <w:top w:val="nil"/>
              <w:left w:val="nil"/>
              <w:bottom w:val="single" w:sz="4" w:space="0" w:color="auto"/>
              <w:right w:val="single" w:sz="4" w:space="0" w:color="auto"/>
            </w:tcBorders>
            <w:shd w:val="clear" w:color="auto" w:fill="auto"/>
            <w:vAlign w:val="center"/>
            <w:hideMark/>
          </w:tcPr>
          <w:p w14:paraId="7B4FF22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Zhvillim dhe Integrim Evropian</w:t>
            </w:r>
          </w:p>
        </w:tc>
        <w:tc>
          <w:tcPr>
            <w:tcW w:w="2122" w:type="dxa"/>
            <w:tcBorders>
              <w:top w:val="nil"/>
              <w:left w:val="nil"/>
              <w:bottom w:val="single" w:sz="4" w:space="0" w:color="auto"/>
              <w:right w:val="single" w:sz="4" w:space="0" w:color="auto"/>
            </w:tcBorders>
            <w:shd w:val="clear" w:color="auto" w:fill="auto"/>
            <w:vAlign w:val="center"/>
            <w:hideMark/>
          </w:tcPr>
          <w:p w14:paraId="450A037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1266F8DA"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73E4BF7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28</w:t>
            </w:r>
          </w:p>
        </w:tc>
        <w:tc>
          <w:tcPr>
            <w:tcW w:w="1466" w:type="dxa"/>
            <w:tcBorders>
              <w:top w:val="nil"/>
              <w:left w:val="nil"/>
              <w:bottom w:val="single" w:sz="4" w:space="0" w:color="auto"/>
              <w:right w:val="single" w:sz="4" w:space="0" w:color="auto"/>
            </w:tcBorders>
            <w:shd w:val="clear" w:color="auto" w:fill="auto"/>
            <w:vAlign w:val="center"/>
            <w:hideMark/>
          </w:tcPr>
          <w:p w14:paraId="29917FA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ratifikimin e Marrëveshjes së Financimit ndërmjet Republikës së Shqipërisë, përfaqësuar nga Këshilli i Ministrave i Republikës së Shqipërisë dhe Komisionit të Bashkimit Evropian, në lidhje me Programin Shumëvjecar "Per Energjine 2024-2027", në kuadër të Instrumentit të Asistencës së Para-Anëtarësimit (IPA III)”</w:t>
            </w:r>
          </w:p>
        </w:tc>
        <w:tc>
          <w:tcPr>
            <w:tcW w:w="955" w:type="dxa"/>
            <w:tcBorders>
              <w:top w:val="nil"/>
              <w:left w:val="nil"/>
              <w:bottom w:val="single" w:sz="4" w:space="0" w:color="auto"/>
              <w:right w:val="single" w:sz="4" w:space="0" w:color="auto"/>
            </w:tcBorders>
            <w:shd w:val="clear" w:color="auto" w:fill="auto"/>
            <w:vAlign w:val="center"/>
            <w:hideMark/>
          </w:tcPr>
          <w:p w14:paraId="4DDB4AF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605" w:type="dxa"/>
            <w:tcBorders>
              <w:top w:val="nil"/>
              <w:left w:val="nil"/>
              <w:bottom w:val="single" w:sz="4" w:space="0" w:color="auto"/>
              <w:right w:val="single" w:sz="4" w:space="0" w:color="auto"/>
            </w:tcBorders>
            <w:shd w:val="clear" w:color="auto" w:fill="auto"/>
            <w:vAlign w:val="center"/>
            <w:hideMark/>
          </w:tcPr>
          <w:p w14:paraId="70D8A88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auto" w:fill="auto"/>
            <w:vAlign w:val="center"/>
            <w:hideMark/>
          </w:tcPr>
          <w:p w14:paraId="42C5E3A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pare</w:t>
            </w:r>
          </w:p>
        </w:tc>
        <w:tc>
          <w:tcPr>
            <w:tcW w:w="2172" w:type="dxa"/>
            <w:tcBorders>
              <w:top w:val="nil"/>
              <w:left w:val="nil"/>
              <w:bottom w:val="single" w:sz="4" w:space="0" w:color="auto"/>
              <w:right w:val="single" w:sz="4" w:space="0" w:color="auto"/>
            </w:tcBorders>
            <w:shd w:val="clear" w:color="auto" w:fill="auto"/>
            <w:vAlign w:val="center"/>
            <w:hideMark/>
          </w:tcPr>
          <w:p w14:paraId="3CBABEA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Detyrimet e parashikuara në Nenin 10 të Ligjit nr. 43/2016 “Për marrëveshjet ndërkombëtare në Republikën e Shqipërisë”. Me miratimin e këtij projektakti, Shqipëria bëhet përfituese e fondeve të BE dhe i lind e drejta e aksesimit dhe përthithjes së fondeve të miratuara në këtë program. </w:t>
            </w:r>
          </w:p>
        </w:tc>
        <w:tc>
          <w:tcPr>
            <w:tcW w:w="1740" w:type="dxa"/>
            <w:tcBorders>
              <w:top w:val="nil"/>
              <w:left w:val="nil"/>
              <w:bottom w:val="single" w:sz="4" w:space="0" w:color="auto"/>
              <w:right w:val="single" w:sz="4" w:space="0" w:color="auto"/>
            </w:tcBorders>
            <w:shd w:val="clear" w:color="auto" w:fill="auto"/>
            <w:vAlign w:val="center"/>
            <w:hideMark/>
          </w:tcPr>
          <w:p w14:paraId="6330EFB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Prioritetet tematike të programit, strukturat, autoritetet, palët, mënyrat e financimit të projekteve, alokimet dhe kushtet financiare të marrëveshjes</w:t>
            </w:r>
          </w:p>
        </w:tc>
        <w:tc>
          <w:tcPr>
            <w:tcW w:w="1082" w:type="dxa"/>
            <w:tcBorders>
              <w:top w:val="nil"/>
              <w:left w:val="nil"/>
              <w:bottom w:val="single" w:sz="4" w:space="0" w:color="auto"/>
              <w:right w:val="single" w:sz="4" w:space="0" w:color="auto"/>
            </w:tcBorders>
            <w:shd w:val="clear" w:color="auto" w:fill="auto"/>
            <w:vAlign w:val="center"/>
            <w:hideMark/>
          </w:tcPr>
          <w:p w14:paraId="67696AF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523A637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Energjia</w:t>
            </w:r>
            <w:r w:rsidRPr="00727111">
              <w:rPr>
                <w:rFonts w:ascii="Garamond" w:hAnsi="Garamond"/>
                <w:color w:val="000000"/>
                <w:sz w:val="12"/>
                <w:szCs w:val="12"/>
                <w:lang w:eastAsia="sq-AL"/>
              </w:rPr>
              <w:br/>
              <w:t>Integrimi europian</w:t>
            </w:r>
          </w:p>
        </w:tc>
        <w:tc>
          <w:tcPr>
            <w:tcW w:w="1190" w:type="dxa"/>
            <w:tcBorders>
              <w:top w:val="nil"/>
              <w:left w:val="nil"/>
              <w:bottom w:val="single" w:sz="4" w:space="0" w:color="auto"/>
              <w:right w:val="single" w:sz="4" w:space="0" w:color="auto"/>
            </w:tcBorders>
            <w:shd w:val="clear" w:color="auto" w:fill="auto"/>
            <w:vAlign w:val="center"/>
            <w:hideMark/>
          </w:tcPr>
          <w:p w14:paraId="2507D51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Zhvillim dhe Integrim Evropian</w:t>
            </w:r>
          </w:p>
        </w:tc>
        <w:tc>
          <w:tcPr>
            <w:tcW w:w="2122" w:type="dxa"/>
            <w:tcBorders>
              <w:top w:val="nil"/>
              <w:left w:val="nil"/>
              <w:bottom w:val="single" w:sz="4" w:space="0" w:color="auto"/>
              <w:right w:val="single" w:sz="4" w:space="0" w:color="auto"/>
            </w:tcBorders>
            <w:shd w:val="clear" w:color="auto" w:fill="auto"/>
            <w:vAlign w:val="center"/>
            <w:hideMark/>
          </w:tcPr>
          <w:p w14:paraId="3886473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39150DFC"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13657DF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29</w:t>
            </w:r>
          </w:p>
        </w:tc>
        <w:tc>
          <w:tcPr>
            <w:tcW w:w="1466" w:type="dxa"/>
            <w:tcBorders>
              <w:top w:val="nil"/>
              <w:left w:val="nil"/>
              <w:bottom w:val="single" w:sz="4" w:space="0" w:color="auto"/>
              <w:right w:val="single" w:sz="4" w:space="0" w:color="auto"/>
            </w:tcBorders>
            <w:shd w:val="clear" w:color="auto" w:fill="auto"/>
            <w:vAlign w:val="center"/>
            <w:hideMark/>
          </w:tcPr>
          <w:p w14:paraId="379D499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Per miratimin e Marrëveshjes së Financimit ndërmjet Republikës së Shqipërisë, përfaqësuar nga Këshilli i Ministrave i Republikës së Shqipërisë dhe Komisionit të Bashkimit Evropian, në lidhje me Programin Vjetor Kombëtar për Shqipërinë për vitin 2024, në kuadër të Instrumentit </w:t>
            </w:r>
            <w:r w:rsidRPr="00727111">
              <w:rPr>
                <w:rFonts w:ascii="Garamond" w:hAnsi="Garamond"/>
                <w:color w:val="000000"/>
                <w:sz w:val="12"/>
                <w:szCs w:val="12"/>
                <w:lang w:eastAsia="sq-AL"/>
              </w:rPr>
              <w:lastRenderedPageBreak/>
              <w:t>të Asistencës së Para-Anëtarësimit (IPA III)”</w:t>
            </w:r>
          </w:p>
        </w:tc>
        <w:tc>
          <w:tcPr>
            <w:tcW w:w="955" w:type="dxa"/>
            <w:tcBorders>
              <w:top w:val="nil"/>
              <w:left w:val="nil"/>
              <w:bottom w:val="single" w:sz="4" w:space="0" w:color="auto"/>
              <w:right w:val="single" w:sz="4" w:space="0" w:color="auto"/>
            </w:tcBorders>
            <w:shd w:val="clear" w:color="auto" w:fill="auto"/>
            <w:vAlign w:val="center"/>
            <w:hideMark/>
          </w:tcPr>
          <w:p w14:paraId="281DD55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Projektvendim</w:t>
            </w:r>
          </w:p>
        </w:tc>
        <w:tc>
          <w:tcPr>
            <w:tcW w:w="1605" w:type="dxa"/>
            <w:tcBorders>
              <w:top w:val="nil"/>
              <w:left w:val="nil"/>
              <w:bottom w:val="single" w:sz="4" w:space="0" w:color="auto"/>
              <w:right w:val="single" w:sz="4" w:space="0" w:color="auto"/>
            </w:tcBorders>
            <w:shd w:val="clear" w:color="auto" w:fill="auto"/>
            <w:vAlign w:val="center"/>
            <w:hideMark/>
          </w:tcPr>
          <w:p w14:paraId="1B8D50A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auto" w:fill="auto"/>
            <w:vAlign w:val="center"/>
            <w:hideMark/>
          </w:tcPr>
          <w:p w14:paraId="175AFFE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pare</w:t>
            </w:r>
          </w:p>
        </w:tc>
        <w:tc>
          <w:tcPr>
            <w:tcW w:w="2172" w:type="dxa"/>
            <w:tcBorders>
              <w:top w:val="nil"/>
              <w:left w:val="nil"/>
              <w:bottom w:val="single" w:sz="4" w:space="0" w:color="auto"/>
              <w:right w:val="single" w:sz="4" w:space="0" w:color="auto"/>
            </w:tcBorders>
            <w:shd w:val="clear" w:color="auto" w:fill="auto"/>
            <w:vAlign w:val="center"/>
            <w:hideMark/>
          </w:tcPr>
          <w:p w14:paraId="19187C2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Detyrimet e parashikuara në Nenin 10 të Ligjit nr. 43/2016 “Për marrëveshjet ndërkombëtare në Republikën e Shqipërisë”. Me miratimin e këtij projektakti, Shqipëria bëhet përfituese e fondeve të BE dhe i lind e drejta e aksesimit dhe përthithjes së fondeve të miratuara në këtë program. </w:t>
            </w:r>
          </w:p>
        </w:tc>
        <w:tc>
          <w:tcPr>
            <w:tcW w:w="1740" w:type="dxa"/>
            <w:tcBorders>
              <w:top w:val="nil"/>
              <w:left w:val="nil"/>
              <w:bottom w:val="single" w:sz="4" w:space="0" w:color="auto"/>
              <w:right w:val="single" w:sz="4" w:space="0" w:color="auto"/>
            </w:tcBorders>
            <w:shd w:val="clear" w:color="auto" w:fill="auto"/>
            <w:vAlign w:val="center"/>
            <w:hideMark/>
          </w:tcPr>
          <w:p w14:paraId="5B602E0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Prioritetet tematike të programit, strukturat, autoritetet, palët, mënyrat e financimit të projekteve, alokimet dhe kushtet financiare të marrëveshjes</w:t>
            </w:r>
          </w:p>
        </w:tc>
        <w:tc>
          <w:tcPr>
            <w:tcW w:w="1082" w:type="dxa"/>
            <w:tcBorders>
              <w:top w:val="nil"/>
              <w:left w:val="nil"/>
              <w:bottom w:val="single" w:sz="4" w:space="0" w:color="auto"/>
              <w:right w:val="single" w:sz="4" w:space="0" w:color="auto"/>
            </w:tcBorders>
            <w:shd w:val="clear" w:color="auto" w:fill="auto"/>
            <w:vAlign w:val="center"/>
            <w:hideMark/>
          </w:tcPr>
          <w:p w14:paraId="13D2830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0DFA98F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Punesimi                          Lufta kunder korrupsionit</w:t>
            </w:r>
            <w:r w:rsidRPr="00727111">
              <w:rPr>
                <w:rFonts w:ascii="Garamond" w:hAnsi="Garamond"/>
                <w:color w:val="000000"/>
                <w:sz w:val="12"/>
                <w:szCs w:val="12"/>
                <w:lang w:eastAsia="sq-AL"/>
              </w:rPr>
              <w:br/>
              <w:t xml:space="preserve">Zhvillimi i bujqësisë </w:t>
            </w:r>
            <w:r w:rsidRPr="00727111">
              <w:rPr>
                <w:rFonts w:ascii="Garamond" w:hAnsi="Garamond"/>
                <w:color w:val="000000"/>
                <w:sz w:val="12"/>
                <w:szCs w:val="12"/>
                <w:lang w:eastAsia="sq-AL"/>
              </w:rPr>
              <w:br/>
              <w:t>Infrastruktura lokale</w:t>
            </w:r>
            <w:r w:rsidRPr="00727111">
              <w:rPr>
                <w:rFonts w:ascii="Garamond" w:hAnsi="Garamond"/>
                <w:color w:val="000000"/>
                <w:sz w:val="12"/>
                <w:szCs w:val="12"/>
                <w:lang w:eastAsia="sq-AL"/>
              </w:rPr>
              <w:br/>
              <w:t xml:space="preserve">Turizmi dhe mjedisi </w:t>
            </w:r>
            <w:r w:rsidRPr="00727111">
              <w:rPr>
                <w:rFonts w:ascii="Garamond" w:hAnsi="Garamond"/>
                <w:color w:val="000000"/>
                <w:sz w:val="12"/>
                <w:szCs w:val="12"/>
                <w:lang w:eastAsia="sq-AL"/>
              </w:rPr>
              <w:br/>
              <w:t>Integrimi Europian</w:t>
            </w:r>
          </w:p>
        </w:tc>
        <w:tc>
          <w:tcPr>
            <w:tcW w:w="1190" w:type="dxa"/>
            <w:tcBorders>
              <w:top w:val="nil"/>
              <w:left w:val="nil"/>
              <w:bottom w:val="single" w:sz="4" w:space="0" w:color="auto"/>
              <w:right w:val="single" w:sz="4" w:space="0" w:color="auto"/>
            </w:tcBorders>
            <w:shd w:val="clear" w:color="auto" w:fill="auto"/>
            <w:vAlign w:val="center"/>
            <w:hideMark/>
          </w:tcPr>
          <w:p w14:paraId="61CBE0C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Zhvillim dhe Integrim Evropian</w:t>
            </w:r>
          </w:p>
        </w:tc>
        <w:tc>
          <w:tcPr>
            <w:tcW w:w="2122" w:type="dxa"/>
            <w:tcBorders>
              <w:top w:val="nil"/>
              <w:left w:val="nil"/>
              <w:bottom w:val="single" w:sz="4" w:space="0" w:color="auto"/>
              <w:right w:val="single" w:sz="4" w:space="0" w:color="auto"/>
            </w:tcBorders>
            <w:shd w:val="clear" w:color="auto" w:fill="auto"/>
            <w:vAlign w:val="center"/>
            <w:hideMark/>
          </w:tcPr>
          <w:p w14:paraId="657AF4F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73A15966"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77C65D5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30</w:t>
            </w:r>
          </w:p>
        </w:tc>
        <w:tc>
          <w:tcPr>
            <w:tcW w:w="1466" w:type="dxa"/>
            <w:tcBorders>
              <w:top w:val="nil"/>
              <w:left w:val="nil"/>
              <w:bottom w:val="single" w:sz="4" w:space="0" w:color="auto"/>
              <w:right w:val="single" w:sz="4" w:space="0" w:color="auto"/>
            </w:tcBorders>
            <w:shd w:val="clear" w:color="auto" w:fill="auto"/>
            <w:vAlign w:val="center"/>
            <w:hideMark/>
          </w:tcPr>
          <w:p w14:paraId="0FF8399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Per miratimin e Marrëveshjes së Financimit ndërmjet Republikës së Shqipërisë, përfaqësuar nga Këshilli i Ministrave i Republikës së Shqipërisë dhe Komisionit të Bashkimit Evropian, në lidhje me Programin Vjetor Kombëtar për Shqipërinë për vitin 2025, në kuadër të Instrumentit të Asistencës së Para-Anëtarësimit (IPA III)”</w:t>
            </w:r>
          </w:p>
        </w:tc>
        <w:tc>
          <w:tcPr>
            <w:tcW w:w="955" w:type="dxa"/>
            <w:tcBorders>
              <w:top w:val="nil"/>
              <w:left w:val="nil"/>
              <w:bottom w:val="single" w:sz="4" w:space="0" w:color="auto"/>
              <w:right w:val="single" w:sz="4" w:space="0" w:color="auto"/>
            </w:tcBorders>
            <w:shd w:val="clear" w:color="auto" w:fill="auto"/>
            <w:vAlign w:val="center"/>
            <w:hideMark/>
          </w:tcPr>
          <w:p w14:paraId="40C6EF8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2ADF464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auto" w:fill="auto"/>
            <w:vAlign w:val="center"/>
            <w:hideMark/>
          </w:tcPr>
          <w:p w14:paraId="529751B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fundit</w:t>
            </w:r>
          </w:p>
        </w:tc>
        <w:tc>
          <w:tcPr>
            <w:tcW w:w="2172" w:type="dxa"/>
            <w:tcBorders>
              <w:top w:val="nil"/>
              <w:left w:val="nil"/>
              <w:bottom w:val="single" w:sz="4" w:space="0" w:color="auto"/>
              <w:right w:val="single" w:sz="4" w:space="0" w:color="auto"/>
            </w:tcBorders>
            <w:shd w:val="clear" w:color="auto" w:fill="auto"/>
            <w:vAlign w:val="center"/>
            <w:hideMark/>
          </w:tcPr>
          <w:p w14:paraId="1227412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Detyrimet e parashikuara në Nenin 10 të Ligjit nr. 43/2016 “Për marrëveshjet ndërkombëtare në Republikën e Shqipërisë”. Me miratimin e këtij projektakti, Shqipëria bëhet përfituese e fondeve të BE dhe i lind e drejta e aksesimit dhe përthithjes së fondeve të miratuara në këtë program. </w:t>
            </w:r>
          </w:p>
        </w:tc>
        <w:tc>
          <w:tcPr>
            <w:tcW w:w="1740" w:type="dxa"/>
            <w:tcBorders>
              <w:top w:val="nil"/>
              <w:left w:val="nil"/>
              <w:bottom w:val="single" w:sz="4" w:space="0" w:color="auto"/>
              <w:right w:val="single" w:sz="4" w:space="0" w:color="auto"/>
            </w:tcBorders>
            <w:shd w:val="clear" w:color="auto" w:fill="auto"/>
            <w:vAlign w:val="center"/>
            <w:hideMark/>
          </w:tcPr>
          <w:p w14:paraId="06FB8DA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Prioritetet tematike të programit, strukturat, autoritetet, palët, mënyrat e financimit të projekteve, alokimet dhe kushtet financiare të marrëveshjes</w:t>
            </w:r>
          </w:p>
        </w:tc>
        <w:tc>
          <w:tcPr>
            <w:tcW w:w="1082" w:type="dxa"/>
            <w:tcBorders>
              <w:top w:val="nil"/>
              <w:left w:val="nil"/>
              <w:bottom w:val="single" w:sz="4" w:space="0" w:color="auto"/>
              <w:right w:val="single" w:sz="4" w:space="0" w:color="auto"/>
            </w:tcBorders>
            <w:shd w:val="clear" w:color="auto" w:fill="auto"/>
            <w:vAlign w:val="center"/>
            <w:hideMark/>
          </w:tcPr>
          <w:p w14:paraId="7B75E54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74E9DC0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Drejtesia</w:t>
            </w:r>
            <w:r w:rsidRPr="00727111">
              <w:rPr>
                <w:rFonts w:ascii="Garamond" w:hAnsi="Garamond"/>
                <w:color w:val="000000"/>
                <w:sz w:val="12"/>
                <w:szCs w:val="12"/>
                <w:lang w:eastAsia="sq-AL"/>
              </w:rPr>
              <w:br/>
              <w:t>Te drejtat e njeriut</w:t>
            </w:r>
            <w:r w:rsidRPr="00727111">
              <w:rPr>
                <w:rFonts w:ascii="Garamond" w:hAnsi="Garamond"/>
                <w:color w:val="000000"/>
                <w:sz w:val="12"/>
                <w:szCs w:val="12"/>
                <w:lang w:eastAsia="sq-AL"/>
              </w:rPr>
              <w:br/>
              <w:t>Materialet e para kritike</w:t>
            </w:r>
            <w:r w:rsidRPr="00727111">
              <w:rPr>
                <w:rFonts w:ascii="Garamond" w:hAnsi="Garamond"/>
                <w:color w:val="000000"/>
                <w:sz w:val="12"/>
                <w:szCs w:val="12"/>
                <w:lang w:eastAsia="sq-AL"/>
              </w:rPr>
              <w:br/>
              <w:t>Integrimi europian</w:t>
            </w:r>
          </w:p>
        </w:tc>
        <w:tc>
          <w:tcPr>
            <w:tcW w:w="1190" w:type="dxa"/>
            <w:tcBorders>
              <w:top w:val="nil"/>
              <w:left w:val="nil"/>
              <w:bottom w:val="single" w:sz="4" w:space="0" w:color="auto"/>
              <w:right w:val="single" w:sz="4" w:space="0" w:color="auto"/>
            </w:tcBorders>
            <w:shd w:val="clear" w:color="auto" w:fill="auto"/>
            <w:vAlign w:val="center"/>
            <w:hideMark/>
          </w:tcPr>
          <w:p w14:paraId="4AAB403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Zhvillim dhe Integrim Evropian</w:t>
            </w:r>
          </w:p>
        </w:tc>
        <w:tc>
          <w:tcPr>
            <w:tcW w:w="2122" w:type="dxa"/>
            <w:tcBorders>
              <w:top w:val="nil"/>
              <w:left w:val="nil"/>
              <w:bottom w:val="single" w:sz="4" w:space="0" w:color="auto"/>
              <w:right w:val="single" w:sz="4" w:space="0" w:color="auto"/>
            </w:tcBorders>
            <w:shd w:val="clear" w:color="auto" w:fill="auto"/>
            <w:vAlign w:val="center"/>
            <w:hideMark/>
          </w:tcPr>
          <w:p w14:paraId="26CBCDC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87E30" w:rsidRPr="00727111" w14:paraId="2B52CAEE"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FEF9AA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31</w:t>
            </w:r>
          </w:p>
        </w:tc>
        <w:tc>
          <w:tcPr>
            <w:tcW w:w="1466" w:type="dxa"/>
            <w:tcBorders>
              <w:top w:val="nil"/>
              <w:left w:val="nil"/>
              <w:bottom w:val="single" w:sz="4" w:space="0" w:color="auto"/>
              <w:right w:val="single" w:sz="4" w:space="0" w:color="auto"/>
            </w:tcBorders>
            <w:shd w:val="clear" w:color="FFFFFF" w:fill="FFFFFF"/>
            <w:vAlign w:val="center"/>
            <w:hideMark/>
          </w:tcPr>
          <w:p w14:paraId="760D21E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Planit  të Veprimit në zbatim të Politikës së Kohezionit 2021-2027 në Shqipëri</w:t>
            </w:r>
          </w:p>
        </w:tc>
        <w:tc>
          <w:tcPr>
            <w:tcW w:w="955" w:type="dxa"/>
            <w:tcBorders>
              <w:top w:val="nil"/>
              <w:left w:val="nil"/>
              <w:bottom w:val="single" w:sz="4" w:space="0" w:color="auto"/>
              <w:right w:val="single" w:sz="4" w:space="0" w:color="auto"/>
            </w:tcBorders>
            <w:shd w:val="clear" w:color="auto" w:fill="auto"/>
            <w:vAlign w:val="center"/>
            <w:hideMark/>
          </w:tcPr>
          <w:p w14:paraId="70DB8DC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31DC433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000000" w:fill="FFFFFF"/>
            <w:vAlign w:val="center"/>
            <w:hideMark/>
          </w:tcPr>
          <w:p w14:paraId="6A0ABEE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172" w:type="dxa"/>
            <w:tcBorders>
              <w:top w:val="nil"/>
              <w:left w:val="nil"/>
              <w:bottom w:val="single" w:sz="4" w:space="0" w:color="auto"/>
              <w:right w:val="single" w:sz="4" w:space="0" w:color="auto"/>
            </w:tcBorders>
            <w:shd w:val="clear" w:color="000000" w:fill="FFFFFF"/>
            <w:vAlign w:val="center"/>
            <w:hideMark/>
          </w:tcPr>
          <w:p w14:paraId="3949EF9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Perafrimi me a</w:t>
            </w:r>
            <w:r w:rsidRPr="00727111">
              <w:rPr>
                <w:rFonts w:ascii="Garamond" w:hAnsi="Garamond"/>
                <w:i/>
                <w:iCs/>
                <w:color w:val="000000"/>
                <w:sz w:val="12"/>
                <w:szCs w:val="12"/>
                <w:lang w:eastAsia="sq-AL"/>
              </w:rPr>
              <w:t>cquis</w:t>
            </w:r>
            <w:r w:rsidRPr="00727111">
              <w:rPr>
                <w:rFonts w:ascii="Garamond" w:hAnsi="Garamond"/>
                <w:color w:val="000000"/>
                <w:sz w:val="12"/>
                <w:szCs w:val="12"/>
                <w:lang w:eastAsia="sq-AL"/>
              </w:rPr>
              <w:t xml:space="preserve"> te BE-se</w:t>
            </w:r>
          </w:p>
        </w:tc>
        <w:tc>
          <w:tcPr>
            <w:tcW w:w="1740" w:type="dxa"/>
            <w:tcBorders>
              <w:top w:val="nil"/>
              <w:left w:val="nil"/>
              <w:bottom w:val="single" w:sz="4" w:space="0" w:color="auto"/>
              <w:right w:val="single" w:sz="4" w:space="0" w:color="auto"/>
            </w:tcBorders>
            <w:shd w:val="clear" w:color="FFFFFF" w:fill="FFFFFF"/>
            <w:vAlign w:val="center"/>
            <w:hideMark/>
          </w:tcPr>
          <w:p w14:paraId="647A627A" w14:textId="77777777" w:rsidR="00687E30" w:rsidRPr="00727111" w:rsidRDefault="00687E30" w:rsidP="00687E30">
            <w:pPr>
              <w:jc w:val="center"/>
              <w:rPr>
                <w:rFonts w:ascii="Garamond" w:hAnsi="Garamond"/>
                <w:sz w:val="12"/>
                <w:szCs w:val="12"/>
                <w:lang w:eastAsia="sq-AL"/>
              </w:rPr>
            </w:pPr>
            <w:r w:rsidRPr="00727111">
              <w:rPr>
                <w:rFonts w:ascii="Garamond" w:hAnsi="Garamond"/>
                <w:sz w:val="12"/>
                <w:szCs w:val="12"/>
                <w:lang w:eastAsia="sq-AL"/>
              </w:rPr>
              <w:t xml:space="preserve">Miratimi i  planit të veprimi  do të adresojë masat e nevojshme dhe identifikimin e përgjegjësive institucionale për realizimin në kohë të negociatave të anëtarësimit për Kapitullin 22 </w:t>
            </w:r>
          </w:p>
        </w:tc>
        <w:tc>
          <w:tcPr>
            <w:tcW w:w="1082" w:type="dxa"/>
            <w:tcBorders>
              <w:top w:val="nil"/>
              <w:left w:val="nil"/>
              <w:bottom w:val="single" w:sz="4" w:space="0" w:color="auto"/>
              <w:right w:val="single" w:sz="4" w:space="0" w:color="auto"/>
            </w:tcBorders>
            <w:shd w:val="clear" w:color="000000" w:fill="FFFFFF"/>
            <w:vAlign w:val="center"/>
            <w:hideMark/>
          </w:tcPr>
          <w:p w14:paraId="4620D99B"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22</w:t>
            </w:r>
          </w:p>
        </w:tc>
        <w:tc>
          <w:tcPr>
            <w:tcW w:w="1030" w:type="dxa"/>
            <w:tcBorders>
              <w:top w:val="nil"/>
              <w:left w:val="nil"/>
              <w:bottom w:val="single" w:sz="4" w:space="0" w:color="auto"/>
              <w:right w:val="single" w:sz="4" w:space="0" w:color="auto"/>
            </w:tcBorders>
            <w:shd w:val="clear" w:color="000000" w:fill="FFFFFF"/>
            <w:vAlign w:val="center"/>
            <w:hideMark/>
          </w:tcPr>
          <w:p w14:paraId="7548EFB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Mireqenie per te gjithe shtresat shoqerore te vendit (wellbeing for all)</w:t>
            </w:r>
          </w:p>
        </w:tc>
        <w:tc>
          <w:tcPr>
            <w:tcW w:w="1190" w:type="dxa"/>
            <w:tcBorders>
              <w:top w:val="nil"/>
              <w:left w:val="nil"/>
              <w:bottom w:val="single" w:sz="4" w:space="0" w:color="auto"/>
              <w:right w:val="single" w:sz="4" w:space="0" w:color="auto"/>
            </w:tcBorders>
            <w:shd w:val="clear" w:color="000000" w:fill="FFFFFF"/>
            <w:vAlign w:val="center"/>
            <w:hideMark/>
          </w:tcPr>
          <w:p w14:paraId="0A221D1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Zhvillim dhe Integrim Evropian 2030 / Shtylla e trete / Kohezioni Social, Strategjia Kombetare per Mbrojten Sociale 2024-2030</w:t>
            </w:r>
          </w:p>
        </w:tc>
        <w:tc>
          <w:tcPr>
            <w:tcW w:w="2122" w:type="dxa"/>
            <w:tcBorders>
              <w:top w:val="nil"/>
              <w:left w:val="nil"/>
              <w:bottom w:val="single" w:sz="4" w:space="0" w:color="auto"/>
              <w:right w:val="single" w:sz="4" w:space="0" w:color="auto"/>
            </w:tcBorders>
            <w:shd w:val="clear" w:color="000000" w:fill="FFFFFF"/>
            <w:vAlign w:val="center"/>
            <w:hideMark/>
          </w:tcPr>
          <w:p w14:paraId="59C3103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680AF5C7"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23FCCF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32</w:t>
            </w:r>
          </w:p>
        </w:tc>
        <w:tc>
          <w:tcPr>
            <w:tcW w:w="1466" w:type="dxa"/>
            <w:tcBorders>
              <w:top w:val="nil"/>
              <w:left w:val="nil"/>
              <w:bottom w:val="single" w:sz="4" w:space="0" w:color="auto"/>
              <w:right w:val="single" w:sz="4" w:space="0" w:color="auto"/>
            </w:tcBorders>
            <w:shd w:val="clear" w:color="FFFFFF" w:fill="FFFFFF"/>
            <w:vAlign w:val="center"/>
            <w:hideMark/>
          </w:tcPr>
          <w:p w14:paraId="04A7555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ngritjen e Komitetit Kombëtar për Bashkëpunimin Territorial Evropian</w:t>
            </w:r>
          </w:p>
        </w:tc>
        <w:tc>
          <w:tcPr>
            <w:tcW w:w="955" w:type="dxa"/>
            <w:tcBorders>
              <w:top w:val="nil"/>
              <w:left w:val="nil"/>
              <w:bottom w:val="single" w:sz="4" w:space="0" w:color="auto"/>
              <w:right w:val="single" w:sz="4" w:space="0" w:color="auto"/>
            </w:tcBorders>
            <w:shd w:val="clear" w:color="auto" w:fill="auto"/>
            <w:vAlign w:val="center"/>
            <w:hideMark/>
          </w:tcPr>
          <w:p w14:paraId="2282694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000DFE9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000000" w:fill="FFFFFF"/>
            <w:vAlign w:val="center"/>
            <w:hideMark/>
          </w:tcPr>
          <w:p w14:paraId="33EBF3D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000000" w:fill="FFFFFF"/>
            <w:vAlign w:val="center"/>
            <w:hideMark/>
          </w:tcPr>
          <w:p w14:paraId="7DF65FE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Perafrimi me </w:t>
            </w:r>
            <w:r w:rsidRPr="00727111">
              <w:rPr>
                <w:rFonts w:ascii="Garamond" w:hAnsi="Garamond"/>
                <w:i/>
                <w:iCs/>
                <w:color w:val="000000"/>
                <w:sz w:val="12"/>
                <w:szCs w:val="12"/>
                <w:lang w:eastAsia="sq-AL"/>
              </w:rPr>
              <w:t>acquis</w:t>
            </w:r>
            <w:r w:rsidRPr="00727111">
              <w:rPr>
                <w:rFonts w:ascii="Garamond" w:hAnsi="Garamond"/>
                <w:color w:val="000000"/>
                <w:sz w:val="12"/>
                <w:szCs w:val="12"/>
                <w:lang w:eastAsia="sq-AL"/>
              </w:rPr>
              <w:t xml:space="preserve"> te BE-se</w:t>
            </w:r>
          </w:p>
        </w:tc>
        <w:tc>
          <w:tcPr>
            <w:tcW w:w="1740" w:type="dxa"/>
            <w:tcBorders>
              <w:top w:val="nil"/>
              <w:left w:val="nil"/>
              <w:bottom w:val="single" w:sz="4" w:space="0" w:color="auto"/>
              <w:right w:val="single" w:sz="4" w:space="0" w:color="auto"/>
            </w:tcBorders>
            <w:shd w:val="clear" w:color="FFFFFF" w:fill="FFFFFF"/>
            <w:vAlign w:val="center"/>
            <w:hideMark/>
          </w:tcPr>
          <w:p w14:paraId="6FCA6F3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br/>
              <w:t>Miratimi i këtij vendimi do të  rrisë  pjesëmarrjen e entiteve shqiptare në rrjetet URBACT dhe INTERREG EUROPE si dhe angazhimin e aktorëve shqiptarë në Strategjinë e BE-së për Rajonin Adriatiko-Jonian . Komiteti Kombëtar do të ketë gjithashtu një rol konsultativ në programimin e programeve INTERREG pas vitit 2027, duke siguruar kështu qeverisjen në shumë nivele.</w:t>
            </w:r>
          </w:p>
        </w:tc>
        <w:tc>
          <w:tcPr>
            <w:tcW w:w="1082" w:type="dxa"/>
            <w:tcBorders>
              <w:top w:val="nil"/>
              <w:left w:val="nil"/>
              <w:bottom w:val="single" w:sz="4" w:space="0" w:color="auto"/>
              <w:right w:val="single" w:sz="4" w:space="0" w:color="auto"/>
            </w:tcBorders>
            <w:shd w:val="clear" w:color="000000" w:fill="FFFFFF"/>
            <w:vAlign w:val="center"/>
            <w:hideMark/>
          </w:tcPr>
          <w:p w14:paraId="4418AD4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22</w:t>
            </w:r>
          </w:p>
        </w:tc>
        <w:tc>
          <w:tcPr>
            <w:tcW w:w="1030" w:type="dxa"/>
            <w:tcBorders>
              <w:top w:val="nil"/>
              <w:left w:val="nil"/>
              <w:bottom w:val="single" w:sz="4" w:space="0" w:color="auto"/>
              <w:right w:val="single" w:sz="4" w:space="0" w:color="auto"/>
            </w:tcBorders>
            <w:shd w:val="clear" w:color="000000" w:fill="FFFFFF"/>
            <w:vAlign w:val="center"/>
            <w:hideMark/>
          </w:tcPr>
          <w:p w14:paraId="01BB533C"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Mireqenie per te gjithe shtresat shoqerore te vendit (wellbeing for all)</w:t>
            </w:r>
          </w:p>
        </w:tc>
        <w:tc>
          <w:tcPr>
            <w:tcW w:w="1190" w:type="dxa"/>
            <w:tcBorders>
              <w:top w:val="nil"/>
              <w:left w:val="nil"/>
              <w:bottom w:val="single" w:sz="4" w:space="0" w:color="auto"/>
              <w:right w:val="single" w:sz="4" w:space="0" w:color="auto"/>
            </w:tcBorders>
            <w:shd w:val="clear" w:color="000000" w:fill="FFFFFF"/>
            <w:vAlign w:val="center"/>
            <w:hideMark/>
          </w:tcPr>
          <w:p w14:paraId="0A74D64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Zhvillim dhe Integrim Evropian 2030 / Shtylla e trete / Kohezioni Social, Strategjia Kombetare per Mbrojten Sociale 2024-2030</w:t>
            </w:r>
          </w:p>
        </w:tc>
        <w:tc>
          <w:tcPr>
            <w:tcW w:w="2122" w:type="dxa"/>
            <w:tcBorders>
              <w:top w:val="nil"/>
              <w:left w:val="nil"/>
              <w:bottom w:val="single" w:sz="4" w:space="0" w:color="auto"/>
              <w:right w:val="single" w:sz="4" w:space="0" w:color="auto"/>
            </w:tcBorders>
            <w:shd w:val="clear" w:color="000000" w:fill="FFFFFF"/>
            <w:vAlign w:val="center"/>
            <w:hideMark/>
          </w:tcPr>
          <w:p w14:paraId="3F4C2A9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08AB8A6C"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783CBC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33</w:t>
            </w:r>
          </w:p>
        </w:tc>
        <w:tc>
          <w:tcPr>
            <w:tcW w:w="1466" w:type="dxa"/>
            <w:tcBorders>
              <w:top w:val="nil"/>
              <w:left w:val="nil"/>
              <w:bottom w:val="single" w:sz="4" w:space="0" w:color="auto"/>
              <w:right w:val="single" w:sz="4" w:space="0" w:color="auto"/>
            </w:tcBorders>
            <w:shd w:val="clear" w:color="FFFFFF" w:fill="FFFFFF"/>
            <w:vAlign w:val="center"/>
            <w:hideMark/>
          </w:tcPr>
          <w:p w14:paraId="662D6E2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Metodologjisë për zbatimin e Parimit të Partneritetit në përputhje me Kodin Evropian të Sjelljes për Partneritetin</w:t>
            </w:r>
          </w:p>
        </w:tc>
        <w:tc>
          <w:tcPr>
            <w:tcW w:w="955" w:type="dxa"/>
            <w:tcBorders>
              <w:top w:val="nil"/>
              <w:left w:val="nil"/>
              <w:bottom w:val="single" w:sz="4" w:space="0" w:color="auto"/>
              <w:right w:val="single" w:sz="4" w:space="0" w:color="auto"/>
            </w:tcBorders>
            <w:shd w:val="clear" w:color="auto" w:fill="auto"/>
            <w:vAlign w:val="center"/>
            <w:hideMark/>
          </w:tcPr>
          <w:p w14:paraId="77E6C3D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6AF4503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000000" w:fill="FFFFFF"/>
            <w:vAlign w:val="center"/>
            <w:hideMark/>
          </w:tcPr>
          <w:p w14:paraId="39B56B7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172" w:type="dxa"/>
            <w:tcBorders>
              <w:top w:val="nil"/>
              <w:left w:val="nil"/>
              <w:bottom w:val="single" w:sz="4" w:space="0" w:color="auto"/>
              <w:right w:val="single" w:sz="4" w:space="0" w:color="auto"/>
            </w:tcBorders>
            <w:shd w:val="clear" w:color="000000" w:fill="FFFFFF"/>
            <w:vAlign w:val="center"/>
            <w:hideMark/>
          </w:tcPr>
          <w:p w14:paraId="7FE7FA2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Perafrimi me </w:t>
            </w:r>
            <w:r w:rsidRPr="00727111">
              <w:rPr>
                <w:rFonts w:ascii="Garamond" w:hAnsi="Garamond"/>
                <w:i/>
                <w:iCs/>
                <w:color w:val="000000"/>
                <w:sz w:val="12"/>
                <w:szCs w:val="12"/>
                <w:lang w:eastAsia="sq-AL"/>
              </w:rPr>
              <w:t>acquis</w:t>
            </w:r>
            <w:r w:rsidRPr="00727111">
              <w:rPr>
                <w:rFonts w:ascii="Garamond" w:hAnsi="Garamond"/>
                <w:color w:val="000000"/>
                <w:sz w:val="12"/>
                <w:szCs w:val="12"/>
                <w:lang w:eastAsia="sq-AL"/>
              </w:rPr>
              <w:t xml:space="preserve"> te BE-se</w:t>
            </w:r>
          </w:p>
        </w:tc>
        <w:tc>
          <w:tcPr>
            <w:tcW w:w="1740" w:type="dxa"/>
            <w:tcBorders>
              <w:top w:val="nil"/>
              <w:left w:val="nil"/>
              <w:bottom w:val="single" w:sz="4" w:space="0" w:color="auto"/>
              <w:right w:val="single" w:sz="4" w:space="0" w:color="auto"/>
            </w:tcBorders>
            <w:shd w:val="clear" w:color="FFFFFF" w:fill="FFFFFF"/>
            <w:vAlign w:val="center"/>
            <w:hideMark/>
          </w:tcPr>
          <w:p w14:paraId="0174D98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Miratimi i Metodologjisë për krijimin e partneritetit të politikës së kohezionit do të mundësojë linjëzimin me dispozitat rregullatore përkatëse.</w:t>
            </w:r>
          </w:p>
        </w:tc>
        <w:tc>
          <w:tcPr>
            <w:tcW w:w="1082" w:type="dxa"/>
            <w:tcBorders>
              <w:top w:val="nil"/>
              <w:left w:val="nil"/>
              <w:bottom w:val="single" w:sz="4" w:space="0" w:color="auto"/>
              <w:right w:val="single" w:sz="4" w:space="0" w:color="auto"/>
            </w:tcBorders>
            <w:shd w:val="clear" w:color="000000" w:fill="FFFFFF"/>
            <w:vAlign w:val="center"/>
            <w:hideMark/>
          </w:tcPr>
          <w:p w14:paraId="7AC8DED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22</w:t>
            </w:r>
          </w:p>
        </w:tc>
        <w:tc>
          <w:tcPr>
            <w:tcW w:w="1030" w:type="dxa"/>
            <w:tcBorders>
              <w:top w:val="nil"/>
              <w:left w:val="nil"/>
              <w:bottom w:val="single" w:sz="4" w:space="0" w:color="auto"/>
              <w:right w:val="single" w:sz="4" w:space="0" w:color="auto"/>
            </w:tcBorders>
            <w:shd w:val="clear" w:color="000000" w:fill="FFFFFF"/>
            <w:vAlign w:val="center"/>
            <w:hideMark/>
          </w:tcPr>
          <w:p w14:paraId="0719A1B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Integrimi Evropian, Mireqenie per te gjithe shtresat shoqerore te vendit (wellbeing for all)</w:t>
            </w:r>
          </w:p>
        </w:tc>
        <w:tc>
          <w:tcPr>
            <w:tcW w:w="1190" w:type="dxa"/>
            <w:tcBorders>
              <w:top w:val="nil"/>
              <w:left w:val="nil"/>
              <w:bottom w:val="single" w:sz="4" w:space="0" w:color="auto"/>
              <w:right w:val="single" w:sz="4" w:space="0" w:color="auto"/>
            </w:tcBorders>
            <w:shd w:val="clear" w:color="000000" w:fill="FFFFFF"/>
            <w:vAlign w:val="center"/>
            <w:hideMark/>
          </w:tcPr>
          <w:p w14:paraId="7D5CE28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Zhvillim dhe Integrim Evropian 2030 / Shtylla e trete / Kohezioni Social, Strategjia Kombetare per Mbrojten Sociale 2024-2030</w:t>
            </w:r>
          </w:p>
        </w:tc>
        <w:tc>
          <w:tcPr>
            <w:tcW w:w="2122" w:type="dxa"/>
            <w:tcBorders>
              <w:top w:val="nil"/>
              <w:left w:val="nil"/>
              <w:bottom w:val="single" w:sz="4" w:space="0" w:color="auto"/>
              <w:right w:val="single" w:sz="4" w:space="0" w:color="auto"/>
            </w:tcBorders>
            <w:shd w:val="clear" w:color="000000" w:fill="FFFFFF"/>
            <w:vAlign w:val="center"/>
            <w:hideMark/>
          </w:tcPr>
          <w:p w14:paraId="6F6B767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87E30" w:rsidRPr="00727111" w14:paraId="1BAC5CF4"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7E9FBB8"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34</w:t>
            </w:r>
          </w:p>
        </w:tc>
        <w:tc>
          <w:tcPr>
            <w:tcW w:w="1466" w:type="dxa"/>
            <w:tcBorders>
              <w:top w:val="nil"/>
              <w:left w:val="nil"/>
              <w:bottom w:val="single" w:sz="4" w:space="0" w:color="auto"/>
              <w:right w:val="single" w:sz="4" w:space="0" w:color="auto"/>
            </w:tcBorders>
            <w:shd w:val="clear" w:color="auto" w:fill="auto"/>
            <w:vAlign w:val="center"/>
            <w:hideMark/>
          </w:tcPr>
          <w:p w14:paraId="266A9B4F"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miratimin e Dokumentit të Politikave Prioritare 2026-2028" dhe Listes Unike te Projekteve Strategjike te rendesise Kombetare (NSPP) si pjese integrale e Dokumentit </w:t>
            </w:r>
          </w:p>
        </w:tc>
        <w:tc>
          <w:tcPr>
            <w:tcW w:w="955" w:type="dxa"/>
            <w:tcBorders>
              <w:top w:val="nil"/>
              <w:left w:val="nil"/>
              <w:bottom w:val="single" w:sz="4" w:space="0" w:color="auto"/>
              <w:right w:val="single" w:sz="4" w:space="0" w:color="auto"/>
            </w:tcBorders>
            <w:shd w:val="clear" w:color="auto" w:fill="auto"/>
            <w:noWrap/>
            <w:vAlign w:val="center"/>
            <w:hideMark/>
          </w:tcPr>
          <w:p w14:paraId="62D4FAE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1FA9EAD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auto" w:fill="auto"/>
            <w:vAlign w:val="center"/>
            <w:hideMark/>
          </w:tcPr>
          <w:p w14:paraId="54A26D0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dytë</w:t>
            </w:r>
          </w:p>
        </w:tc>
        <w:tc>
          <w:tcPr>
            <w:tcW w:w="2172" w:type="dxa"/>
            <w:tcBorders>
              <w:top w:val="nil"/>
              <w:left w:val="nil"/>
              <w:bottom w:val="single" w:sz="4" w:space="0" w:color="auto"/>
              <w:right w:val="single" w:sz="4" w:space="0" w:color="auto"/>
            </w:tcBorders>
            <w:shd w:val="clear" w:color="auto" w:fill="auto"/>
            <w:vAlign w:val="center"/>
            <w:hideMark/>
          </w:tcPr>
          <w:p w14:paraId="763C9CB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Ngritja e ketij dokumenti qendror, planifikues  dhe strategjik afat-mesem ne nivelin e duhur te hierarkise ligjore per te inicuar rritjen e performances se zbatimit si edhe ne funksion te paraprirjes me te mire te drejtimit te politikes se pergjithshme ndaj funksionit te financimit ne pergjithesi.                                                                                                                   NSPP eshte parashikuar në VKM "Për Procedurat e Menaxhimit </w:t>
            </w:r>
            <w:r w:rsidRPr="00727111">
              <w:rPr>
                <w:rFonts w:ascii="Garamond" w:hAnsi="Garamond"/>
                <w:color w:val="000000"/>
                <w:sz w:val="12"/>
                <w:szCs w:val="12"/>
                <w:lang w:eastAsia="sq-AL"/>
              </w:rPr>
              <w:br/>
              <w:t xml:space="preserve">të Investimeve Publike"                                                        </w:t>
            </w:r>
          </w:p>
        </w:tc>
        <w:tc>
          <w:tcPr>
            <w:tcW w:w="1740" w:type="dxa"/>
            <w:tcBorders>
              <w:top w:val="nil"/>
              <w:left w:val="nil"/>
              <w:bottom w:val="single" w:sz="4" w:space="0" w:color="auto"/>
              <w:right w:val="single" w:sz="4" w:space="0" w:color="auto"/>
            </w:tcBorders>
            <w:shd w:val="clear" w:color="auto" w:fill="auto"/>
            <w:vAlign w:val="center"/>
            <w:hideMark/>
          </w:tcPr>
          <w:p w14:paraId="0E554B7D"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Ne teresi rrit harmonizimin e perparesive dhe politikave te qeverise me kapacitetin financues te saj  ne afatin e mesem, ose orienton racionalisht procesin e shperndarjes se burimeve midis sektoreve. Ndihmon ne percaktimin e tavaneve buxhetore afat-mesme per PBA si dhe rregullon procesin e konsiderimit te projekteve te reja ( politika te reja) duke siguruar vazhdimesine e projekteve ekzistuese dhe ruajtur ekuilibrin e bilancit te shtetit.                                                                           </w:t>
            </w:r>
            <w:r w:rsidRPr="00727111">
              <w:rPr>
                <w:rFonts w:ascii="Garamond" w:hAnsi="Garamond"/>
                <w:color w:val="000000"/>
                <w:sz w:val="12"/>
                <w:szCs w:val="12"/>
                <w:lang w:eastAsia="sq-AL"/>
              </w:rPr>
              <w:lastRenderedPageBreak/>
              <w:t>Lista Unike e Projekteve me Rëndësi Kombëtare përmban projektet e investimeve publike që kanë rëndësi strategjike përsa i përket zhvillimit ekonomik dhe social të vendit, pavarësisht nga burimi i tyre i financimit. Kjo listë shërben si instrument për mbeshtetjen e politikave dhe prioriteteve të Qeverisë Shqiptare, në linjë me Strategjinë Kombëtare për Zhvillim dhe Integrim Evropian 2030 (SKZHIE), si edhe strategjitë sektoriale e ndërsektoriale. Lista Unike e Projekteve me Rëndësi Kombëtare shërben si referencë për ministrinë përgjegjëse për financat dhe njësitë e qeverisjes qëndrore, në kuadër të përfshirjes së projekteve të investimeve publike në Programin Buxhetor Afatmesëm (PBA) apo Buxhetin Vjetor.</w:t>
            </w:r>
          </w:p>
        </w:tc>
        <w:tc>
          <w:tcPr>
            <w:tcW w:w="1082" w:type="dxa"/>
            <w:tcBorders>
              <w:top w:val="nil"/>
              <w:left w:val="nil"/>
              <w:bottom w:val="single" w:sz="4" w:space="0" w:color="auto"/>
              <w:right w:val="single" w:sz="4" w:space="0" w:color="auto"/>
            </w:tcBorders>
            <w:shd w:val="clear" w:color="auto" w:fill="auto"/>
            <w:vAlign w:val="center"/>
            <w:hideMark/>
          </w:tcPr>
          <w:p w14:paraId="793DABA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 xml:space="preserve"> Tematika e SKZHIE III dhe lidhjes se saj me PBA. Ky projekt akt harmonizon pikerisht politikat dhe reformat afatmesme te qeverise me PBA duke perfshire projektet kombetare NSPP nga buxheti i shtetit, fondet IPA dhe financimin tjeter </w:t>
            </w:r>
            <w:r w:rsidRPr="00727111">
              <w:rPr>
                <w:rFonts w:ascii="Garamond" w:hAnsi="Garamond"/>
                <w:color w:val="000000"/>
                <w:sz w:val="12"/>
                <w:szCs w:val="12"/>
                <w:lang w:eastAsia="sq-AL"/>
              </w:rPr>
              <w:lastRenderedPageBreak/>
              <w:t xml:space="preserve">te huaj. DPP lidhet me te gjithe kapitujt e integrimit ne teresi pavaresisht se raportohet tek kap. 22 , pasi perfshin reformat afatmesme dhe afatgjata te qeverise si dhe sektoret prioritare, NSPP prek shume sektore te zhvillimit te vendit si vertikale ashtu edhe sektore horizontale.  DPP lidhet konkretisht me clusters te integrimit: Themeloret, Konkurueshmeria, Agjenda e gjelber dhe nderlidhjet e qendrueshme, burimet bujqesia dhe marredheniet e jashtme.                                                                Raportohet formalisht ne kuader te Kapitullit 22. Politikat Rajonale (Kohezioni) dhe Kordinimi I Instrumentave Strukturore. </w:t>
            </w:r>
          </w:p>
        </w:tc>
        <w:tc>
          <w:tcPr>
            <w:tcW w:w="1030" w:type="dxa"/>
            <w:tcBorders>
              <w:top w:val="nil"/>
              <w:left w:val="nil"/>
              <w:bottom w:val="single" w:sz="4" w:space="0" w:color="auto"/>
              <w:right w:val="single" w:sz="4" w:space="0" w:color="auto"/>
            </w:tcBorders>
            <w:shd w:val="clear" w:color="auto" w:fill="auto"/>
            <w:vAlign w:val="center"/>
            <w:hideMark/>
          </w:tcPr>
          <w:p w14:paraId="4DEE730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Rindertimi, Zhvillimi i bujqësisë dhe i fshatit, Infrastruktura, Turizmi dhe Mjedisi, Energjia, Një strategji e re për shëndetin dhe zhvillimin e qëndrueshëm, Kultura, Shoqëria dixhitale, Integrimi Europian etj</w:t>
            </w:r>
          </w:p>
        </w:tc>
        <w:tc>
          <w:tcPr>
            <w:tcW w:w="1190" w:type="dxa"/>
            <w:tcBorders>
              <w:top w:val="nil"/>
              <w:left w:val="nil"/>
              <w:bottom w:val="single" w:sz="4" w:space="0" w:color="auto"/>
              <w:right w:val="single" w:sz="4" w:space="0" w:color="auto"/>
            </w:tcBorders>
            <w:shd w:val="clear" w:color="auto" w:fill="auto"/>
            <w:vAlign w:val="center"/>
            <w:hideMark/>
          </w:tcPr>
          <w:p w14:paraId="4FBF426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e Arsimit 2021-2026 , Strategjia Kombetare e Shendetesise 2021-2030</w:t>
            </w:r>
            <w:r w:rsidRPr="00727111">
              <w:rPr>
                <w:rFonts w:ascii="Garamond" w:hAnsi="Garamond"/>
                <w:color w:val="000000"/>
                <w:sz w:val="12"/>
                <w:szCs w:val="12"/>
                <w:lang w:eastAsia="sq-AL"/>
              </w:rPr>
              <w:br/>
              <w:t>, Strategjia Kombëtare e Pronësisë Intelektuale 2022 -2025</w:t>
            </w:r>
            <w:r w:rsidRPr="00727111">
              <w:rPr>
                <w:rFonts w:ascii="Garamond" w:hAnsi="Garamond"/>
                <w:color w:val="000000"/>
                <w:sz w:val="12"/>
                <w:szCs w:val="12"/>
                <w:lang w:eastAsia="sq-AL"/>
              </w:rPr>
              <w:br/>
              <w:t>- Strategjia e Bujqesise , Zhvillimit Rural dhe Peshkimit 2021-</w:t>
            </w:r>
            <w:r w:rsidRPr="00727111">
              <w:rPr>
                <w:rFonts w:ascii="Garamond" w:hAnsi="Garamond"/>
                <w:color w:val="000000"/>
                <w:sz w:val="12"/>
                <w:szCs w:val="12"/>
                <w:lang w:eastAsia="sq-AL"/>
              </w:rPr>
              <w:lastRenderedPageBreak/>
              <w:t>2027</w:t>
            </w:r>
            <w:r w:rsidRPr="00727111">
              <w:rPr>
                <w:rFonts w:ascii="Garamond" w:hAnsi="Garamond"/>
                <w:color w:val="000000"/>
                <w:sz w:val="12"/>
                <w:szCs w:val="12"/>
                <w:lang w:eastAsia="sq-AL"/>
              </w:rPr>
              <w:br/>
              <w:t>- Agjenda Digjitale e Shqipërisë 2021+</w:t>
            </w:r>
            <w:r w:rsidRPr="00727111">
              <w:rPr>
                <w:rFonts w:ascii="Garamond" w:hAnsi="Garamond"/>
                <w:color w:val="000000"/>
                <w:sz w:val="12"/>
                <w:szCs w:val="12"/>
                <w:lang w:eastAsia="sq-AL"/>
              </w:rPr>
              <w:br/>
              <w:t xml:space="preserve">- Dokumenti i Përgjigjes Strategjike IPA III 2021-2024 – Shqipëri (2021) </w:t>
            </w:r>
            <w:r w:rsidRPr="00727111">
              <w:rPr>
                <w:rFonts w:ascii="Garamond" w:hAnsi="Garamond"/>
                <w:color w:val="000000"/>
                <w:sz w:val="12"/>
                <w:szCs w:val="12"/>
                <w:lang w:eastAsia="sq-AL"/>
              </w:rPr>
              <w:br/>
              <w:t>- Prioritetet e Programit IPA 2021 &amp; 2022 , - Prioritetet e Programit IPARD III (Instrumenti per Asistencen e Para-Anetaresimit per Zhvillimin Rural) 2021 – 2027, - Procesi i Hartimit te draftit te Strategjise Kombetare per Zhvillim dhe Integrim 2021-2030</w:t>
            </w:r>
          </w:p>
        </w:tc>
        <w:tc>
          <w:tcPr>
            <w:tcW w:w="2122" w:type="dxa"/>
            <w:tcBorders>
              <w:top w:val="nil"/>
              <w:left w:val="nil"/>
              <w:bottom w:val="single" w:sz="4" w:space="0" w:color="auto"/>
              <w:right w:val="single" w:sz="4" w:space="0" w:color="auto"/>
            </w:tcBorders>
            <w:shd w:val="clear" w:color="auto" w:fill="auto"/>
            <w:vAlign w:val="center"/>
            <w:hideMark/>
          </w:tcPr>
          <w:p w14:paraId="776292F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 xml:space="preserve">Impakton ecurine ekzistuese dhe ndryshimin ne investimet e pergjithshme kapitale (publike) afat mesme, financimin e huaj (IPA dhe financime te tjera) dhe permireson vleresimin  e politikave mbi bazen e evidencave (fakteve) duke prezantuar vazhdimisht nevojen per buxhetim te pergjithshem te pergjegjshem e te bazuar ne performance ( performance based budgeting) duke kontribuar ne shperndarjen e burimeve aty ku ka me shume nevoje dhe ku jemi me efektive dhe eficente. Impakton ne konvergimin e vazhdueshem me pragmatik te politikes qeveritare afatmesme me </w:t>
            </w:r>
            <w:r w:rsidRPr="00727111">
              <w:rPr>
                <w:rFonts w:ascii="Garamond" w:hAnsi="Garamond"/>
                <w:color w:val="000000"/>
                <w:sz w:val="12"/>
                <w:szCs w:val="12"/>
                <w:lang w:eastAsia="sq-AL"/>
              </w:rPr>
              <w:lastRenderedPageBreak/>
              <w:t xml:space="preserve">objektivat e integrimit dhe ato te zhvillimi te qendrueshem.   </w:t>
            </w:r>
          </w:p>
        </w:tc>
      </w:tr>
      <w:tr w:rsidR="00687E30" w:rsidRPr="00727111" w14:paraId="7200A3F3"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E76CD0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35</w:t>
            </w:r>
          </w:p>
        </w:tc>
        <w:tc>
          <w:tcPr>
            <w:tcW w:w="1466" w:type="dxa"/>
            <w:tcBorders>
              <w:top w:val="nil"/>
              <w:left w:val="nil"/>
              <w:bottom w:val="single" w:sz="4" w:space="0" w:color="auto"/>
              <w:right w:val="single" w:sz="4" w:space="0" w:color="auto"/>
            </w:tcBorders>
            <w:shd w:val="clear" w:color="auto" w:fill="auto"/>
            <w:vAlign w:val="center"/>
            <w:hideMark/>
          </w:tcPr>
          <w:p w14:paraId="6EA4CEA6"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Strategjisë Ndërsektoriale të Ekonomisë Blu 2024 -2030</w:t>
            </w:r>
          </w:p>
        </w:tc>
        <w:tc>
          <w:tcPr>
            <w:tcW w:w="955" w:type="dxa"/>
            <w:tcBorders>
              <w:top w:val="nil"/>
              <w:left w:val="nil"/>
              <w:bottom w:val="single" w:sz="4" w:space="0" w:color="auto"/>
              <w:right w:val="single" w:sz="4" w:space="0" w:color="auto"/>
            </w:tcBorders>
            <w:shd w:val="clear" w:color="auto" w:fill="auto"/>
            <w:noWrap/>
            <w:vAlign w:val="center"/>
            <w:hideMark/>
          </w:tcPr>
          <w:p w14:paraId="4398A43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51E10A87"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auto" w:fill="auto"/>
            <w:vAlign w:val="center"/>
            <w:hideMark/>
          </w:tcPr>
          <w:p w14:paraId="415DC57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dytë</w:t>
            </w:r>
          </w:p>
        </w:tc>
        <w:tc>
          <w:tcPr>
            <w:tcW w:w="2172" w:type="dxa"/>
            <w:tcBorders>
              <w:top w:val="nil"/>
              <w:left w:val="nil"/>
              <w:bottom w:val="single" w:sz="4" w:space="0" w:color="auto"/>
              <w:right w:val="single" w:sz="4" w:space="0" w:color="auto"/>
            </w:tcBorders>
            <w:shd w:val="clear" w:color="auto" w:fill="auto"/>
            <w:vAlign w:val="center"/>
            <w:hideMark/>
          </w:tcPr>
          <w:p w14:paraId="456E548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Arsyeja kryesore eshte rregullimi ligjor i sektorit te marinave dhe potenciali I identifikuar per zhvillim dhe bashkepunim nderkombetar qe kane sektori i detarisë, turizmit blu,peshkimit, ushqimeve te detit etj. </w:t>
            </w:r>
          </w:p>
        </w:tc>
        <w:tc>
          <w:tcPr>
            <w:tcW w:w="1740" w:type="dxa"/>
            <w:tcBorders>
              <w:top w:val="nil"/>
              <w:left w:val="nil"/>
              <w:bottom w:val="single" w:sz="4" w:space="0" w:color="auto"/>
              <w:right w:val="single" w:sz="4" w:space="0" w:color="auto"/>
            </w:tcBorders>
            <w:shd w:val="clear" w:color="auto" w:fill="auto"/>
            <w:vAlign w:val="center"/>
            <w:hideMark/>
          </w:tcPr>
          <w:p w14:paraId="34AEA70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Rregullon Zhvillimin dhe transformimin e ekonomisë detare të Shqipërisë në një kontribues kryesor të rritjes së qëndrueshme duke rikthyer traditën e lundrimit dhe mbështetur zhvillimin e turizmit detar, peshkimit, ate sportive dhe argëtuese me mekanizma dhe mjete të pajtueshme me mjedisin në të gjithë bregdetin.</w:t>
            </w:r>
          </w:p>
        </w:tc>
        <w:tc>
          <w:tcPr>
            <w:tcW w:w="1082" w:type="dxa"/>
            <w:tcBorders>
              <w:top w:val="nil"/>
              <w:left w:val="nil"/>
              <w:bottom w:val="single" w:sz="4" w:space="0" w:color="auto"/>
              <w:right w:val="single" w:sz="4" w:space="0" w:color="auto"/>
            </w:tcBorders>
            <w:shd w:val="clear" w:color="auto" w:fill="auto"/>
            <w:vAlign w:val="center"/>
            <w:hideMark/>
          </w:tcPr>
          <w:p w14:paraId="2B49758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Jo specifikisht por lidhet ngushtesisht me kapitujt 13: Peshkimi, 14: Politikat e Tansportit, 19: Politika sociale dhe Punesimi, 22: Politikat e zhvillimit Rajonal, 27: Mjedisi, 20: Politikat Industriale, 8: Politika e Konkurences etj </w:t>
            </w:r>
          </w:p>
        </w:tc>
        <w:tc>
          <w:tcPr>
            <w:tcW w:w="1030" w:type="dxa"/>
            <w:tcBorders>
              <w:top w:val="nil"/>
              <w:left w:val="nil"/>
              <w:bottom w:val="single" w:sz="4" w:space="0" w:color="auto"/>
              <w:right w:val="single" w:sz="4" w:space="0" w:color="auto"/>
            </w:tcBorders>
            <w:shd w:val="clear" w:color="auto" w:fill="auto"/>
            <w:vAlign w:val="center"/>
            <w:hideMark/>
          </w:tcPr>
          <w:p w14:paraId="3C2F982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Faqe 23 e Programit.. "Objektiv Strategjik I Qeverise Shqiptare per zhvillimin e transportit detar.. Komplementimit me zona te zhvillimit ekonomik.. Akomodimin dhe sherbimet per mjetet lundruese turistike…</w:t>
            </w:r>
          </w:p>
        </w:tc>
        <w:tc>
          <w:tcPr>
            <w:tcW w:w="1190" w:type="dxa"/>
            <w:tcBorders>
              <w:top w:val="nil"/>
              <w:left w:val="nil"/>
              <w:bottom w:val="single" w:sz="4" w:space="0" w:color="auto"/>
              <w:right w:val="single" w:sz="4" w:space="0" w:color="auto"/>
            </w:tcBorders>
            <w:shd w:val="clear" w:color="auto" w:fill="auto"/>
            <w:vAlign w:val="center"/>
            <w:hideMark/>
          </w:tcPr>
          <w:p w14:paraId="08ED32FE"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SKZHIE 2021-2030 : Agjenda e Konektivitetit (Shtylla nr 3): Ekonomia Blu, Str per Zhv e Turizmit 2019-2023 obj 2.3, 3.1, Str Sektoriale e Transportit 2021 (1.1 Sisteme eficente portuale dhe te marinave),  SDG 8, SDG 14: Ruajtja dhe perdorimi I qendrueshem I oqeaneve, deteve dhe burimeve te marinave)</w:t>
            </w:r>
          </w:p>
        </w:tc>
        <w:tc>
          <w:tcPr>
            <w:tcW w:w="2122" w:type="dxa"/>
            <w:tcBorders>
              <w:top w:val="nil"/>
              <w:left w:val="nil"/>
              <w:bottom w:val="single" w:sz="4" w:space="0" w:color="auto"/>
              <w:right w:val="single" w:sz="4" w:space="0" w:color="auto"/>
            </w:tcBorders>
            <w:shd w:val="clear" w:color="auto" w:fill="auto"/>
            <w:vAlign w:val="center"/>
            <w:hideMark/>
          </w:tcPr>
          <w:p w14:paraId="0EC9E270"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Pozitive (impakte te pergjithshme)1. Rritja e nder-konektivitetit (nderlidhjeve)   2. Rritja ekonomike (dhe e Punesimit), 3. Rritje e Energjise se Rinovueshme, 4. Zhvillim I peshkimit (eksporteve nga 130 mln USD (2021 ne 200 mln USD ne 2030, KPI SKZHIE III), sigurise ushqimore dhe akuakultures, Negative (impakte te pergjithshme) 1. Mbi-peshkimi , 2. Degradimi i Habitatit, 3. Disbalanca ne tregti ( pjesa detare me pjesen tokesore te nje vendi) 4. Zhvillimi ad hoc i paplanifikuar mire midis bregdetit dhe tokes, 5. Rritja e kostove te jeteses per komunitetin qe nuk perfshihet, ose per peshkataret e vegjel artizane etj..   </w:t>
            </w:r>
          </w:p>
        </w:tc>
      </w:tr>
      <w:tr w:rsidR="00687E30" w:rsidRPr="00727111" w14:paraId="50B54784" w14:textId="77777777" w:rsidTr="00687E30">
        <w:trPr>
          <w:gridAfter w:val="1"/>
          <w:wAfter w:w="8"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1D9E832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36</w:t>
            </w:r>
          </w:p>
        </w:tc>
        <w:tc>
          <w:tcPr>
            <w:tcW w:w="1466" w:type="dxa"/>
            <w:tcBorders>
              <w:top w:val="nil"/>
              <w:left w:val="nil"/>
              <w:bottom w:val="single" w:sz="4" w:space="0" w:color="auto"/>
              <w:right w:val="single" w:sz="4" w:space="0" w:color="auto"/>
            </w:tcBorders>
            <w:shd w:val="clear" w:color="auto" w:fill="auto"/>
            <w:vAlign w:val="center"/>
            <w:hideMark/>
          </w:tcPr>
          <w:p w14:paraId="651991E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Per miratimin e Udhërrëfyesit për OZHQ 2024-2030 </w:t>
            </w:r>
          </w:p>
        </w:tc>
        <w:tc>
          <w:tcPr>
            <w:tcW w:w="955" w:type="dxa"/>
            <w:tcBorders>
              <w:top w:val="nil"/>
              <w:left w:val="nil"/>
              <w:bottom w:val="single" w:sz="4" w:space="0" w:color="auto"/>
              <w:right w:val="single" w:sz="4" w:space="0" w:color="auto"/>
            </w:tcBorders>
            <w:shd w:val="clear" w:color="auto" w:fill="auto"/>
            <w:noWrap/>
            <w:vAlign w:val="center"/>
            <w:hideMark/>
          </w:tcPr>
          <w:p w14:paraId="20FE5F79"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605" w:type="dxa"/>
            <w:tcBorders>
              <w:top w:val="nil"/>
              <w:left w:val="nil"/>
              <w:bottom w:val="single" w:sz="4" w:space="0" w:color="auto"/>
              <w:right w:val="single" w:sz="4" w:space="0" w:color="auto"/>
            </w:tcBorders>
            <w:shd w:val="clear" w:color="auto" w:fill="auto"/>
            <w:vAlign w:val="center"/>
            <w:hideMark/>
          </w:tcPr>
          <w:p w14:paraId="59A16CA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Kryeministri- Zëvendëskryeministri (SASPAC)</w:t>
            </w:r>
          </w:p>
        </w:tc>
        <w:tc>
          <w:tcPr>
            <w:tcW w:w="786" w:type="dxa"/>
            <w:tcBorders>
              <w:top w:val="nil"/>
              <w:left w:val="nil"/>
              <w:bottom w:val="single" w:sz="4" w:space="0" w:color="auto"/>
              <w:right w:val="single" w:sz="4" w:space="0" w:color="auto"/>
            </w:tcBorders>
            <w:shd w:val="clear" w:color="auto" w:fill="auto"/>
            <w:vAlign w:val="center"/>
            <w:hideMark/>
          </w:tcPr>
          <w:p w14:paraId="20D28915"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parë</w:t>
            </w:r>
          </w:p>
        </w:tc>
        <w:tc>
          <w:tcPr>
            <w:tcW w:w="2172" w:type="dxa"/>
            <w:tcBorders>
              <w:top w:val="nil"/>
              <w:left w:val="nil"/>
              <w:bottom w:val="single" w:sz="4" w:space="0" w:color="auto"/>
              <w:right w:val="single" w:sz="4" w:space="0" w:color="auto"/>
            </w:tcBorders>
            <w:shd w:val="clear" w:color="auto" w:fill="auto"/>
            <w:vAlign w:val="center"/>
            <w:hideMark/>
          </w:tcPr>
          <w:p w14:paraId="47E19D8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Përmbushja e detyrimeve që ka Shqipëria për angazhimin e marrë në kuadër të Agjendës së OKB-së 2030, për zhvillim të qëndrueshëm</w:t>
            </w:r>
          </w:p>
        </w:tc>
        <w:tc>
          <w:tcPr>
            <w:tcW w:w="1740" w:type="dxa"/>
            <w:tcBorders>
              <w:top w:val="nil"/>
              <w:left w:val="nil"/>
              <w:bottom w:val="single" w:sz="4" w:space="0" w:color="auto"/>
              <w:right w:val="single" w:sz="4" w:space="0" w:color="auto"/>
            </w:tcBorders>
            <w:shd w:val="clear" w:color="auto" w:fill="auto"/>
            <w:vAlign w:val="center"/>
            <w:hideMark/>
          </w:tcPr>
          <w:p w14:paraId="35644484"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Vendosjen e një kuadri për matjen e treguesve pë zhvillim të qëndrueshëm</w:t>
            </w:r>
          </w:p>
        </w:tc>
        <w:tc>
          <w:tcPr>
            <w:tcW w:w="1082" w:type="dxa"/>
            <w:tcBorders>
              <w:top w:val="nil"/>
              <w:left w:val="nil"/>
              <w:bottom w:val="single" w:sz="4" w:space="0" w:color="auto"/>
              <w:right w:val="single" w:sz="4" w:space="0" w:color="auto"/>
            </w:tcBorders>
            <w:shd w:val="clear" w:color="auto" w:fill="auto"/>
            <w:vAlign w:val="center"/>
            <w:hideMark/>
          </w:tcPr>
          <w:p w14:paraId="62A54FF2"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 te gjithe kapitujt e Integrimit ne teresi. Udherrefyesi perfshin 17 objektivat e zhvillimit te qendrueshem sipas Agjendes </w:t>
            </w:r>
            <w:r w:rsidRPr="00727111">
              <w:rPr>
                <w:rFonts w:ascii="Garamond" w:hAnsi="Garamond"/>
                <w:color w:val="000000"/>
                <w:sz w:val="12"/>
                <w:szCs w:val="12"/>
                <w:lang w:eastAsia="sq-AL"/>
              </w:rPr>
              <w:lastRenderedPageBreak/>
              <w:t>2030. Ai lidhet me te 5 clusters te integrimit : Themeloret, Tregu I brendshem, Kokurueshmeria dhe rritja gjitheperfshirese, agjenda e gjelber dhe nderlidhjet e qendrueshme dhe marredheniet e jashtme</w:t>
            </w:r>
          </w:p>
        </w:tc>
        <w:tc>
          <w:tcPr>
            <w:tcW w:w="1030" w:type="dxa"/>
            <w:tcBorders>
              <w:top w:val="nil"/>
              <w:left w:val="nil"/>
              <w:bottom w:val="single" w:sz="4" w:space="0" w:color="auto"/>
              <w:right w:val="single" w:sz="4" w:space="0" w:color="auto"/>
            </w:tcBorders>
            <w:shd w:val="clear" w:color="auto" w:fill="auto"/>
            <w:vAlign w:val="center"/>
            <w:hideMark/>
          </w:tcPr>
          <w:p w14:paraId="7AF8E881"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lastRenderedPageBreak/>
              <w:t>Shëndeti dhe zhvillimi i qëndrueshëm, Mirëqënie për të gjithë, Infrastruktura, Energjia, Turizmi dhe Mjedisi,  Arsimi etj</w:t>
            </w:r>
          </w:p>
        </w:tc>
        <w:tc>
          <w:tcPr>
            <w:tcW w:w="1190" w:type="dxa"/>
            <w:tcBorders>
              <w:top w:val="nil"/>
              <w:left w:val="nil"/>
              <w:bottom w:val="single" w:sz="4" w:space="0" w:color="auto"/>
              <w:right w:val="single" w:sz="4" w:space="0" w:color="auto"/>
            </w:tcBorders>
            <w:shd w:val="clear" w:color="auto" w:fill="auto"/>
            <w:vAlign w:val="center"/>
            <w:hideMark/>
          </w:tcPr>
          <w:p w14:paraId="39FC84CA"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SKZHIE 2022-2030, reformat, politika e jashtme, sektoret prioritare te zhvillimit te vendit, bujqesia, turizmi, digjitalizimi, antikorrupsioni, integrimi evropian dhe energjia</w:t>
            </w:r>
          </w:p>
        </w:tc>
        <w:tc>
          <w:tcPr>
            <w:tcW w:w="2122" w:type="dxa"/>
            <w:tcBorders>
              <w:top w:val="nil"/>
              <w:left w:val="nil"/>
              <w:bottom w:val="single" w:sz="4" w:space="0" w:color="auto"/>
              <w:right w:val="single" w:sz="4" w:space="0" w:color="auto"/>
            </w:tcBorders>
            <w:shd w:val="clear" w:color="auto" w:fill="auto"/>
            <w:vAlign w:val="center"/>
            <w:hideMark/>
          </w:tcPr>
          <w:p w14:paraId="277F10D3" w14:textId="77777777" w:rsidR="00687E30" w:rsidRPr="00727111" w:rsidRDefault="00687E30" w:rsidP="00687E3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Axhenda 2030 për Zhvillim të Qëndrueshëm, e miratuar nga të gjitha Shtetet Anëtare të Kombeve të Bashkuara në 2015, ofron një plan të përbashkët për paqen dhe prosperitetin për njerëzit dhe planetin, tani dhe në të ardhmen. Në qendër të tij janë 17 Objektivat e Zhvillimit të Qëndrueshëm (SDG), të cilat janë një thirrje urgjente për veprim nga të gjitha vendet - të </w:t>
            </w:r>
            <w:r w:rsidRPr="00727111">
              <w:rPr>
                <w:rFonts w:ascii="Garamond" w:hAnsi="Garamond"/>
                <w:color w:val="000000"/>
                <w:sz w:val="12"/>
                <w:szCs w:val="12"/>
                <w:lang w:eastAsia="sq-AL"/>
              </w:rPr>
              <w:lastRenderedPageBreak/>
              <w:t>zhvilluara dhe në zhvillim - në një partneritet global. Ato pranojnë se dhënia fund e varfërisë dhe privimeve të tjera duhet të shkojë krah për krah me strategjitë që përmirësojnë shëndetin dhe arsimin, zvogëlojnë pabarazinë dhe nxisin rritjen ekonomike – të gjitha duke trajtuar ndryshimet klimatike dhe duke punuar për të ruajtur oqeanet dhe pyjet tona.</w:t>
            </w:r>
          </w:p>
        </w:tc>
      </w:tr>
    </w:tbl>
    <w:p w14:paraId="7A617C5C" w14:textId="1C912C04" w:rsidR="00272915" w:rsidRPr="00727111" w:rsidRDefault="00272915" w:rsidP="00593BF4">
      <w:pPr>
        <w:ind w:firstLine="284"/>
        <w:jc w:val="both"/>
        <w:rPr>
          <w:rFonts w:ascii="Garamond" w:hAnsi="Garamond"/>
          <w:b/>
          <w:sz w:val="24"/>
        </w:rPr>
      </w:pPr>
    </w:p>
    <w:p w14:paraId="085268B4" w14:textId="5C876D4C" w:rsidR="00687E30" w:rsidRPr="00727111" w:rsidRDefault="00687E30" w:rsidP="00593BF4">
      <w:pPr>
        <w:ind w:firstLine="284"/>
        <w:jc w:val="both"/>
        <w:rPr>
          <w:rFonts w:ascii="Garamond" w:hAnsi="Garamond"/>
          <w:b/>
          <w:sz w:val="24"/>
        </w:rPr>
      </w:pPr>
    </w:p>
    <w:p w14:paraId="5278E762" w14:textId="03516E3A" w:rsidR="00687E30" w:rsidRPr="00727111" w:rsidRDefault="00687E30" w:rsidP="00593BF4">
      <w:pPr>
        <w:ind w:firstLine="284"/>
        <w:jc w:val="both"/>
        <w:rPr>
          <w:rFonts w:ascii="Garamond" w:hAnsi="Garamond"/>
          <w:b/>
          <w:sz w:val="24"/>
        </w:rPr>
      </w:pPr>
    </w:p>
    <w:p w14:paraId="65FE4F74" w14:textId="683B11AC" w:rsidR="00687E30" w:rsidRPr="00727111" w:rsidRDefault="00687E30" w:rsidP="00593BF4">
      <w:pPr>
        <w:ind w:firstLine="284"/>
        <w:jc w:val="both"/>
        <w:rPr>
          <w:rFonts w:ascii="Garamond" w:hAnsi="Garamond"/>
          <w:b/>
          <w:sz w:val="24"/>
        </w:rPr>
      </w:pPr>
    </w:p>
    <w:p w14:paraId="3D21DFFB" w14:textId="579A7A9F" w:rsidR="00687E30" w:rsidRPr="00727111" w:rsidRDefault="00687E30" w:rsidP="00593BF4">
      <w:pPr>
        <w:ind w:firstLine="284"/>
        <w:jc w:val="both"/>
        <w:rPr>
          <w:rFonts w:ascii="Garamond" w:hAnsi="Garamond"/>
          <w:b/>
          <w:sz w:val="24"/>
        </w:rPr>
      </w:pPr>
    </w:p>
    <w:p w14:paraId="5C5F08D1" w14:textId="44E218B6" w:rsidR="00687E30" w:rsidRPr="00727111" w:rsidRDefault="00687E30" w:rsidP="00593BF4">
      <w:pPr>
        <w:ind w:firstLine="284"/>
        <w:jc w:val="both"/>
        <w:rPr>
          <w:rFonts w:ascii="Garamond" w:hAnsi="Garamond"/>
          <w:b/>
          <w:sz w:val="24"/>
        </w:rPr>
      </w:pPr>
    </w:p>
    <w:p w14:paraId="30DACF57" w14:textId="5551128C" w:rsidR="00687E30" w:rsidRPr="00727111" w:rsidRDefault="00687E30" w:rsidP="00593BF4">
      <w:pPr>
        <w:ind w:firstLine="284"/>
        <w:jc w:val="both"/>
        <w:rPr>
          <w:rFonts w:ascii="Garamond" w:hAnsi="Garamond"/>
          <w:b/>
          <w:sz w:val="24"/>
        </w:rPr>
      </w:pPr>
    </w:p>
    <w:p w14:paraId="22416BD0" w14:textId="42D1D411" w:rsidR="00687E30" w:rsidRPr="00727111" w:rsidRDefault="00687E30" w:rsidP="00593BF4">
      <w:pPr>
        <w:ind w:firstLine="284"/>
        <w:jc w:val="both"/>
        <w:rPr>
          <w:rFonts w:ascii="Garamond" w:hAnsi="Garamond"/>
          <w:b/>
          <w:sz w:val="24"/>
        </w:rPr>
      </w:pPr>
    </w:p>
    <w:p w14:paraId="06C17149" w14:textId="29BD64A2" w:rsidR="00687E30" w:rsidRPr="00727111" w:rsidRDefault="00687E30" w:rsidP="00593BF4">
      <w:pPr>
        <w:ind w:firstLine="284"/>
        <w:jc w:val="both"/>
        <w:rPr>
          <w:rFonts w:ascii="Garamond" w:hAnsi="Garamond"/>
          <w:b/>
          <w:sz w:val="24"/>
        </w:rPr>
      </w:pPr>
    </w:p>
    <w:p w14:paraId="61CA719E" w14:textId="2E75A147" w:rsidR="00FD1B54" w:rsidRPr="00727111" w:rsidRDefault="00FD1B54" w:rsidP="00593BF4">
      <w:pPr>
        <w:ind w:firstLine="284"/>
        <w:jc w:val="both"/>
        <w:rPr>
          <w:rFonts w:ascii="Garamond" w:hAnsi="Garamond"/>
          <w:b/>
          <w:sz w:val="24"/>
        </w:rPr>
      </w:pPr>
    </w:p>
    <w:p w14:paraId="71B8E354" w14:textId="5CF5F2BE" w:rsidR="00FD1B54" w:rsidRPr="00727111" w:rsidRDefault="00FD1B54" w:rsidP="00593BF4">
      <w:pPr>
        <w:ind w:firstLine="284"/>
        <w:jc w:val="both"/>
        <w:rPr>
          <w:rFonts w:ascii="Garamond" w:hAnsi="Garamond"/>
          <w:b/>
          <w:sz w:val="24"/>
        </w:rPr>
      </w:pPr>
    </w:p>
    <w:p w14:paraId="626E4C25" w14:textId="4E16178C" w:rsidR="00FD1B54" w:rsidRPr="00727111" w:rsidRDefault="00FD1B54" w:rsidP="00593BF4">
      <w:pPr>
        <w:ind w:firstLine="284"/>
        <w:jc w:val="both"/>
        <w:rPr>
          <w:rFonts w:ascii="Garamond" w:hAnsi="Garamond"/>
          <w:b/>
          <w:sz w:val="24"/>
        </w:rPr>
      </w:pPr>
    </w:p>
    <w:p w14:paraId="40923C83" w14:textId="45284196" w:rsidR="00FD1B54" w:rsidRPr="00727111" w:rsidRDefault="00FD1B54" w:rsidP="00593BF4">
      <w:pPr>
        <w:ind w:firstLine="284"/>
        <w:jc w:val="both"/>
        <w:rPr>
          <w:rFonts w:ascii="Garamond" w:hAnsi="Garamond"/>
          <w:b/>
          <w:sz w:val="24"/>
        </w:rPr>
      </w:pPr>
    </w:p>
    <w:p w14:paraId="3468E2B9" w14:textId="36CE94C5" w:rsidR="00FD1B54" w:rsidRPr="00727111" w:rsidRDefault="00FD1B54" w:rsidP="00593BF4">
      <w:pPr>
        <w:ind w:firstLine="284"/>
        <w:jc w:val="both"/>
        <w:rPr>
          <w:rFonts w:ascii="Garamond" w:hAnsi="Garamond"/>
          <w:b/>
          <w:sz w:val="24"/>
        </w:rPr>
      </w:pPr>
    </w:p>
    <w:p w14:paraId="2E2E20EF" w14:textId="3AB242B9" w:rsidR="00FD1B54" w:rsidRPr="00727111" w:rsidRDefault="00FD1B54" w:rsidP="00593BF4">
      <w:pPr>
        <w:ind w:firstLine="284"/>
        <w:jc w:val="both"/>
        <w:rPr>
          <w:rFonts w:ascii="Garamond" w:hAnsi="Garamond"/>
          <w:b/>
          <w:sz w:val="24"/>
        </w:rPr>
      </w:pPr>
    </w:p>
    <w:p w14:paraId="63B67B23" w14:textId="6A9ED5F0" w:rsidR="00FD1B54" w:rsidRPr="00727111" w:rsidRDefault="00FD1B54" w:rsidP="00593BF4">
      <w:pPr>
        <w:ind w:firstLine="284"/>
        <w:jc w:val="both"/>
        <w:rPr>
          <w:rFonts w:ascii="Garamond" w:hAnsi="Garamond"/>
          <w:b/>
          <w:sz w:val="24"/>
        </w:rPr>
      </w:pPr>
    </w:p>
    <w:p w14:paraId="6A824B6D" w14:textId="23947C60" w:rsidR="00FD1B54" w:rsidRPr="00727111" w:rsidRDefault="00FD1B54" w:rsidP="00593BF4">
      <w:pPr>
        <w:ind w:firstLine="284"/>
        <w:jc w:val="both"/>
        <w:rPr>
          <w:rFonts w:ascii="Garamond" w:hAnsi="Garamond"/>
          <w:b/>
          <w:sz w:val="24"/>
        </w:rPr>
      </w:pPr>
    </w:p>
    <w:p w14:paraId="1274384F" w14:textId="0FA0E27A" w:rsidR="00FD1B54" w:rsidRPr="00727111" w:rsidRDefault="00FD1B54" w:rsidP="00593BF4">
      <w:pPr>
        <w:ind w:firstLine="284"/>
        <w:jc w:val="both"/>
        <w:rPr>
          <w:rFonts w:ascii="Garamond" w:hAnsi="Garamond"/>
          <w:b/>
          <w:sz w:val="24"/>
        </w:rPr>
      </w:pPr>
    </w:p>
    <w:p w14:paraId="2A1D2981" w14:textId="3BCE02C5" w:rsidR="00FD1B54" w:rsidRPr="00727111" w:rsidRDefault="00FD1B54" w:rsidP="00593BF4">
      <w:pPr>
        <w:ind w:firstLine="284"/>
        <w:jc w:val="both"/>
        <w:rPr>
          <w:rFonts w:ascii="Garamond" w:hAnsi="Garamond"/>
          <w:b/>
          <w:sz w:val="24"/>
        </w:rPr>
      </w:pPr>
    </w:p>
    <w:p w14:paraId="694D0F4A" w14:textId="4C506DE9" w:rsidR="00FD1B54" w:rsidRPr="00727111" w:rsidRDefault="00FD1B54" w:rsidP="00593BF4">
      <w:pPr>
        <w:ind w:firstLine="284"/>
        <w:jc w:val="both"/>
        <w:rPr>
          <w:rFonts w:ascii="Garamond" w:hAnsi="Garamond"/>
          <w:b/>
          <w:sz w:val="24"/>
        </w:rPr>
      </w:pPr>
    </w:p>
    <w:p w14:paraId="4495704A" w14:textId="3401AF42" w:rsidR="00FD1B54" w:rsidRPr="00727111" w:rsidRDefault="00FD1B54" w:rsidP="00593BF4">
      <w:pPr>
        <w:ind w:firstLine="284"/>
        <w:jc w:val="both"/>
        <w:rPr>
          <w:rFonts w:ascii="Garamond" w:hAnsi="Garamond"/>
          <w:b/>
          <w:sz w:val="24"/>
        </w:rPr>
      </w:pPr>
    </w:p>
    <w:p w14:paraId="3FAD51CA" w14:textId="772791EA" w:rsidR="00FD1B54" w:rsidRPr="00727111" w:rsidRDefault="00FD1B54" w:rsidP="00593BF4">
      <w:pPr>
        <w:ind w:firstLine="284"/>
        <w:jc w:val="both"/>
        <w:rPr>
          <w:rFonts w:ascii="Garamond" w:hAnsi="Garamond"/>
          <w:b/>
          <w:sz w:val="24"/>
        </w:rPr>
      </w:pPr>
    </w:p>
    <w:p w14:paraId="4415AE8D" w14:textId="0ED62A79" w:rsidR="00FD1B54" w:rsidRPr="00727111" w:rsidRDefault="00FD1B54" w:rsidP="00593BF4">
      <w:pPr>
        <w:ind w:firstLine="284"/>
        <w:jc w:val="both"/>
        <w:rPr>
          <w:rFonts w:ascii="Garamond" w:hAnsi="Garamond"/>
          <w:b/>
          <w:sz w:val="24"/>
        </w:rPr>
      </w:pPr>
    </w:p>
    <w:p w14:paraId="49280FDD" w14:textId="77777777" w:rsidR="00FD1B54" w:rsidRPr="00727111" w:rsidRDefault="00FD1B54" w:rsidP="00593BF4">
      <w:pPr>
        <w:ind w:firstLine="284"/>
        <w:jc w:val="both"/>
        <w:rPr>
          <w:rFonts w:ascii="Garamond" w:hAnsi="Garamond"/>
          <w:b/>
          <w:sz w:val="24"/>
        </w:rPr>
      </w:pPr>
    </w:p>
    <w:p w14:paraId="1B50E117" w14:textId="08D7FD49" w:rsidR="00FD1B54" w:rsidRPr="00727111" w:rsidRDefault="00FD1B54" w:rsidP="00593BF4">
      <w:pPr>
        <w:ind w:firstLine="284"/>
        <w:jc w:val="both"/>
        <w:rPr>
          <w:rFonts w:ascii="Garamond" w:hAnsi="Garamond"/>
          <w:b/>
          <w:sz w:val="24"/>
        </w:rPr>
      </w:pPr>
    </w:p>
    <w:p w14:paraId="611C8966" w14:textId="1ECFEA85" w:rsidR="00FD1B54" w:rsidRPr="00727111" w:rsidRDefault="00FD1B54" w:rsidP="00593BF4">
      <w:pPr>
        <w:ind w:firstLine="284"/>
        <w:jc w:val="both"/>
        <w:rPr>
          <w:rFonts w:ascii="Garamond" w:hAnsi="Garamond"/>
          <w:b/>
          <w:sz w:val="24"/>
        </w:rPr>
      </w:pPr>
    </w:p>
    <w:tbl>
      <w:tblPr>
        <w:tblW w:w="5179" w:type="pct"/>
        <w:jc w:val="center"/>
        <w:tblLook w:val="04A0" w:firstRow="1" w:lastRow="0" w:firstColumn="1" w:lastColumn="0" w:noHBand="0" w:noVBand="1"/>
      </w:tblPr>
      <w:tblGrid>
        <w:gridCol w:w="390"/>
        <w:gridCol w:w="1824"/>
        <w:gridCol w:w="902"/>
        <w:gridCol w:w="1021"/>
        <w:gridCol w:w="1114"/>
        <w:gridCol w:w="1911"/>
        <w:gridCol w:w="2363"/>
        <w:gridCol w:w="1041"/>
        <w:gridCol w:w="1030"/>
        <w:gridCol w:w="1275"/>
        <w:gridCol w:w="1588"/>
      </w:tblGrid>
      <w:tr w:rsidR="00FD1B54" w:rsidRPr="00727111" w14:paraId="022542CB" w14:textId="77777777" w:rsidTr="00FD1B54">
        <w:trPr>
          <w:trHeight w:val="180"/>
          <w:jc w:val="center"/>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625C1883" w14:textId="77777777" w:rsidR="00FD1B54" w:rsidRPr="00727111" w:rsidRDefault="00FD1B54" w:rsidP="00FD1B54">
            <w:pPr>
              <w:jc w:val="center"/>
              <w:rPr>
                <w:rFonts w:ascii="Garamond" w:hAnsi="Garamond" w:cs="Calibri"/>
                <w:b/>
                <w:bCs/>
                <w:color w:val="000000"/>
                <w:sz w:val="12"/>
                <w:szCs w:val="12"/>
                <w:lang w:eastAsia="sq-AL"/>
              </w:rPr>
            </w:pPr>
            <w:bookmarkStart w:id="4" w:name="RANGE!A1:K9"/>
            <w:r w:rsidRPr="00727111">
              <w:rPr>
                <w:rFonts w:ascii="Garamond" w:hAnsi="Garamond" w:cs="Calibri"/>
                <w:b/>
                <w:bCs/>
                <w:color w:val="000000"/>
                <w:sz w:val="12"/>
                <w:szCs w:val="12"/>
                <w:lang w:eastAsia="sq-AL"/>
              </w:rPr>
              <w:t>Programi i Përgjithshëm Analitik i Projektakteve për vitin 2025</w:t>
            </w:r>
            <w:bookmarkEnd w:id="4"/>
          </w:p>
        </w:tc>
      </w:tr>
      <w:tr w:rsidR="00FD1B54" w:rsidRPr="00727111" w14:paraId="4F76EFD4" w14:textId="77777777" w:rsidTr="00FD1B54">
        <w:trPr>
          <w:trHeight w:val="180"/>
          <w:jc w:val="center"/>
        </w:trPr>
        <w:tc>
          <w:tcPr>
            <w:tcW w:w="5000" w:type="pct"/>
            <w:gridSpan w:val="11"/>
            <w:tcBorders>
              <w:top w:val="single" w:sz="4" w:space="0" w:color="FFFFFF"/>
              <w:left w:val="nil"/>
              <w:bottom w:val="nil"/>
              <w:right w:val="nil"/>
            </w:tcBorders>
            <w:shd w:val="clear" w:color="000000" w:fill="F2F2F2"/>
            <w:vAlign w:val="center"/>
            <w:hideMark/>
          </w:tcPr>
          <w:p w14:paraId="6A801A1E" w14:textId="77777777" w:rsidR="00FD1B54" w:rsidRPr="00727111" w:rsidRDefault="00FD1B54" w:rsidP="00FD1B54">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Ministri I Shtetit për Administratën Publike dhe Antikorrupsionin</w:t>
            </w:r>
          </w:p>
        </w:tc>
      </w:tr>
      <w:tr w:rsidR="00FD1B54" w:rsidRPr="00727111" w14:paraId="3E39B2B2" w14:textId="77777777" w:rsidTr="00FD1B54">
        <w:trPr>
          <w:trHeight w:val="180"/>
          <w:jc w:val="center"/>
        </w:trPr>
        <w:tc>
          <w:tcPr>
            <w:tcW w:w="135" w:type="pct"/>
            <w:tcBorders>
              <w:top w:val="single" w:sz="8" w:space="0" w:color="auto"/>
              <w:left w:val="single" w:sz="8" w:space="0" w:color="auto"/>
              <w:bottom w:val="nil"/>
              <w:right w:val="nil"/>
            </w:tcBorders>
            <w:shd w:val="clear" w:color="000000" w:fill="C00000"/>
            <w:vAlign w:val="center"/>
            <w:hideMark/>
          </w:tcPr>
          <w:p w14:paraId="20DB7D52"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Nr.</w:t>
            </w:r>
          </w:p>
        </w:tc>
        <w:tc>
          <w:tcPr>
            <w:tcW w:w="631" w:type="pct"/>
            <w:tcBorders>
              <w:top w:val="single" w:sz="8" w:space="0" w:color="auto"/>
              <w:left w:val="single" w:sz="4" w:space="0" w:color="FFFFFF"/>
              <w:bottom w:val="nil"/>
              <w:right w:val="single" w:sz="4" w:space="0" w:color="FFFFFF"/>
            </w:tcBorders>
            <w:shd w:val="clear" w:color="000000" w:fill="C00000"/>
            <w:vAlign w:val="center"/>
            <w:hideMark/>
          </w:tcPr>
          <w:p w14:paraId="1F637C72"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Titulli i projektaktit</w:t>
            </w:r>
          </w:p>
        </w:tc>
        <w:tc>
          <w:tcPr>
            <w:tcW w:w="312" w:type="pct"/>
            <w:tcBorders>
              <w:top w:val="single" w:sz="8" w:space="0" w:color="auto"/>
              <w:left w:val="nil"/>
              <w:bottom w:val="nil"/>
              <w:right w:val="single" w:sz="4" w:space="0" w:color="FFFFFF"/>
            </w:tcBorders>
            <w:shd w:val="clear" w:color="000000" w:fill="C00000"/>
            <w:vAlign w:val="center"/>
            <w:hideMark/>
          </w:tcPr>
          <w:p w14:paraId="46A9EA18"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Lloji i projektaktit</w:t>
            </w:r>
          </w:p>
        </w:tc>
        <w:tc>
          <w:tcPr>
            <w:tcW w:w="353" w:type="pct"/>
            <w:tcBorders>
              <w:top w:val="single" w:sz="8" w:space="0" w:color="auto"/>
              <w:left w:val="nil"/>
              <w:bottom w:val="nil"/>
              <w:right w:val="nil"/>
            </w:tcBorders>
            <w:shd w:val="clear" w:color="000000" w:fill="C00000"/>
            <w:vAlign w:val="center"/>
            <w:hideMark/>
          </w:tcPr>
          <w:p w14:paraId="7F867BE6"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Ministri propozues</w:t>
            </w:r>
          </w:p>
        </w:tc>
        <w:tc>
          <w:tcPr>
            <w:tcW w:w="385" w:type="pct"/>
            <w:tcBorders>
              <w:top w:val="single" w:sz="8" w:space="0" w:color="auto"/>
              <w:left w:val="single" w:sz="4" w:space="0" w:color="FFFFFF"/>
              <w:bottom w:val="nil"/>
              <w:right w:val="nil"/>
            </w:tcBorders>
            <w:shd w:val="clear" w:color="000000" w:fill="C00000"/>
            <w:vAlign w:val="center"/>
            <w:hideMark/>
          </w:tcPr>
          <w:p w14:paraId="654C16F2"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Katër mujori</w:t>
            </w:r>
          </w:p>
        </w:tc>
        <w:tc>
          <w:tcPr>
            <w:tcW w:w="661" w:type="pct"/>
            <w:tcBorders>
              <w:top w:val="single" w:sz="8" w:space="0" w:color="auto"/>
              <w:left w:val="single" w:sz="4" w:space="0" w:color="FFFFFF"/>
              <w:bottom w:val="nil"/>
              <w:right w:val="nil"/>
            </w:tcBorders>
            <w:shd w:val="clear" w:color="000000" w:fill="C00000"/>
            <w:vAlign w:val="center"/>
            <w:hideMark/>
          </w:tcPr>
          <w:p w14:paraId="33192D70"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Arsyet kryesore për propozimin e projektaktit</w:t>
            </w:r>
          </w:p>
        </w:tc>
        <w:tc>
          <w:tcPr>
            <w:tcW w:w="817" w:type="pct"/>
            <w:tcBorders>
              <w:top w:val="single" w:sz="8" w:space="0" w:color="auto"/>
              <w:left w:val="single" w:sz="4" w:space="0" w:color="FFFFFF"/>
              <w:bottom w:val="nil"/>
              <w:right w:val="single" w:sz="4" w:space="0" w:color="FFFFFF"/>
            </w:tcBorders>
            <w:shd w:val="clear" w:color="000000" w:fill="C00000"/>
            <w:vAlign w:val="center"/>
            <w:hideMark/>
          </w:tcPr>
          <w:p w14:paraId="67F0EE43"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 xml:space="preserve">Çështjet kryesore që parashikon të rregullojë projektakti </w:t>
            </w:r>
          </w:p>
        </w:tc>
        <w:tc>
          <w:tcPr>
            <w:tcW w:w="360" w:type="pct"/>
            <w:tcBorders>
              <w:top w:val="single" w:sz="8" w:space="0" w:color="auto"/>
              <w:left w:val="nil"/>
              <w:bottom w:val="nil"/>
              <w:right w:val="single" w:sz="4" w:space="0" w:color="FFFFFF"/>
            </w:tcBorders>
            <w:shd w:val="clear" w:color="000000" w:fill="C00000"/>
            <w:vAlign w:val="center"/>
            <w:hideMark/>
          </w:tcPr>
          <w:p w14:paraId="20F1729C"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 është parashikuar projektakti në PKIE?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po, të specifikohet kapitulli përkatës</w:t>
            </w:r>
          </w:p>
        </w:tc>
        <w:tc>
          <w:tcPr>
            <w:tcW w:w="356" w:type="pct"/>
            <w:tcBorders>
              <w:top w:val="single" w:sz="8" w:space="0" w:color="auto"/>
              <w:left w:val="nil"/>
              <w:bottom w:val="nil"/>
              <w:right w:val="single" w:sz="4" w:space="0" w:color="FFFFFF"/>
            </w:tcBorders>
            <w:shd w:val="clear" w:color="000000" w:fill="C00000"/>
            <w:vAlign w:val="center"/>
            <w:hideMark/>
          </w:tcPr>
          <w:p w14:paraId="69C67E38"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Përputhshmëria e projektaktit me programin politik qeverisës 2021-2025</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përputhet, të jepet  referenca e saktë në progam</w:t>
            </w:r>
          </w:p>
        </w:tc>
        <w:tc>
          <w:tcPr>
            <w:tcW w:w="441" w:type="pct"/>
            <w:tcBorders>
              <w:top w:val="single" w:sz="8" w:space="0" w:color="auto"/>
              <w:left w:val="nil"/>
              <w:bottom w:val="nil"/>
              <w:right w:val="single" w:sz="4" w:space="0" w:color="FFFFFF"/>
            </w:tcBorders>
            <w:shd w:val="clear" w:color="000000" w:fill="C00000"/>
            <w:vAlign w:val="center"/>
            <w:hideMark/>
          </w:tcPr>
          <w:p w14:paraId="7EE52958"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Lidhja e projektaktit me strategjitë kombëtare dhe sektoriale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lidhet, të specifikohen strategjitë</w:t>
            </w:r>
          </w:p>
        </w:tc>
        <w:tc>
          <w:tcPr>
            <w:tcW w:w="549" w:type="pct"/>
            <w:tcBorders>
              <w:top w:val="single" w:sz="8" w:space="0" w:color="auto"/>
              <w:left w:val="nil"/>
              <w:bottom w:val="nil"/>
              <w:right w:val="nil"/>
            </w:tcBorders>
            <w:shd w:val="clear" w:color="000000" w:fill="C00000"/>
            <w:vAlign w:val="center"/>
            <w:hideMark/>
          </w:tcPr>
          <w:p w14:paraId="3870109A" w14:textId="77777777" w:rsidR="00FD1B54" w:rsidRPr="00727111" w:rsidRDefault="00FD1B54" w:rsidP="00FD1B5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Ndikimet e mundshme ekonomike, financiare, sociale dhe mjedisore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 xml:space="preserve">Përgjigjuni me Po/Jo për ndikimet përkatëse </w:t>
            </w:r>
          </w:p>
        </w:tc>
      </w:tr>
      <w:tr w:rsidR="00FD1B54" w:rsidRPr="00727111" w14:paraId="2975D8A7" w14:textId="77777777" w:rsidTr="00FD1B54">
        <w:trPr>
          <w:trHeight w:val="180"/>
          <w:jc w:val="center"/>
        </w:trPr>
        <w:tc>
          <w:tcPr>
            <w:tcW w:w="135" w:type="pc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6892CD5" w14:textId="77777777" w:rsidR="00FD1B54" w:rsidRPr="00727111" w:rsidRDefault="00FD1B54" w:rsidP="00FD1B54">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1</w:t>
            </w:r>
          </w:p>
        </w:tc>
        <w:tc>
          <w:tcPr>
            <w:tcW w:w="631" w:type="pct"/>
            <w:tcBorders>
              <w:top w:val="single" w:sz="4" w:space="0" w:color="BFBFBF"/>
              <w:left w:val="nil"/>
              <w:bottom w:val="single" w:sz="4" w:space="0" w:color="BFBFBF"/>
              <w:right w:val="single" w:sz="4" w:space="0" w:color="BFBFBF"/>
            </w:tcBorders>
            <w:shd w:val="clear" w:color="auto" w:fill="auto"/>
            <w:vAlign w:val="center"/>
            <w:hideMark/>
          </w:tcPr>
          <w:p w14:paraId="1789BCE0"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Për disa shtesa dhe ndryshime në ligjin nr. 90/2012, "Për organizimin dhe funksionimin e administratës shtetërore"</w:t>
            </w:r>
          </w:p>
        </w:tc>
        <w:tc>
          <w:tcPr>
            <w:tcW w:w="312" w:type="pct"/>
            <w:tcBorders>
              <w:top w:val="single" w:sz="4" w:space="0" w:color="BFBFBF"/>
              <w:left w:val="nil"/>
              <w:bottom w:val="single" w:sz="4" w:space="0" w:color="BFBFBF"/>
              <w:right w:val="single" w:sz="4" w:space="0" w:color="BFBFBF"/>
            </w:tcBorders>
            <w:shd w:val="clear" w:color="auto" w:fill="auto"/>
            <w:noWrap/>
            <w:vAlign w:val="center"/>
            <w:hideMark/>
          </w:tcPr>
          <w:p w14:paraId="1A1F9A85"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Projektligj</w:t>
            </w:r>
          </w:p>
        </w:tc>
        <w:tc>
          <w:tcPr>
            <w:tcW w:w="353" w:type="pct"/>
            <w:tcBorders>
              <w:top w:val="single" w:sz="4" w:space="0" w:color="BFBFBF"/>
              <w:left w:val="nil"/>
              <w:bottom w:val="single" w:sz="4" w:space="0" w:color="BFBFBF"/>
              <w:right w:val="single" w:sz="4" w:space="0" w:color="BFBFBF"/>
            </w:tcBorders>
            <w:shd w:val="clear" w:color="auto" w:fill="auto"/>
            <w:vAlign w:val="center"/>
            <w:hideMark/>
          </w:tcPr>
          <w:p w14:paraId="49779C2F"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Administratën Publike dhe Antikorrupsionin</w:t>
            </w:r>
          </w:p>
        </w:tc>
        <w:tc>
          <w:tcPr>
            <w:tcW w:w="385" w:type="pct"/>
            <w:tcBorders>
              <w:top w:val="single" w:sz="4" w:space="0" w:color="BFBFBF"/>
              <w:left w:val="nil"/>
              <w:bottom w:val="single" w:sz="4" w:space="0" w:color="BFBFBF"/>
              <w:right w:val="single" w:sz="4" w:space="0" w:color="BFBFBF"/>
            </w:tcBorders>
            <w:shd w:val="clear" w:color="auto" w:fill="auto"/>
            <w:noWrap/>
            <w:vAlign w:val="center"/>
            <w:hideMark/>
          </w:tcPr>
          <w:p w14:paraId="0CAF95F0"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parë</w:t>
            </w:r>
          </w:p>
        </w:tc>
        <w:tc>
          <w:tcPr>
            <w:tcW w:w="661" w:type="pct"/>
            <w:tcBorders>
              <w:top w:val="single" w:sz="4" w:space="0" w:color="BFBFBF"/>
              <w:left w:val="nil"/>
              <w:bottom w:val="single" w:sz="4" w:space="0" w:color="BFBFBF"/>
              <w:right w:val="single" w:sz="4" w:space="0" w:color="BFBFBF"/>
            </w:tcBorders>
            <w:shd w:val="clear" w:color="auto" w:fill="auto"/>
            <w:vAlign w:val="center"/>
            <w:hideMark/>
          </w:tcPr>
          <w:p w14:paraId="4717CA04"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Rregullime per disa parashikime të ligjit, për shkak të problematikave të vëna re gjatë zbatimit të tij, të evidentuara edhe në nga raportet e progresit të Bë-së, si dhe në raportin screening të BE-së </w:t>
            </w:r>
          </w:p>
        </w:tc>
        <w:tc>
          <w:tcPr>
            <w:tcW w:w="817" w:type="pct"/>
            <w:tcBorders>
              <w:top w:val="single" w:sz="4" w:space="0" w:color="BFBFBF"/>
              <w:left w:val="nil"/>
              <w:bottom w:val="single" w:sz="4" w:space="0" w:color="BFBFBF"/>
              <w:right w:val="single" w:sz="4" w:space="0" w:color="BFBFBF"/>
            </w:tcBorders>
            <w:shd w:val="clear" w:color="auto" w:fill="auto"/>
            <w:vAlign w:val="center"/>
            <w:hideMark/>
          </w:tcPr>
          <w:p w14:paraId="76ADCD46"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Rregullimi i parimeve, si dhe mënyrës së krijimit, organizimit, funksionimit dhe tipologjisë së institucioneve të administratës shteterore. Gjithashtu, në këtë ligj duhet të përcaktohet mekanizimi i mbikqyrjes së performancë së institucioneve të administratës shtetërore, si dhe raportimi në Këshillin e Ministrave në lidhje me zbatimin e ligjit. </w:t>
            </w:r>
          </w:p>
        </w:tc>
        <w:tc>
          <w:tcPr>
            <w:tcW w:w="360" w:type="pct"/>
            <w:tcBorders>
              <w:top w:val="single" w:sz="4" w:space="0" w:color="BFBFBF"/>
              <w:left w:val="nil"/>
              <w:bottom w:val="single" w:sz="4" w:space="0" w:color="BFBFBF"/>
              <w:right w:val="single" w:sz="4" w:space="0" w:color="BFBFBF"/>
            </w:tcBorders>
            <w:shd w:val="clear" w:color="auto" w:fill="auto"/>
            <w:vAlign w:val="center"/>
            <w:hideMark/>
          </w:tcPr>
          <w:p w14:paraId="04A8DDC2"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 Themelorët/PAR</w:t>
            </w:r>
          </w:p>
        </w:tc>
        <w:tc>
          <w:tcPr>
            <w:tcW w:w="356" w:type="pct"/>
            <w:tcBorders>
              <w:top w:val="single" w:sz="4" w:space="0" w:color="BFBFBF"/>
              <w:left w:val="nil"/>
              <w:bottom w:val="single" w:sz="4" w:space="0" w:color="BFBFBF"/>
              <w:right w:val="single" w:sz="4" w:space="0" w:color="BFBFBF"/>
            </w:tcBorders>
            <w:shd w:val="clear" w:color="auto" w:fill="auto"/>
            <w:vAlign w:val="center"/>
            <w:hideMark/>
          </w:tcPr>
          <w:p w14:paraId="5D502188"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N/A</w:t>
            </w:r>
          </w:p>
        </w:tc>
        <w:tc>
          <w:tcPr>
            <w:tcW w:w="441" w:type="pct"/>
            <w:tcBorders>
              <w:top w:val="single" w:sz="4" w:space="0" w:color="BFBFBF"/>
              <w:left w:val="nil"/>
              <w:bottom w:val="single" w:sz="4" w:space="0" w:color="BFBFBF"/>
              <w:right w:val="single" w:sz="4" w:space="0" w:color="BFBFBF"/>
            </w:tcBorders>
            <w:shd w:val="clear" w:color="auto" w:fill="auto"/>
            <w:vAlign w:val="center"/>
            <w:hideMark/>
          </w:tcPr>
          <w:p w14:paraId="6623583D"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VKM nr. 737, datë 13.12.2023, "Për miratimin e Udhërrefyesit për Reformën në Administratën Publike 2023-2030"</w:t>
            </w:r>
          </w:p>
        </w:tc>
        <w:tc>
          <w:tcPr>
            <w:tcW w:w="549" w:type="pct"/>
            <w:tcBorders>
              <w:top w:val="single" w:sz="4" w:space="0" w:color="BFBFBF"/>
              <w:left w:val="nil"/>
              <w:bottom w:val="single" w:sz="4" w:space="0" w:color="BFBFBF"/>
              <w:right w:val="single" w:sz="4" w:space="0" w:color="BFBFBF"/>
            </w:tcBorders>
            <w:shd w:val="clear" w:color="auto" w:fill="auto"/>
            <w:vAlign w:val="center"/>
            <w:hideMark/>
          </w:tcPr>
          <w:p w14:paraId="74FD0355"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FD1B54" w:rsidRPr="00727111" w14:paraId="0510FAE5" w14:textId="77777777" w:rsidTr="00FD1B54">
        <w:trPr>
          <w:trHeight w:val="180"/>
          <w:jc w:val="center"/>
        </w:trPr>
        <w:tc>
          <w:tcPr>
            <w:tcW w:w="135" w:type="pct"/>
            <w:tcBorders>
              <w:top w:val="nil"/>
              <w:left w:val="single" w:sz="4" w:space="0" w:color="BFBFBF"/>
              <w:bottom w:val="single" w:sz="4" w:space="0" w:color="BFBFBF"/>
              <w:right w:val="single" w:sz="4" w:space="0" w:color="BFBFBF"/>
            </w:tcBorders>
            <w:shd w:val="clear" w:color="auto" w:fill="auto"/>
            <w:noWrap/>
            <w:vAlign w:val="center"/>
            <w:hideMark/>
          </w:tcPr>
          <w:p w14:paraId="2905536A" w14:textId="77777777" w:rsidR="00FD1B54" w:rsidRPr="00727111" w:rsidRDefault="00FD1B54" w:rsidP="00FD1B54">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2</w:t>
            </w:r>
          </w:p>
        </w:tc>
        <w:tc>
          <w:tcPr>
            <w:tcW w:w="631" w:type="pct"/>
            <w:tcBorders>
              <w:top w:val="single" w:sz="8" w:space="0" w:color="BFBFBF"/>
              <w:left w:val="nil"/>
              <w:bottom w:val="single" w:sz="4" w:space="0" w:color="BFBFBF"/>
              <w:right w:val="single" w:sz="4" w:space="0" w:color="BFBFBF"/>
            </w:tcBorders>
            <w:shd w:val="clear" w:color="auto" w:fill="auto"/>
            <w:vAlign w:val="center"/>
            <w:hideMark/>
          </w:tcPr>
          <w:p w14:paraId="4C5DCDB1"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Për planin vjetor të pranimit në institucionet e administratës shtetërore pjesë të shërbimit civil, për vitin 2025</w:t>
            </w:r>
          </w:p>
        </w:tc>
        <w:tc>
          <w:tcPr>
            <w:tcW w:w="312" w:type="pct"/>
            <w:tcBorders>
              <w:top w:val="single" w:sz="8" w:space="0" w:color="BFBFBF"/>
              <w:left w:val="nil"/>
              <w:bottom w:val="single" w:sz="4" w:space="0" w:color="BFBFBF"/>
              <w:right w:val="single" w:sz="4" w:space="0" w:color="BFBFBF"/>
            </w:tcBorders>
            <w:shd w:val="clear" w:color="auto" w:fill="auto"/>
            <w:noWrap/>
            <w:vAlign w:val="center"/>
            <w:hideMark/>
          </w:tcPr>
          <w:p w14:paraId="45A8E461"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353" w:type="pct"/>
            <w:tcBorders>
              <w:top w:val="single" w:sz="8" w:space="0" w:color="BFBFBF"/>
              <w:left w:val="nil"/>
              <w:bottom w:val="single" w:sz="4" w:space="0" w:color="BFBFBF"/>
              <w:right w:val="single" w:sz="4" w:space="0" w:color="BFBFBF"/>
            </w:tcBorders>
            <w:shd w:val="clear" w:color="auto" w:fill="auto"/>
            <w:vAlign w:val="center"/>
            <w:hideMark/>
          </w:tcPr>
          <w:p w14:paraId="7B4E3859"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Administratën Publike dhe Antikorrupsionin</w:t>
            </w:r>
          </w:p>
        </w:tc>
        <w:tc>
          <w:tcPr>
            <w:tcW w:w="385" w:type="pct"/>
            <w:tcBorders>
              <w:top w:val="nil"/>
              <w:left w:val="nil"/>
              <w:bottom w:val="single" w:sz="4" w:space="0" w:color="BFBFBF"/>
              <w:right w:val="single" w:sz="4" w:space="0" w:color="BFBFBF"/>
            </w:tcBorders>
            <w:shd w:val="clear" w:color="auto" w:fill="auto"/>
            <w:noWrap/>
            <w:vAlign w:val="center"/>
            <w:hideMark/>
          </w:tcPr>
          <w:p w14:paraId="02D4A9BE"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parë</w:t>
            </w:r>
          </w:p>
        </w:tc>
        <w:tc>
          <w:tcPr>
            <w:tcW w:w="661" w:type="pct"/>
            <w:tcBorders>
              <w:top w:val="single" w:sz="8" w:space="0" w:color="BFBFBF"/>
              <w:left w:val="nil"/>
              <w:bottom w:val="single" w:sz="4" w:space="0" w:color="BFBFBF"/>
              <w:right w:val="single" w:sz="4" w:space="0" w:color="BFBFBF"/>
            </w:tcBorders>
            <w:shd w:val="clear" w:color="auto" w:fill="auto"/>
            <w:vAlign w:val="center"/>
            <w:hideMark/>
          </w:tcPr>
          <w:p w14:paraId="338097CB"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Miratimi i planit për plotësimin e vendeve vakante në shërbimin civil në institucionet e administratës shtetërore, pjesë të fushës së veprimit të këtij legjislacioni, për vitin 2025</w:t>
            </w:r>
          </w:p>
        </w:tc>
        <w:tc>
          <w:tcPr>
            <w:tcW w:w="817" w:type="pct"/>
            <w:tcBorders>
              <w:top w:val="single" w:sz="8" w:space="0" w:color="BFBFBF"/>
              <w:left w:val="nil"/>
              <w:bottom w:val="single" w:sz="4" w:space="0" w:color="BFBFBF"/>
              <w:right w:val="single" w:sz="4" w:space="0" w:color="BFBFBF"/>
            </w:tcBorders>
            <w:shd w:val="clear" w:color="auto" w:fill="auto"/>
            <w:vAlign w:val="center"/>
            <w:hideMark/>
          </w:tcPr>
          <w:p w14:paraId="674C224F"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1. Përcaktimi i numrit të përgjithshëm të vendeve vakante të planifikuara për rekrutim gjatë vitit 2025, si dhe detajimi i këtij numri sipas kategorive të shërbimit civil;                                                                </w:t>
            </w:r>
            <w:r w:rsidRPr="00727111">
              <w:rPr>
                <w:rFonts w:ascii="Garamond" w:hAnsi="Garamond" w:cs="Calibri"/>
                <w:color w:val="000000"/>
                <w:sz w:val="12"/>
                <w:szCs w:val="12"/>
                <w:lang w:eastAsia="sq-AL"/>
              </w:rPr>
              <w:br/>
            </w:r>
            <w:r w:rsidRPr="00727111">
              <w:rPr>
                <w:rFonts w:ascii="Garamond" w:hAnsi="Garamond" w:cs="Calibri"/>
                <w:color w:val="000000"/>
                <w:sz w:val="12"/>
                <w:szCs w:val="12"/>
                <w:lang w:eastAsia="sq-AL"/>
              </w:rPr>
              <w:br/>
              <w:t xml:space="preserve">2. Përcaktimi i grupeve të administrimit të përgjithshëm dhe të posaçëm në kategorinë ekzekutive për të cilat planifikohen vende vakante për rekrutim për vitin 2025;                        </w:t>
            </w:r>
            <w:r w:rsidRPr="00727111">
              <w:rPr>
                <w:rFonts w:ascii="Garamond" w:hAnsi="Garamond" w:cs="Calibri"/>
                <w:color w:val="000000"/>
                <w:sz w:val="12"/>
                <w:szCs w:val="12"/>
                <w:lang w:eastAsia="sq-AL"/>
              </w:rPr>
              <w:br/>
            </w:r>
            <w:r w:rsidRPr="00727111">
              <w:rPr>
                <w:rFonts w:ascii="Garamond" w:hAnsi="Garamond" w:cs="Calibri"/>
                <w:color w:val="000000"/>
                <w:sz w:val="12"/>
                <w:szCs w:val="12"/>
                <w:lang w:eastAsia="sq-AL"/>
              </w:rPr>
              <w:br/>
              <w:t xml:space="preserve">3. Përcaktimi i institucioneve të administratës shtetërore ku planifikohen vendet vakante për rekrutim gjatë vitit 2025. </w:t>
            </w:r>
          </w:p>
        </w:tc>
        <w:tc>
          <w:tcPr>
            <w:tcW w:w="360" w:type="pct"/>
            <w:tcBorders>
              <w:top w:val="single" w:sz="8" w:space="0" w:color="BFBFBF"/>
              <w:left w:val="nil"/>
              <w:bottom w:val="single" w:sz="4" w:space="0" w:color="BFBFBF"/>
              <w:right w:val="single" w:sz="4" w:space="0" w:color="BFBFBF"/>
            </w:tcBorders>
            <w:shd w:val="clear" w:color="auto" w:fill="auto"/>
            <w:vAlign w:val="center"/>
            <w:hideMark/>
          </w:tcPr>
          <w:p w14:paraId="6ECD2031"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356" w:type="pct"/>
            <w:tcBorders>
              <w:top w:val="single" w:sz="8" w:space="0" w:color="BFBFBF"/>
              <w:left w:val="nil"/>
              <w:bottom w:val="single" w:sz="4" w:space="0" w:color="BFBFBF"/>
              <w:right w:val="single" w:sz="4" w:space="0" w:color="BFBFBF"/>
            </w:tcBorders>
            <w:shd w:val="clear" w:color="auto" w:fill="auto"/>
            <w:vAlign w:val="center"/>
            <w:hideMark/>
          </w:tcPr>
          <w:p w14:paraId="4E58DC6E"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N/A</w:t>
            </w:r>
          </w:p>
        </w:tc>
        <w:tc>
          <w:tcPr>
            <w:tcW w:w="441" w:type="pct"/>
            <w:tcBorders>
              <w:top w:val="single" w:sz="8" w:space="0" w:color="BFBFBF"/>
              <w:left w:val="nil"/>
              <w:bottom w:val="single" w:sz="4" w:space="0" w:color="BFBFBF"/>
              <w:right w:val="single" w:sz="4" w:space="0" w:color="BFBFBF"/>
            </w:tcBorders>
            <w:shd w:val="clear" w:color="auto" w:fill="auto"/>
            <w:vAlign w:val="center"/>
            <w:hideMark/>
          </w:tcPr>
          <w:p w14:paraId="420D3FB4"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49" w:type="pct"/>
            <w:tcBorders>
              <w:top w:val="single" w:sz="8" w:space="0" w:color="BFBFBF"/>
              <w:left w:val="nil"/>
              <w:bottom w:val="single" w:sz="4" w:space="0" w:color="BFBFBF"/>
              <w:right w:val="single" w:sz="8" w:space="0" w:color="BFBFBF"/>
            </w:tcBorders>
            <w:shd w:val="clear" w:color="auto" w:fill="auto"/>
            <w:vAlign w:val="center"/>
            <w:hideMark/>
          </w:tcPr>
          <w:p w14:paraId="1151AAC5"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FD1B54" w:rsidRPr="00727111" w14:paraId="601E2551" w14:textId="77777777" w:rsidTr="00FD1B54">
        <w:trPr>
          <w:trHeight w:val="180"/>
          <w:jc w:val="center"/>
        </w:trPr>
        <w:tc>
          <w:tcPr>
            <w:tcW w:w="135" w:type="pct"/>
            <w:tcBorders>
              <w:top w:val="nil"/>
              <w:left w:val="single" w:sz="4" w:space="0" w:color="BFBFBF"/>
              <w:bottom w:val="single" w:sz="4" w:space="0" w:color="BFBFBF"/>
              <w:right w:val="single" w:sz="4" w:space="0" w:color="BFBFBF"/>
            </w:tcBorders>
            <w:shd w:val="clear" w:color="auto" w:fill="auto"/>
            <w:noWrap/>
            <w:vAlign w:val="center"/>
            <w:hideMark/>
          </w:tcPr>
          <w:p w14:paraId="7775E6EC" w14:textId="77777777" w:rsidR="00FD1B54" w:rsidRPr="00727111" w:rsidRDefault="00FD1B54" w:rsidP="00FD1B54">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3</w:t>
            </w:r>
          </w:p>
        </w:tc>
        <w:tc>
          <w:tcPr>
            <w:tcW w:w="631" w:type="pct"/>
            <w:tcBorders>
              <w:top w:val="nil"/>
              <w:left w:val="nil"/>
              <w:bottom w:val="single" w:sz="4" w:space="0" w:color="BFBFBF"/>
              <w:right w:val="single" w:sz="4" w:space="0" w:color="BFBFBF"/>
            </w:tcBorders>
            <w:shd w:val="clear" w:color="auto" w:fill="auto"/>
            <w:vAlign w:val="center"/>
            <w:hideMark/>
          </w:tcPr>
          <w:p w14:paraId="0128F3BC"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Për hapjen e procedurës së pranimit në kategorinë e ulët dhe të mesme drejtuese edhe për kandidatë të tjerë jashtë shërbimit civil, për vitin 2025</w:t>
            </w:r>
          </w:p>
        </w:tc>
        <w:tc>
          <w:tcPr>
            <w:tcW w:w="312" w:type="pct"/>
            <w:tcBorders>
              <w:top w:val="nil"/>
              <w:left w:val="nil"/>
              <w:bottom w:val="single" w:sz="4" w:space="0" w:color="BFBFBF"/>
              <w:right w:val="single" w:sz="4" w:space="0" w:color="BFBFBF"/>
            </w:tcBorders>
            <w:shd w:val="clear" w:color="auto" w:fill="auto"/>
            <w:noWrap/>
            <w:vAlign w:val="center"/>
            <w:hideMark/>
          </w:tcPr>
          <w:p w14:paraId="1B1B1A7D"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353" w:type="pct"/>
            <w:tcBorders>
              <w:top w:val="nil"/>
              <w:left w:val="nil"/>
              <w:bottom w:val="single" w:sz="4" w:space="0" w:color="BFBFBF"/>
              <w:right w:val="single" w:sz="4" w:space="0" w:color="BFBFBF"/>
            </w:tcBorders>
            <w:shd w:val="clear" w:color="auto" w:fill="auto"/>
            <w:vAlign w:val="center"/>
            <w:hideMark/>
          </w:tcPr>
          <w:p w14:paraId="79D3E0CF"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Administratën Publike dhe Antikorrupsionin</w:t>
            </w:r>
          </w:p>
        </w:tc>
        <w:tc>
          <w:tcPr>
            <w:tcW w:w="385" w:type="pct"/>
            <w:tcBorders>
              <w:top w:val="nil"/>
              <w:left w:val="nil"/>
              <w:bottom w:val="single" w:sz="4" w:space="0" w:color="BFBFBF"/>
              <w:right w:val="single" w:sz="4" w:space="0" w:color="BFBFBF"/>
            </w:tcBorders>
            <w:shd w:val="clear" w:color="auto" w:fill="auto"/>
            <w:noWrap/>
            <w:vAlign w:val="center"/>
            <w:hideMark/>
          </w:tcPr>
          <w:p w14:paraId="506461C4"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parë</w:t>
            </w:r>
          </w:p>
        </w:tc>
        <w:tc>
          <w:tcPr>
            <w:tcW w:w="661" w:type="pct"/>
            <w:tcBorders>
              <w:top w:val="nil"/>
              <w:left w:val="nil"/>
              <w:bottom w:val="single" w:sz="4" w:space="0" w:color="BFBFBF"/>
              <w:right w:val="single" w:sz="4" w:space="0" w:color="BFBFBF"/>
            </w:tcBorders>
            <w:shd w:val="clear" w:color="auto" w:fill="auto"/>
            <w:vAlign w:val="center"/>
            <w:hideMark/>
          </w:tcPr>
          <w:p w14:paraId="3607887A"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Miratimi nga Këshilli i Ministrave i mundësisë që procedura e plotësimit të pozicioneve të lira të kategorisë së ulët dhe të mesme drejtuese, për të cilët lëvizja paralele është mbyllur pa fitues, të jetë e hapur edhe për kandidatë të tjerë nga jashtë shërbimit civil, që plotësojnë kushtet dhe kërkesat për vendet e lira </w:t>
            </w:r>
          </w:p>
        </w:tc>
        <w:tc>
          <w:tcPr>
            <w:tcW w:w="817" w:type="pct"/>
            <w:tcBorders>
              <w:top w:val="nil"/>
              <w:left w:val="nil"/>
              <w:bottom w:val="single" w:sz="4" w:space="0" w:color="BFBFBF"/>
              <w:right w:val="single" w:sz="4" w:space="0" w:color="BFBFBF"/>
            </w:tcBorders>
            <w:shd w:val="clear" w:color="auto" w:fill="auto"/>
            <w:vAlign w:val="center"/>
            <w:hideMark/>
          </w:tcPr>
          <w:p w14:paraId="5A0B75DA"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1. Përcaktimi për secilën kategori (të ulët apo të mesme drejtuese) i numrit të pozicioneve për të cilët do të përdoret procedura sipas këtij vendimi;</w:t>
            </w:r>
            <w:r w:rsidRPr="00727111">
              <w:rPr>
                <w:rFonts w:ascii="Garamond" w:hAnsi="Garamond" w:cs="Calibri"/>
                <w:color w:val="000000"/>
                <w:sz w:val="12"/>
                <w:szCs w:val="12"/>
                <w:lang w:eastAsia="sq-AL"/>
              </w:rPr>
              <w:br/>
            </w:r>
            <w:r w:rsidRPr="00727111">
              <w:rPr>
                <w:rFonts w:ascii="Garamond" w:hAnsi="Garamond" w:cs="Calibri"/>
                <w:color w:val="000000"/>
                <w:sz w:val="12"/>
                <w:szCs w:val="12"/>
                <w:lang w:eastAsia="sq-AL"/>
              </w:rPr>
              <w:br/>
              <w:t>2. Përcaktimi në mënyrë nominative i pozicioneve në të cilat mund konkurojnë edhe kandidatë nga jashtë shërbimit civil.</w:t>
            </w:r>
          </w:p>
        </w:tc>
        <w:tc>
          <w:tcPr>
            <w:tcW w:w="360" w:type="pct"/>
            <w:tcBorders>
              <w:top w:val="nil"/>
              <w:left w:val="nil"/>
              <w:bottom w:val="single" w:sz="4" w:space="0" w:color="BFBFBF"/>
              <w:right w:val="single" w:sz="4" w:space="0" w:color="BFBFBF"/>
            </w:tcBorders>
            <w:shd w:val="clear" w:color="auto" w:fill="auto"/>
            <w:vAlign w:val="center"/>
            <w:hideMark/>
          </w:tcPr>
          <w:p w14:paraId="04B51B9E"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356" w:type="pct"/>
            <w:tcBorders>
              <w:top w:val="nil"/>
              <w:left w:val="nil"/>
              <w:bottom w:val="single" w:sz="4" w:space="0" w:color="BFBFBF"/>
              <w:right w:val="single" w:sz="4" w:space="0" w:color="BFBFBF"/>
            </w:tcBorders>
            <w:shd w:val="clear" w:color="auto" w:fill="auto"/>
            <w:vAlign w:val="center"/>
            <w:hideMark/>
          </w:tcPr>
          <w:p w14:paraId="32F133B2"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N/A</w:t>
            </w:r>
          </w:p>
        </w:tc>
        <w:tc>
          <w:tcPr>
            <w:tcW w:w="441" w:type="pct"/>
            <w:tcBorders>
              <w:top w:val="nil"/>
              <w:left w:val="nil"/>
              <w:bottom w:val="single" w:sz="4" w:space="0" w:color="BFBFBF"/>
              <w:right w:val="single" w:sz="4" w:space="0" w:color="BFBFBF"/>
            </w:tcBorders>
            <w:shd w:val="clear" w:color="auto" w:fill="auto"/>
            <w:vAlign w:val="center"/>
            <w:hideMark/>
          </w:tcPr>
          <w:p w14:paraId="6A590F73"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49" w:type="pct"/>
            <w:tcBorders>
              <w:top w:val="nil"/>
              <w:left w:val="nil"/>
              <w:bottom w:val="single" w:sz="4" w:space="0" w:color="BFBFBF"/>
              <w:right w:val="single" w:sz="8" w:space="0" w:color="BFBFBF"/>
            </w:tcBorders>
            <w:shd w:val="clear" w:color="auto" w:fill="auto"/>
            <w:vAlign w:val="center"/>
            <w:hideMark/>
          </w:tcPr>
          <w:p w14:paraId="75B29C2B"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po  </w:t>
            </w:r>
          </w:p>
        </w:tc>
      </w:tr>
      <w:tr w:rsidR="00FD1B54" w:rsidRPr="00727111" w14:paraId="5EDB786B" w14:textId="77777777" w:rsidTr="00FD1B54">
        <w:trPr>
          <w:trHeight w:val="180"/>
          <w:jc w:val="center"/>
        </w:trPr>
        <w:tc>
          <w:tcPr>
            <w:tcW w:w="135" w:type="pct"/>
            <w:tcBorders>
              <w:top w:val="nil"/>
              <w:left w:val="single" w:sz="4" w:space="0" w:color="BFBFBF"/>
              <w:bottom w:val="single" w:sz="4" w:space="0" w:color="BFBFBF"/>
              <w:right w:val="single" w:sz="4" w:space="0" w:color="BFBFBF"/>
            </w:tcBorders>
            <w:shd w:val="clear" w:color="auto" w:fill="auto"/>
            <w:noWrap/>
            <w:vAlign w:val="center"/>
            <w:hideMark/>
          </w:tcPr>
          <w:p w14:paraId="7F8A6C77" w14:textId="77777777" w:rsidR="00FD1B54" w:rsidRPr="00727111" w:rsidRDefault="00FD1B54" w:rsidP="00FD1B54">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4</w:t>
            </w:r>
          </w:p>
        </w:tc>
        <w:tc>
          <w:tcPr>
            <w:tcW w:w="631" w:type="pct"/>
            <w:tcBorders>
              <w:top w:val="nil"/>
              <w:left w:val="nil"/>
              <w:bottom w:val="single" w:sz="4" w:space="0" w:color="BFBFBF"/>
              <w:right w:val="single" w:sz="4" w:space="0" w:color="BFBFBF"/>
            </w:tcBorders>
            <w:shd w:val="clear" w:color="auto" w:fill="auto"/>
            <w:vAlign w:val="center"/>
            <w:hideMark/>
          </w:tcPr>
          <w:p w14:paraId="7C6FFB7A"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Per miratimin e Strategjisë Ndërsektoriale të Reformës në Administratën Publike 2024-2030</w:t>
            </w:r>
          </w:p>
        </w:tc>
        <w:tc>
          <w:tcPr>
            <w:tcW w:w="312" w:type="pct"/>
            <w:tcBorders>
              <w:top w:val="nil"/>
              <w:left w:val="nil"/>
              <w:bottom w:val="single" w:sz="4" w:space="0" w:color="BFBFBF"/>
              <w:right w:val="single" w:sz="4" w:space="0" w:color="BFBFBF"/>
            </w:tcBorders>
            <w:shd w:val="clear" w:color="auto" w:fill="auto"/>
            <w:noWrap/>
            <w:vAlign w:val="center"/>
            <w:hideMark/>
          </w:tcPr>
          <w:p w14:paraId="6F0F6709"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353" w:type="pct"/>
            <w:tcBorders>
              <w:top w:val="nil"/>
              <w:left w:val="nil"/>
              <w:bottom w:val="single" w:sz="4" w:space="0" w:color="BFBFBF"/>
              <w:right w:val="single" w:sz="4" w:space="0" w:color="BFBFBF"/>
            </w:tcBorders>
            <w:shd w:val="clear" w:color="auto" w:fill="auto"/>
            <w:vAlign w:val="center"/>
            <w:hideMark/>
          </w:tcPr>
          <w:p w14:paraId="3CF0BDE1"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Administratën Publike dhe Antikorrupsionin</w:t>
            </w:r>
          </w:p>
        </w:tc>
        <w:tc>
          <w:tcPr>
            <w:tcW w:w="385" w:type="pct"/>
            <w:tcBorders>
              <w:top w:val="nil"/>
              <w:left w:val="nil"/>
              <w:bottom w:val="single" w:sz="4" w:space="0" w:color="BFBFBF"/>
              <w:right w:val="single" w:sz="4" w:space="0" w:color="BFBFBF"/>
            </w:tcBorders>
            <w:shd w:val="clear" w:color="auto" w:fill="auto"/>
            <w:noWrap/>
            <w:vAlign w:val="center"/>
            <w:hideMark/>
          </w:tcPr>
          <w:p w14:paraId="7AB13315"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parë</w:t>
            </w:r>
          </w:p>
        </w:tc>
        <w:tc>
          <w:tcPr>
            <w:tcW w:w="661" w:type="pct"/>
            <w:tcBorders>
              <w:top w:val="nil"/>
              <w:left w:val="nil"/>
              <w:bottom w:val="single" w:sz="4" w:space="0" w:color="BFBFBF"/>
              <w:right w:val="single" w:sz="4" w:space="0" w:color="BFBFBF"/>
            </w:tcBorders>
            <w:shd w:val="clear" w:color="auto" w:fill="auto"/>
            <w:vAlign w:val="center"/>
            <w:hideMark/>
          </w:tcPr>
          <w:p w14:paraId="7B019E5E"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Miratimi nga Këshilli I Ministrave I objektivave dhe aktiviteteve pë reformimin e administratës publike në priudhën 2024-2030 </w:t>
            </w:r>
          </w:p>
        </w:tc>
        <w:tc>
          <w:tcPr>
            <w:tcW w:w="817" w:type="pct"/>
            <w:tcBorders>
              <w:top w:val="nil"/>
              <w:left w:val="nil"/>
              <w:bottom w:val="single" w:sz="4" w:space="0" w:color="BFBFBF"/>
              <w:right w:val="single" w:sz="4" w:space="0" w:color="BFBFBF"/>
            </w:tcBorders>
            <w:shd w:val="clear" w:color="auto" w:fill="auto"/>
            <w:vAlign w:val="center"/>
            <w:hideMark/>
          </w:tcPr>
          <w:p w14:paraId="0825722A"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Miratimi nga Këshilli I Ministrave I objektivave dhe aktiviteteve pë reformimin e administratës publike në priudhën 2024-2030 </w:t>
            </w:r>
          </w:p>
        </w:tc>
        <w:tc>
          <w:tcPr>
            <w:tcW w:w="360" w:type="pct"/>
            <w:tcBorders>
              <w:top w:val="nil"/>
              <w:left w:val="nil"/>
              <w:bottom w:val="single" w:sz="4" w:space="0" w:color="BFBFBF"/>
              <w:right w:val="single" w:sz="4" w:space="0" w:color="BFBFBF"/>
            </w:tcBorders>
            <w:shd w:val="clear" w:color="auto" w:fill="auto"/>
            <w:vAlign w:val="center"/>
            <w:hideMark/>
          </w:tcPr>
          <w:p w14:paraId="1F996C08"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 Themelorët/PAR</w:t>
            </w:r>
          </w:p>
        </w:tc>
        <w:tc>
          <w:tcPr>
            <w:tcW w:w="356" w:type="pct"/>
            <w:tcBorders>
              <w:top w:val="nil"/>
              <w:left w:val="nil"/>
              <w:bottom w:val="single" w:sz="4" w:space="0" w:color="BFBFBF"/>
              <w:right w:val="single" w:sz="4" w:space="0" w:color="BFBFBF"/>
            </w:tcBorders>
            <w:shd w:val="clear" w:color="auto" w:fill="auto"/>
            <w:vAlign w:val="center"/>
            <w:hideMark/>
          </w:tcPr>
          <w:p w14:paraId="5BD24047"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N/A</w:t>
            </w:r>
          </w:p>
        </w:tc>
        <w:tc>
          <w:tcPr>
            <w:tcW w:w="441" w:type="pct"/>
            <w:tcBorders>
              <w:top w:val="nil"/>
              <w:left w:val="nil"/>
              <w:bottom w:val="single" w:sz="4" w:space="0" w:color="BFBFBF"/>
              <w:right w:val="single" w:sz="4" w:space="0" w:color="BFBFBF"/>
            </w:tcBorders>
            <w:shd w:val="clear" w:color="auto" w:fill="auto"/>
            <w:vAlign w:val="center"/>
            <w:hideMark/>
          </w:tcPr>
          <w:p w14:paraId="2BF8C7AD"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49" w:type="pct"/>
            <w:tcBorders>
              <w:top w:val="nil"/>
              <w:left w:val="nil"/>
              <w:bottom w:val="single" w:sz="4" w:space="0" w:color="BFBFBF"/>
              <w:right w:val="single" w:sz="4" w:space="0" w:color="BFBFBF"/>
            </w:tcBorders>
            <w:shd w:val="clear" w:color="auto" w:fill="auto"/>
            <w:vAlign w:val="center"/>
            <w:hideMark/>
          </w:tcPr>
          <w:p w14:paraId="0210F033"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FD1B54" w:rsidRPr="00727111" w14:paraId="31D82292" w14:textId="77777777" w:rsidTr="00FD1B54">
        <w:trPr>
          <w:trHeight w:val="180"/>
          <w:jc w:val="center"/>
        </w:trPr>
        <w:tc>
          <w:tcPr>
            <w:tcW w:w="135" w:type="pct"/>
            <w:tcBorders>
              <w:top w:val="nil"/>
              <w:left w:val="single" w:sz="4" w:space="0" w:color="BFBFBF"/>
              <w:bottom w:val="single" w:sz="4" w:space="0" w:color="BFBFBF"/>
              <w:right w:val="single" w:sz="4" w:space="0" w:color="BFBFBF"/>
            </w:tcBorders>
            <w:shd w:val="clear" w:color="auto" w:fill="auto"/>
            <w:noWrap/>
            <w:vAlign w:val="center"/>
            <w:hideMark/>
          </w:tcPr>
          <w:p w14:paraId="24A77AF0" w14:textId="77777777" w:rsidR="00FD1B54" w:rsidRPr="00727111" w:rsidRDefault="00FD1B54" w:rsidP="00FD1B54">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5</w:t>
            </w:r>
          </w:p>
        </w:tc>
        <w:tc>
          <w:tcPr>
            <w:tcW w:w="631" w:type="pct"/>
            <w:tcBorders>
              <w:top w:val="nil"/>
              <w:left w:val="nil"/>
              <w:bottom w:val="single" w:sz="4" w:space="0" w:color="BFBFBF"/>
              <w:right w:val="single" w:sz="4" w:space="0" w:color="BFBFBF"/>
            </w:tcBorders>
            <w:shd w:val="clear" w:color="auto" w:fill="auto"/>
            <w:vAlign w:val="center"/>
            <w:hideMark/>
          </w:tcPr>
          <w:p w14:paraId="48242067"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Për disa shtesa dhe ndryshime në ligjin nr. 152/2013, "Për nëpunësin civil", të ndryshuar</w:t>
            </w:r>
          </w:p>
        </w:tc>
        <w:tc>
          <w:tcPr>
            <w:tcW w:w="312" w:type="pct"/>
            <w:tcBorders>
              <w:top w:val="nil"/>
              <w:left w:val="nil"/>
              <w:bottom w:val="single" w:sz="4" w:space="0" w:color="BFBFBF"/>
              <w:right w:val="single" w:sz="4" w:space="0" w:color="BFBFBF"/>
            </w:tcBorders>
            <w:shd w:val="clear" w:color="auto" w:fill="auto"/>
            <w:noWrap/>
            <w:vAlign w:val="center"/>
            <w:hideMark/>
          </w:tcPr>
          <w:p w14:paraId="2CFBF9BE"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Projektligj</w:t>
            </w:r>
          </w:p>
        </w:tc>
        <w:tc>
          <w:tcPr>
            <w:tcW w:w="353" w:type="pct"/>
            <w:tcBorders>
              <w:top w:val="nil"/>
              <w:left w:val="nil"/>
              <w:bottom w:val="single" w:sz="4" w:space="0" w:color="BFBFBF"/>
              <w:right w:val="single" w:sz="4" w:space="0" w:color="BFBFBF"/>
            </w:tcBorders>
            <w:shd w:val="clear" w:color="auto" w:fill="auto"/>
            <w:vAlign w:val="center"/>
            <w:hideMark/>
          </w:tcPr>
          <w:p w14:paraId="59A8BE32"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Administratën Publike dhe Antikorrupsionin</w:t>
            </w:r>
          </w:p>
        </w:tc>
        <w:tc>
          <w:tcPr>
            <w:tcW w:w="385" w:type="pct"/>
            <w:tcBorders>
              <w:top w:val="nil"/>
              <w:left w:val="nil"/>
              <w:bottom w:val="single" w:sz="4" w:space="0" w:color="BFBFBF"/>
              <w:right w:val="single" w:sz="4" w:space="0" w:color="BFBFBF"/>
            </w:tcBorders>
            <w:shd w:val="clear" w:color="auto" w:fill="auto"/>
            <w:noWrap/>
            <w:vAlign w:val="center"/>
            <w:hideMark/>
          </w:tcPr>
          <w:p w14:paraId="39956BA4"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tretë</w:t>
            </w:r>
          </w:p>
        </w:tc>
        <w:tc>
          <w:tcPr>
            <w:tcW w:w="661" w:type="pct"/>
            <w:tcBorders>
              <w:top w:val="nil"/>
              <w:left w:val="nil"/>
              <w:bottom w:val="single" w:sz="4" w:space="0" w:color="BFBFBF"/>
              <w:right w:val="single" w:sz="4" w:space="0" w:color="BFBFBF"/>
            </w:tcBorders>
            <w:shd w:val="clear" w:color="auto" w:fill="auto"/>
            <w:vAlign w:val="center"/>
            <w:hideMark/>
          </w:tcPr>
          <w:p w14:paraId="344F4680"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Rregullimi i disa parashikimeve të ligjit, për shkak të problematikave të vëna re gjatë zbatimit të tij, si dhe shtimi i disa parashikimeve të tjera të nevojshme në të, në funksion të qartësisë së instituteve të përcaktuara në ligj.     </w:t>
            </w:r>
          </w:p>
        </w:tc>
        <w:tc>
          <w:tcPr>
            <w:tcW w:w="817" w:type="pct"/>
            <w:tcBorders>
              <w:top w:val="nil"/>
              <w:left w:val="nil"/>
              <w:bottom w:val="single" w:sz="4" w:space="0" w:color="BFBFBF"/>
              <w:right w:val="single" w:sz="4" w:space="0" w:color="BFBFBF"/>
            </w:tcBorders>
            <w:shd w:val="clear" w:color="auto" w:fill="auto"/>
            <w:vAlign w:val="center"/>
            <w:hideMark/>
          </w:tcPr>
          <w:p w14:paraId="605060C2"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1. Rregullime në lidhje me kriteret e përgjithshme të pranimit në shërbimin civil;                                                                   </w:t>
            </w:r>
            <w:r w:rsidRPr="00727111">
              <w:rPr>
                <w:rFonts w:ascii="Garamond" w:hAnsi="Garamond" w:cs="Calibri"/>
                <w:color w:val="000000"/>
                <w:sz w:val="12"/>
                <w:szCs w:val="12"/>
                <w:lang w:eastAsia="sq-AL"/>
              </w:rPr>
              <w:br/>
            </w:r>
            <w:r w:rsidRPr="00727111">
              <w:rPr>
                <w:rFonts w:ascii="Garamond" w:hAnsi="Garamond" w:cs="Calibri"/>
                <w:color w:val="000000"/>
                <w:sz w:val="12"/>
                <w:szCs w:val="12"/>
                <w:lang w:eastAsia="sq-AL"/>
              </w:rPr>
              <w:br/>
              <w:t xml:space="preserve">2. Rregullime në lidhje me afatin e pezullimit të nëpunësve civilë që zgjidhen si anëtarë të këshillave bashkiakë;                                                        </w:t>
            </w:r>
            <w:r w:rsidRPr="00727111">
              <w:rPr>
                <w:rFonts w:ascii="Garamond" w:hAnsi="Garamond" w:cs="Calibri"/>
                <w:color w:val="000000"/>
                <w:sz w:val="12"/>
                <w:szCs w:val="12"/>
                <w:lang w:eastAsia="sq-AL"/>
              </w:rPr>
              <w:br/>
            </w:r>
            <w:r w:rsidRPr="00727111">
              <w:rPr>
                <w:rFonts w:ascii="Garamond" w:hAnsi="Garamond" w:cs="Calibri"/>
                <w:color w:val="000000"/>
                <w:sz w:val="12"/>
                <w:szCs w:val="12"/>
                <w:lang w:eastAsia="sq-AL"/>
              </w:rPr>
              <w:br/>
              <w:t xml:space="preserve">3. Rregullime ne lidhje me masën e demshpërblimit në rastin e lirimit të nëpunësit civil për shkak të ristrukturimit apo mbylljes së institucionit;                                                                </w:t>
            </w:r>
            <w:r w:rsidRPr="00727111">
              <w:rPr>
                <w:rFonts w:ascii="Garamond" w:hAnsi="Garamond" w:cs="Calibri"/>
                <w:color w:val="000000"/>
                <w:sz w:val="12"/>
                <w:szCs w:val="12"/>
                <w:lang w:eastAsia="sq-AL"/>
              </w:rPr>
              <w:br/>
            </w:r>
            <w:r w:rsidRPr="00727111">
              <w:rPr>
                <w:rFonts w:ascii="Garamond" w:hAnsi="Garamond" w:cs="Calibri"/>
                <w:color w:val="000000"/>
                <w:sz w:val="12"/>
                <w:szCs w:val="12"/>
                <w:lang w:eastAsia="sq-AL"/>
              </w:rPr>
              <w:br/>
              <w:t xml:space="preserve">4. Rregullime në lidhje me zbatimin e vendimeve gjyqësore të formës së prerë;                                                                </w:t>
            </w:r>
            <w:r w:rsidRPr="00727111">
              <w:rPr>
                <w:rFonts w:ascii="Garamond" w:hAnsi="Garamond" w:cs="Calibri"/>
                <w:color w:val="000000"/>
                <w:sz w:val="12"/>
                <w:szCs w:val="12"/>
                <w:lang w:eastAsia="sq-AL"/>
              </w:rPr>
              <w:br/>
            </w:r>
            <w:r w:rsidRPr="00727111">
              <w:rPr>
                <w:rFonts w:ascii="Garamond" w:hAnsi="Garamond" w:cs="Calibri"/>
                <w:color w:val="000000"/>
                <w:sz w:val="12"/>
                <w:szCs w:val="12"/>
                <w:lang w:eastAsia="sq-AL"/>
              </w:rPr>
              <w:br/>
              <w:t xml:space="preserve">5. Rregullime në lidhje me procesin e vlerësimit të punës së nëpunësve civilë;                                                                        </w:t>
            </w:r>
            <w:r w:rsidRPr="00727111">
              <w:rPr>
                <w:rFonts w:ascii="Garamond" w:hAnsi="Garamond" w:cs="Calibri"/>
                <w:color w:val="000000"/>
                <w:sz w:val="12"/>
                <w:szCs w:val="12"/>
                <w:lang w:eastAsia="sq-AL"/>
              </w:rPr>
              <w:br/>
            </w:r>
            <w:r w:rsidRPr="00727111">
              <w:rPr>
                <w:rFonts w:ascii="Garamond" w:hAnsi="Garamond" w:cs="Calibri"/>
                <w:color w:val="000000"/>
                <w:sz w:val="12"/>
                <w:szCs w:val="12"/>
                <w:lang w:eastAsia="sq-AL"/>
              </w:rPr>
              <w:br/>
              <w:t xml:space="preserve">6. Rregullime ne lidhje me elementët e hapave të pagës;                                                                         </w:t>
            </w:r>
            <w:r w:rsidRPr="00727111">
              <w:rPr>
                <w:rFonts w:ascii="Garamond" w:hAnsi="Garamond" w:cs="Calibri"/>
                <w:color w:val="000000"/>
                <w:sz w:val="12"/>
                <w:szCs w:val="12"/>
                <w:lang w:eastAsia="sq-AL"/>
              </w:rPr>
              <w:br/>
            </w:r>
            <w:r w:rsidRPr="00727111">
              <w:rPr>
                <w:rFonts w:ascii="Garamond" w:hAnsi="Garamond" w:cs="Calibri"/>
                <w:color w:val="000000"/>
                <w:sz w:val="12"/>
                <w:szCs w:val="12"/>
                <w:lang w:eastAsia="sq-AL"/>
              </w:rPr>
              <w:br/>
              <w:t>7. Rregullime në lidhje me organizimin dhe funksionimin e ASPA-s.</w:t>
            </w:r>
          </w:p>
        </w:tc>
        <w:tc>
          <w:tcPr>
            <w:tcW w:w="360" w:type="pct"/>
            <w:tcBorders>
              <w:top w:val="nil"/>
              <w:left w:val="nil"/>
              <w:bottom w:val="single" w:sz="4" w:space="0" w:color="BFBFBF"/>
              <w:right w:val="single" w:sz="4" w:space="0" w:color="BFBFBF"/>
            </w:tcBorders>
            <w:shd w:val="clear" w:color="auto" w:fill="auto"/>
            <w:vAlign w:val="center"/>
            <w:hideMark/>
          </w:tcPr>
          <w:p w14:paraId="069CDE87"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 Themelorët/PAR</w:t>
            </w:r>
          </w:p>
        </w:tc>
        <w:tc>
          <w:tcPr>
            <w:tcW w:w="356" w:type="pct"/>
            <w:tcBorders>
              <w:top w:val="nil"/>
              <w:left w:val="nil"/>
              <w:bottom w:val="single" w:sz="4" w:space="0" w:color="BFBFBF"/>
              <w:right w:val="single" w:sz="4" w:space="0" w:color="BFBFBF"/>
            </w:tcBorders>
            <w:shd w:val="clear" w:color="auto" w:fill="auto"/>
            <w:vAlign w:val="center"/>
            <w:hideMark/>
          </w:tcPr>
          <w:p w14:paraId="4B1191AC"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N/A</w:t>
            </w:r>
          </w:p>
        </w:tc>
        <w:tc>
          <w:tcPr>
            <w:tcW w:w="441" w:type="pct"/>
            <w:tcBorders>
              <w:top w:val="nil"/>
              <w:left w:val="nil"/>
              <w:bottom w:val="single" w:sz="4" w:space="0" w:color="BFBFBF"/>
              <w:right w:val="single" w:sz="4" w:space="0" w:color="BFBFBF"/>
            </w:tcBorders>
            <w:shd w:val="clear" w:color="auto" w:fill="auto"/>
            <w:vAlign w:val="center"/>
            <w:hideMark/>
          </w:tcPr>
          <w:p w14:paraId="7C0E48E6"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VKM nr. 737, datë 13.12.2023, "Për miratimin e Udhërrefyesit për Reformën në Administratën Publike 2023-2030"</w:t>
            </w:r>
          </w:p>
        </w:tc>
        <w:tc>
          <w:tcPr>
            <w:tcW w:w="549" w:type="pct"/>
            <w:tcBorders>
              <w:top w:val="nil"/>
              <w:left w:val="nil"/>
              <w:bottom w:val="single" w:sz="4" w:space="0" w:color="BFBFBF"/>
              <w:right w:val="single" w:sz="4" w:space="0" w:color="BFBFBF"/>
            </w:tcBorders>
            <w:shd w:val="clear" w:color="auto" w:fill="auto"/>
            <w:vAlign w:val="center"/>
            <w:hideMark/>
          </w:tcPr>
          <w:p w14:paraId="4B0FA274"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Po ndikime sociale</w:t>
            </w:r>
          </w:p>
        </w:tc>
      </w:tr>
      <w:tr w:rsidR="00FD1B54" w:rsidRPr="00727111" w14:paraId="3311D49B" w14:textId="77777777" w:rsidTr="00FD1B54">
        <w:trPr>
          <w:trHeight w:val="180"/>
          <w:jc w:val="center"/>
        </w:trPr>
        <w:tc>
          <w:tcPr>
            <w:tcW w:w="135" w:type="pct"/>
            <w:tcBorders>
              <w:top w:val="nil"/>
              <w:left w:val="single" w:sz="4" w:space="0" w:color="BFBFBF"/>
              <w:bottom w:val="single" w:sz="4" w:space="0" w:color="BFBFBF"/>
              <w:right w:val="single" w:sz="4" w:space="0" w:color="BFBFBF"/>
            </w:tcBorders>
            <w:shd w:val="clear" w:color="auto" w:fill="auto"/>
            <w:noWrap/>
            <w:vAlign w:val="center"/>
            <w:hideMark/>
          </w:tcPr>
          <w:p w14:paraId="4BB2FA21" w14:textId="77777777" w:rsidR="00FD1B54" w:rsidRPr="00727111" w:rsidRDefault="00FD1B54" w:rsidP="00FD1B54">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6</w:t>
            </w:r>
          </w:p>
        </w:tc>
        <w:tc>
          <w:tcPr>
            <w:tcW w:w="631" w:type="pct"/>
            <w:tcBorders>
              <w:top w:val="nil"/>
              <w:left w:val="nil"/>
              <w:bottom w:val="single" w:sz="4" w:space="0" w:color="BFBFBF"/>
              <w:right w:val="single" w:sz="4" w:space="0" w:color="BFBFBF"/>
            </w:tcBorders>
            <w:shd w:val="clear" w:color="auto" w:fill="auto"/>
            <w:vAlign w:val="center"/>
            <w:hideMark/>
          </w:tcPr>
          <w:p w14:paraId="2C329B95"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Projektligjit "Për disa shtesa dhe ndryshime në ligjin nr. 60/2016 "Për Sinjalizimin dhe Mbrojtjen e Sinjalizuesve"</w:t>
            </w:r>
          </w:p>
        </w:tc>
        <w:tc>
          <w:tcPr>
            <w:tcW w:w="312" w:type="pct"/>
            <w:tcBorders>
              <w:top w:val="nil"/>
              <w:left w:val="nil"/>
              <w:bottom w:val="single" w:sz="4" w:space="0" w:color="BFBFBF"/>
              <w:right w:val="single" w:sz="4" w:space="0" w:color="BFBFBF"/>
            </w:tcBorders>
            <w:shd w:val="clear" w:color="auto" w:fill="auto"/>
            <w:noWrap/>
            <w:vAlign w:val="center"/>
            <w:hideMark/>
          </w:tcPr>
          <w:p w14:paraId="2C876392"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Projektligj</w:t>
            </w:r>
          </w:p>
        </w:tc>
        <w:tc>
          <w:tcPr>
            <w:tcW w:w="353" w:type="pct"/>
            <w:tcBorders>
              <w:top w:val="nil"/>
              <w:left w:val="nil"/>
              <w:bottom w:val="single" w:sz="4" w:space="0" w:color="BFBFBF"/>
              <w:right w:val="single" w:sz="4" w:space="0" w:color="BFBFBF"/>
            </w:tcBorders>
            <w:shd w:val="clear" w:color="auto" w:fill="auto"/>
            <w:vAlign w:val="center"/>
            <w:hideMark/>
          </w:tcPr>
          <w:p w14:paraId="6103939B"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Administratën Publike dhe Antikorrupsionin</w:t>
            </w:r>
          </w:p>
        </w:tc>
        <w:tc>
          <w:tcPr>
            <w:tcW w:w="385" w:type="pct"/>
            <w:tcBorders>
              <w:top w:val="nil"/>
              <w:left w:val="nil"/>
              <w:bottom w:val="single" w:sz="4" w:space="0" w:color="BFBFBF"/>
              <w:right w:val="single" w:sz="4" w:space="0" w:color="BFBFBF"/>
            </w:tcBorders>
            <w:shd w:val="clear" w:color="auto" w:fill="auto"/>
            <w:noWrap/>
            <w:vAlign w:val="center"/>
            <w:hideMark/>
          </w:tcPr>
          <w:p w14:paraId="61428AA8"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tretë</w:t>
            </w:r>
          </w:p>
        </w:tc>
        <w:tc>
          <w:tcPr>
            <w:tcW w:w="661" w:type="pct"/>
            <w:tcBorders>
              <w:top w:val="nil"/>
              <w:left w:val="nil"/>
              <w:bottom w:val="single" w:sz="4" w:space="0" w:color="BFBFBF"/>
              <w:right w:val="single" w:sz="4" w:space="0" w:color="BFBFBF"/>
            </w:tcBorders>
            <w:shd w:val="clear" w:color="auto" w:fill="auto"/>
            <w:vAlign w:val="center"/>
            <w:hideMark/>
          </w:tcPr>
          <w:p w14:paraId="50CE37B5"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Direktiva 2019/1937 e Parlamentit Evropian dhe Këshillit e datës 13 tetor 2019 për mbrojtjen e personave që raportojnë shkelje të ligjit të Unionit.</w:t>
            </w:r>
          </w:p>
        </w:tc>
        <w:tc>
          <w:tcPr>
            <w:tcW w:w="817" w:type="pct"/>
            <w:tcBorders>
              <w:top w:val="nil"/>
              <w:left w:val="nil"/>
              <w:bottom w:val="single" w:sz="4" w:space="0" w:color="BFBFBF"/>
              <w:right w:val="single" w:sz="4" w:space="0" w:color="BFBFBF"/>
            </w:tcBorders>
            <w:shd w:val="clear" w:color="auto" w:fill="auto"/>
            <w:vAlign w:val="center"/>
            <w:hideMark/>
          </w:tcPr>
          <w:p w14:paraId="123BEB15"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Qasja sektoriale kundrejt asaj horizontale, mbrojtja e sinjalizuesve, sinjalizuesit, shkelja e ligjit të Unionit, raportimi i rasteve të mundshme të korrupsionit, kanale të brendshme të raportimit, njësi sinjalizimi.</w:t>
            </w:r>
          </w:p>
        </w:tc>
        <w:tc>
          <w:tcPr>
            <w:tcW w:w="360" w:type="pct"/>
            <w:tcBorders>
              <w:top w:val="nil"/>
              <w:left w:val="nil"/>
              <w:bottom w:val="single" w:sz="4" w:space="0" w:color="BFBFBF"/>
              <w:right w:val="single" w:sz="4" w:space="0" w:color="BFBFBF"/>
            </w:tcBorders>
            <w:shd w:val="clear" w:color="auto" w:fill="auto"/>
            <w:vAlign w:val="center"/>
            <w:hideMark/>
          </w:tcPr>
          <w:p w14:paraId="1FB62D51"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Themelorët/ Kap. 23</w:t>
            </w:r>
          </w:p>
        </w:tc>
        <w:tc>
          <w:tcPr>
            <w:tcW w:w="356" w:type="pct"/>
            <w:tcBorders>
              <w:top w:val="nil"/>
              <w:left w:val="nil"/>
              <w:bottom w:val="single" w:sz="4" w:space="0" w:color="BFBFBF"/>
              <w:right w:val="single" w:sz="4" w:space="0" w:color="BFBFBF"/>
            </w:tcBorders>
            <w:shd w:val="clear" w:color="auto" w:fill="auto"/>
            <w:noWrap/>
            <w:vAlign w:val="center"/>
            <w:hideMark/>
          </w:tcPr>
          <w:p w14:paraId="2AF5481B"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41" w:type="pct"/>
            <w:tcBorders>
              <w:top w:val="nil"/>
              <w:left w:val="nil"/>
              <w:bottom w:val="single" w:sz="4" w:space="0" w:color="BFBFBF"/>
              <w:right w:val="single" w:sz="4" w:space="0" w:color="BFBFBF"/>
            </w:tcBorders>
            <w:shd w:val="clear" w:color="auto" w:fill="auto"/>
            <w:vAlign w:val="center"/>
            <w:hideMark/>
          </w:tcPr>
          <w:p w14:paraId="1EDBF8D2"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VKM nr</w:t>
            </w:r>
            <w:r w:rsidRPr="00727111">
              <w:rPr>
                <w:rFonts w:ascii="Garamond" w:hAnsi="Garamond" w:cs="Calibri"/>
                <w:sz w:val="12"/>
                <w:szCs w:val="12"/>
                <w:lang w:eastAsia="sq-AL"/>
              </w:rPr>
              <w:t>. 736, datë 13.12.2023</w:t>
            </w:r>
            <w:r w:rsidRPr="00727111">
              <w:rPr>
                <w:rFonts w:ascii="Garamond" w:hAnsi="Garamond" w:cs="Calibri"/>
                <w:color w:val="000000"/>
                <w:sz w:val="12"/>
                <w:szCs w:val="12"/>
                <w:lang w:eastAsia="sq-AL"/>
              </w:rPr>
              <w:t>, "Për miratimin e Udhërrefyesit për Shtetin e së Drejtës"</w:t>
            </w:r>
          </w:p>
        </w:tc>
        <w:tc>
          <w:tcPr>
            <w:tcW w:w="549" w:type="pct"/>
            <w:tcBorders>
              <w:top w:val="nil"/>
              <w:left w:val="nil"/>
              <w:bottom w:val="single" w:sz="4" w:space="0" w:color="BFBFBF"/>
              <w:right w:val="single" w:sz="4" w:space="0" w:color="BFBFBF"/>
            </w:tcBorders>
            <w:shd w:val="clear" w:color="auto" w:fill="auto"/>
            <w:noWrap/>
            <w:vAlign w:val="center"/>
            <w:hideMark/>
          </w:tcPr>
          <w:p w14:paraId="77E54EED" w14:textId="77777777" w:rsidR="00FD1B54" w:rsidRPr="00727111" w:rsidRDefault="00FD1B54" w:rsidP="00FD1B54">
            <w:pPr>
              <w:rPr>
                <w:rFonts w:ascii="Garamond" w:hAnsi="Garamond" w:cs="Calibri"/>
                <w:color w:val="000000"/>
                <w:sz w:val="12"/>
                <w:szCs w:val="12"/>
                <w:lang w:eastAsia="sq-AL"/>
              </w:rPr>
            </w:pPr>
            <w:r w:rsidRPr="00727111">
              <w:rPr>
                <w:rFonts w:ascii="Garamond" w:hAnsi="Garamond" w:cs="Calibri"/>
                <w:color w:val="000000"/>
                <w:sz w:val="12"/>
                <w:szCs w:val="12"/>
                <w:lang w:eastAsia="sq-AL"/>
              </w:rPr>
              <w:t>Po ndikime sociale</w:t>
            </w:r>
          </w:p>
        </w:tc>
      </w:tr>
    </w:tbl>
    <w:p w14:paraId="2964A957" w14:textId="709F7AF2" w:rsidR="00FD1B54" w:rsidRPr="00727111" w:rsidRDefault="00FD1B54" w:rsidP="00593BF4">
      <w:pPr>
        <w:ind w:firstLine="284"/>
        <w:jc w:val="both"/>
        <w:rPr>
          <w:rFonts w:ascii="Garamond" w:hAnsi="Garamond"/>
          <w:b/>
          <w:sz w:val="24"/>
        </w:rPr>
      </w:pPr>
    </w:p>
    <w:p w14:paraId="313C81BD" w14:textId="7949F1D2" w:rsidR="000A7DFC" w:rsidRPr="00727111" w:rsidRDefault="000A7DFC" w:rsidP="00593BF4">
      <w:pPr>
        <w:ind w:firstLine="284"/>
        <w:jc w:val="both"/>
        <w:rPr>
          <w:rFonts w:ascii="Garamond" w:hAnsi="Garamond"/>
          <w:b/>
          <w:sz w:val="24"/>
        </w:rPr>
      </w:pPr>
    </w:p>
    <w:p w14:paraId="24CEEE0A" w14:textId="318ECD13" w:rsidR="000A7DFC" w:rsidRPr="00727111" w:rsidRDefault="000A7DFC" w:rsidP="00593BF4">
      <w:pPr>
        <w:ind w:firstLine="284"/>
        <w:jc w:val="both"/>
        <w:rPr>
          <w:rFonts w:ascii="Garamond" w:hAnsi="Garamond"/>
          <w:b/>
          <w:sz w:val="24"/>
        </w:rPr>
      </w:pPr>
    </w:p>
    <w:p w14:paraId="4E5E2AC4" w14:textId="0D9B8B61" w:rsidR="000A7DFC" w:rsidRPr="00727111" w:rsidRDefault="000A7DFC" w:rsidP="00593BF4">
      <w:pPr>
        <w:ind w:firstLine="284"/>
        <w:jc w:val="both"/>
        <w:rPr>
          <w:rFonts w:ascii="Garamond" w:hAnsi="Garamond"/>
          <w:b/>
          <w:sz w:val="24"/>
        </w:rPr>
      </w:pPr>
    </w:p>
    <w:p w14:paraId="233ECA7A" w14:textId="3AEA73AD" w:rsidR="000A7DFC" w:rsidRPr="00727111" w:rsidRDefault="000A7DFC" w:rsidP="00593BF4">
      <w:pPr>
        <w:ind w:firstLine="284"/>
        <w:jc w:val="both"/>
        <w:rPr>
          <w:rFonts w:ascii="Garamond" w:hAnsi="Garamond"/>
          <w:b/>
          <w:sz w:val="24"/>
        </w:rPr>
      </w:pPr>
    </w:p>
    <w:p w14:paraId="4F648704" w14:textId="5E9C961E" w:rsidR="000A7DFC" w:rsidRPr="00727111" w:rsidRDefault="000A7DFC" w:rsidP="00593BF4">
      <w:pPr>
        <w:ind w:firstLine="284"/>
        <w:jc w:val="both"/>
        <w:rPr>
          <w:rFonts w:ascii="Garamond" w:hAnsi="Garamond"/>
          <w:b/>
          <w:sz w:val="24"/>
        </w:rPr>
      </w:pPr>
    </w:p>
    <w:p w14:paraId="3837EBCB" w14:textId="545D9DFE" w:rsidR="000A7DFC" w:rsidRPr="00727111" w:rsidRDefault="000A7DFC" w:rsidP="00593BF4">
      <w:pPr>
        <w:ind w:firstLine="284"/>
        <w:jc w:val="both"/>
        <w:rPr>
          <w:rFonts w:ascii="Garamond" w:hAnsi="Garamond"/>
          <w:b/>
          <w:sz w:val="24"/>
        </w:rPr>
      </w:pPr>
    </w:p>
    <w:p w14:paraId="2682EB8C" w14:textId="07931E46" w:rsidR="000A7DFC" w:rsidRPr="00727111" w:rsidRDefault="000A7DFC" w:rsidP="00593BF4">
      <w:pPr>
        <w:ind w:firstLine="284"/>
        <w:jc w:val="both"/>
        <w:rPr>
          <w:rFonts w:ascii="Garamond" w:hAnsi="Garamond"/>
          <w:b/>
          <w:sz w:val="24"/>
        </w:rPr>
      </w:pPr>
    </w:p>
    <w:p w14:paraId="31FD10B0" w14:textId="5475FEB0" w:rsidR="000A7DFC" w:rsidRPr="00727111" w:rsidRDefault="000A7DFC" w:rsidP="00593BF4">
      <w:pPr>
        <w:ind w:firstLine="284"/>
        <w:jc w:val="both"/>
        <w:rPr>
          <w:rFonts w:ascii="Garamond" w:hAnsi="Garamond"/>
          <w:b/>
          <w:sz w:val="24"/>
        </w:rPr>
      </w:pPr>
    </w:p>
    <w:p w14:paraId="4DB87C1B" w14:textId="397DED4D" w:rsidR="000A7DFC" w:rsidRPr="00727111" w:rsidRDefault="000A7DFC" w:rsidP="00593BF4">
      <w:pPr>
        <w:ind w:firstLine="284"/>
        <w:jc w:val="both"/>
        <w:rPr>
          <w:rFonts w:ascii="Garamond" w:hAnsi="Garamond"/>
          <w:b/>
          <w:sz w:val="24"/>
        </w:rPr>
      </w:pPr>
    </w:p>
    <w:p w14:paraId="2F05867B" w14:textId="0204D88E" w:rsidR="000A7DFC" w:rsidRPr="00727111" w:rsidRDefault="000A7DFC" w:rsidP="00593BF4">
      <w:pPr>
        <w:ind w:firstLine="284"/>
        <w:jc w:val="both"/>
        <w:rPr>
          <w:rFonts w:ascii="Garamond" w:hAnsi="Garamond"/>
          <w:b/>
          <w:sz w:val="24"/>
        </w:rPr>
      </w:pPr>
    </w:p>
    <w:p w14:paraId="0EF47816" w14:textId="796639BF" w:rsidR="000A7DFC" w:rsidRPr="00727111" w:rsidRDefault="000A7DFC" w:rsidP="00593BF4">
      <w:pPr>
        <w:ind w:firstLine="284"/>
        <w:jc w:val="both"/>
        <w:rPr>
          <w:rFonts w:ascii="Garamond" w:hAnsi="Garamond"/>
          <w:b/>
          <w:sz w:val="24"/>
        </w:rPr>
      </w:pPr>
    </w:p>
    <w:p w14:paraId="61C258A2" w14:textId="77CF2F9E" w:rsidR="000A7DFC" w:rsidRPr="00727111" w:rsidRDefault="000A7DFC" w:rsidP="00593BF4">
      <w:pPr>
        <w:ind w:firstLine="284"/>
        <w:jc w:val="both"/>
        <w:rPr>
          <w:rFonts w:ascii="Garamond" w:hAnsi="Garamond"/>
          <w:b/>
          <w:sz w:val="24"/>
        </w:rPr>
      </w:pPr>
    </w:p>
    <w:p w14:paraId="6262A866" w14:textId="7DE32F63" w:rsidR="000A7DFC" w:rsidRPr="00727111" w:rsidRDefault="000A7DFC" w:rsidP="00593BF4">
      <w:pPr>
        <w:ind w:firstLine="284"/>
        <w:jc w:val="both"/>
        <w:rPr>
          <w:rFonts w:ascii="Garamond" w:hAnsi="Garamond"/>
          <w:b/>
          <w:sz w:val="24"/>
        </w:rPr>
      </w:pPr>
    </w:p>
    <w:p w14:paraId="0F9DDD1B" w14:textId="36381D44" w:rsidR="000A7DFC" w:rsidRPr="00727111" w:rsidRDefault="000A7DFC" w:rsidP="00593BF4">
      <w:pPr>
        <w:ind w:firstLine="284"/>
        <w:jc w:val="both"/>
        <w:rPr>
          <w:rFonts w:ascii="Garamond" w:hAnsi="Garamond"/>
          <w:b/>
          <w:sz w:val="24"/>
        </w:rPr>
      </w:pPr>
    </w:p>
    <w:p w14:paraId="21C785FB" w14:textId="7E6BC493" w:rsidR="000A7DFC" w:rsidRPr="00727111" w:rsidRDefault="000A7DFC" w:rsidP="00593BF4">
      <w:pPr>
        <w:ind w:firstLine="284"/>
        <w:jc w:val="both"/>
        <w:rPr>
          <w:rFonts w:ascii="Garamond" w:hAnsi="Garamond"/>
          <w:b/>
          <w:sz w:val="24"/>
        </w:rPr>
      </w:pPr>
    </w:p>
    <w:p w14:paraId="076125CE" w14:textId="34F4009E" w:rsidR="000A7DFC" w:rsidRPr="00727111" w:rsidRDefault="000A7DFC" w:rsidP="00593BF4">
      <w:pPr>
        <w:ind w:firstLine="284"/>
        <w:jc w:val="both"/>
        <w:rPr>
          <w:rFonts w:ascii="Garamond" w:hAnsi="Garamond"/>
          <w:b/>
          <w:sz w:val="24"/>
        </w:rPr>
      </w:pPr>
    </w:p>
    <w:p w14:paraId="0FC86A65" w14:textId="16A652A0" w:rsidR="000A7DFC" w:rsidRPr="00727111" w:rsidRDefault="000A7DFC" w:rsidP="00593BF4">
      <w:pPr>
        <w:ind w:firstLine="284"/>
        <w:jc w:val="both"/>
        <w:rPr>
          <w:rFonts w:ascii="Garamond" w:hAnsi="Garamond"/>
          <w:b/>
          <w:sz w:val="24"/>
        </w:rPr>
      </w:pPr>
    </w:p>
    <w:p w14:paraId="05BC84DE" w14:textId="2C41E9BA" w:rsidR="000A7DFC" w:rsidRPr="00727111" w:rsidRDefault="000A7DFC" w:rsidP="00593BF4">
      <w:pPr>
        <w:ind w:firstLine="284"/>
        <w:jc w:val="both"/>
        <w:rPr>
          <w:rFonts w:ascii="Garamond" w:hAnsi="Garamond"/>
          <w:b/>
          <w:sz w:val="24"/>
        </w:rPr>
      </w:pPr>
    </w:p>
    <w:p w14:paraId="77B05D6F" w14:textId="43FD557F" w:rsidR="000A7DFC" w:rsidRPr="00727111" w:rsidRDefault="000A7DFC" w:rsidP="00593BF4">
      <w:pPr>
        <w:ind w:firstLine="284"/>
        <w:jc w:val="both"/>
        <w:rPr>
          <w:rFonts w:ascii="Garamond" w:hAnsi="Garamond"/>
          <w:b/>
          <w:sz w:val="24"/>
        </w:rPr>
      </w:pPr>
    </w:p>
    <w:p w14:paraId="68C5D1CF" w14:textId="080EE8E4" w:rsidR="000A7DFC" w:rsidRPr="00727111" w:rsidRDefault="000A7DFC" w:rsidP="00593BF4">
      <w:pPr>
        <w:ind w:firstLine="284"/>
        <w:jc w:val="both"/>
        <w:rPr>
          <w:rFonts w:ascii="Garamond" w:hAnsi="Garamond"/>
          <w:b/>
          <w:sz w:val="24"/>
        </w:rPr>
      </w:pPr>
    </w:p>
    <w:p w14:paraId="3F091B84" w14:textId="5B7162A1" w:rsidR="000A7DFC" w:rsidRPr="00727111" w:rsidRDefault="000A7DFC" w:rsidP="00593BF4">
      <w:pPr>
        <w:ind w:firstLine="284"/>
        <w:jc w:val="both"/>
        <w:rPr>
          <w:rFonts w:ascii="Garamond" w:hAnsi="Garamond"/>
          <w:b/>
          <w:sz w:val="24"/>
        </w:rPr>
      </w:pPr>
    </w:p>
    <w:p w14:paraId="27E1A5DD" w14:textId="16A4CDEE" w:rsidR="000A7DFC" w:rsidRPr="00727111" w:rsidRDefault="000A7DFC" w:rsidP="00593BF4">
      <w:pPr>
        <w:ind w:firstLine="284"/>
        <w:jc w:val="both"/>
        <w:rPr>
          <w:rFonts w:ascii="Garamond" w:hAnsi="Garamond"/>
          <w:b/>
          <w:sz w:val="24"/>
        </w:rPr>
      </w:pPr>
    </w:p>
    <w:p w14:paraId="4B7CD13E" w14:textId="0E7410B1" w:rsidR="000A7DFC" w:rsidRPr="00727111" w:rsidRDefault="000A7DFC" w:rsidP="00593BF4">
      <w:pPr>
        <w:ind w:firstLine="284"/>
        <w:jc w:val="both"/>
        <w:rPr>
          <w:rFonts w:ascii="Garamond" w:hAnsi="Garamond"/>
          <w:b/>
          <w:sz w:val="24"/>
        </w:rPr>
      </w:pPr>
    </w:p>
    <w:p w14:paraId="15B10FA0" w14:textId="77777777" w:rsidR="000A7DFC" w:rsidRPr="00727111" w:rsidRDefault="000A7DFC" w:rsidP="00593BF4">
      <w:pPr>
        <w:ind w:firstLine="284"/>
        <w:jc w:val="both"/>
        <w:rPr>
          <w:rFonts w:ascii="Garamond" w:hAnsi="Garamond"/>
          <w:b/>
          <w:sz w:val="24"/>
        </w:rPr>
      </w:pPr>
    </w:p>
    <w:p w14:paraId="1213821E" w14:textId="117370CC" w:rsidR="000A7DFC" w:rsidRPr="00727111" w:rsidRDefault="000A7DFC" w:rsidP="00593BF4">
      <w:pPr>
        <w:ind w:firstLine="284"/>
        <w:jc w:val="both"/>
        <w:rPr>
          <w:rFonts w:ascii="Garamond" w:hAnsi="Garamond"/>
          <w:b/>
          <w:sz w:val="24"/>
        </w:rPr>
      </w:pPr>
    </w:p>
    <w:tbl>
      <w:tblPr>
        <w:tblW w:w="14811" w:type="dxa"/>
        <w:jc w:val="center"/>
        <w:tblLook w:val="04A0" w:firstRow="1" w:lastRow="0" w:firstColumn="1" w:lastColumn="0" w:noHBand="0" w:noVBand="1"/>
      </w:tblPr>
      <w:tblGrid>
        <w:gridCol w:w="390"/>
        <w:gridCol w:w="1232"/>
        <w:gridCol w:w="901"/>
        <w:gridCol w:w="974"/>
        <w:gridCol w:w="1417"/>
        <w:gridCol w:w="2126"/>
        <w:gridCol w:w="1985"/>
        <w:gridCol w:w="1559"/>
        <w:gridCol w:w="1559"/>
        <w:gridCol w:w="1677"/>
        <w:gridCol w:w="991"/>
      </w:tblGrid>
      <w:tr w:rsidR="000A7DFC" w:rsidRPr="00727111" w14:paraId="1045761A" w14:textId="77777777" w:rsidTr="000A7DFC">
        <w:trPr>
          <w:trHeight w:val="180"/>
          <w:jc w:val="center"/>
        </w:trPr>
        <w:tc>
          <w:tcPr>
            <w:tcW w:w="14811" w:type="dxa"/>
            <w:gridSpan w:val="11"/>
            <w:tcBorders>
              <w:top w:val="single" w:sz="4" w:space="0" w:color="FFFFFF"/>
              <w:left w:val="nil"/>
              <w:bottom w:val="single" w:sz="4" w:space="0" w:color="FFFFFF"/>
              <w:right w:val="nil"/>
            </w:tcBorders>
            <w:shd w:val="clear" w:color="F2F2F2" w:fill="F2F2F2"/>
            <w:noWrap/>
            <w:hideMark/>
          </w:tcPr>
          <w:p w14:paraId="7C6D82F2" w14:textId="77777777" w:rsidR="000A7DFC" w:rsidRPr="00727111" w:rsidRDefault="000A7DFC" w:rsidP="000A7DFC">
            <w:pPr>
              <w:jc w:val="center"/>
              <w:rPr>
                <w:rFonts w:ascii="Garamond" w:hAnsi="Garamond"/>
                <w:b/>
                <w:bCs/>
                <w:color w:val="000000"/>
                <w:sz w:val="12"/>
                <w:szCs w:val="12"/>
                <w:lang w:eastAsia="sq-AL"/>
              </w:rPr>
            </w:pPr>
            <w:bookmarkStart w:id="5" w:name="RANGE!A1:K16"/>
            <w:r w:rsidRPr="00727111">
              <w:rPr>
                <w:rFonts w:ascii="Garamond" w:hAnsi="Garamond"/>
                <w:b/>
                <w:bCs/>
                <w:color w:val="000000"/>
                <w:sz w:val="12"/>
                <w:szCs w:val="12"/>
                <w:lang w:eastAsia="sq-AL"/>
              </w:rPr>
              <w:t>Programi i Përgjithshëm Analitik i Projektakteve për vitin 2025</w:t>
            </w:r>
            <w:bookmarkEnd w:id="5"/>
          </w:p>
        </w:tc>
      </w:tr>
      <w:tr w:rsidR="000A7DFC" w:rsidRPr="00727111" w14:paraId="01747622" w14:textId="77777777" w:rsidTr="000A7DFC">
        <w:trPr>
          <w:trHeight w:val="180"/>
          <w:jc w:val="center"/>
        </w:trPr>
        <w:tc>
          <w:tcPr>
            <w:tcW w:w="14811" w:type="dxa"/>
            <w:gridSpan w:val="11"/>
            <w:tcBorders>
              <w:top w:val="single" w:sz="4" w:space="0" w:color="FFFFFF"/>
              <w:left w:val="nil"/>
              <w:bottom w:val="nil"/>
              <w:right w:val="nil"/>
            </w:tcBorders>
            <w:shd w:val="clear" w:color="F2F2F2" w:fill="F2F2F2"/>
            <w:noWrap/>
            <w:hideMark/>
          </w:tcPr>
          <w:p w14:paraId="53D08468" w14:textId="77777777" w:rsidR="000A7DFC" w:rsidRPr="00727111" w:rsidRDefault="000A7DFC" w:rsidP="000A7DFC">
            <w:pPr>
              <w:jc w:val="center"/>
              <w:rPr>
                <w:rFonts w:ascii="Garamond" w:hAnsi="Garamond"/>
                <w:b/>
                <w:bCs/>
                <w:color w:val="000000"/>
                <w:sz w:val="12"/>
                <w:szCs w:val="12"/>
                <w:lang w:eastAsia="sq-AL"/>
              </w:rPr>
            </w:pPr>
            <w:r w:rsidRPr="00727111">
              <w:rPr>
                <w:rFonts w:ascii="Garamond" w:hAnsi="Garamond"/>
                <w:b/>
                <w:bCs/>
                <w:color w:val="000000"/>
                <w:sz w:val="12"/>
                <w:szCs w:val="12"/>
                <w:lang w:eastAsia="sq-AL"/>
              </w:rPr>
              <w:t>MINISTRIA E ARSIMIT DHE SPORTIT</w:t>
            </w:r>
          </w:p>
        </w:tc>
      </w:tr>
      <w:tr w:rsidR="000A7DFC" w:rsidRPr="00727111" w14:paraId="5229C16F" w14:textId="77777777" w:rsidTr="000A7DFC">
        <w:trPr>
          <w:trHeight w:val="180"/>
          <w:jc w:val="center"/>
        </w:trPr>
        <w:tc>
          <w:tcPr>
            <w:tcW w:w="390" w:type="dxa"/>
            <w:tcBorders>
              <w:top w:val="single" w:sz="4" w:space="0" w:color="auto"/>
              <w:left w:val="single" w:sz="4" w:space="0" w:color="auto"/>
              <w:bottom w:val="single" w:sz="4" w:space="0" w:color="auto"/>
              <w:right w:val="single" w:sz="4" w:space="0" w:color="auto"/>
            </w:tcBorders>
            <w:shd w:val="clear" w:color="C00000" w:fill="C00000"/>
            <w:vAlign w:val="center"/>
            <w:hideMark/>
          </w:tcPr>
          <w:p w14:paraId="6BE49C7D"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Nr.</w:t>
            </w:r>
          </w:p>
        </w:tc>
        <w:tc>
          <w:tcPr>
            <w:tcW w:w="1232" w:type="dxa"/>
            <w:tcBorders>
              <w:top w:val="single" w:sz="4" w:space="0" w:color="auto"/>
              <w:left w:val="nil"/>
              <w:bottom w:val="single" w:sz="4" w:space="0" w:color="auto"/>
              <w:right w:val="single" w:sz="4" w:space="0" w:color="auto"/>
            </w:tcBorders>
            <w:shd w:val="clear" w:color="C00000" w:fill="C00000"/>
            <w:vAlign w:val="center"/>
            <w:hideMark/>
          </w:tcPr>
          <w:p w14:paraId="3C5452B6"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Titulli i projektaktit</w:t>
            </w:r>
          </w:p>
        </w:tc>
        <w:tc>
          <w:tcPr>
            <w:tcW w:w="901" w:type="dxa"/>
            <w:tcBorders>
              <w:top w:val="single" w:sz="4" w:space="0" w:color="auto"/>
              <w:left w:val="nil"/>
              <w:bottom w:val="single" w:sz="4" w:space="0" w:color="auto"/>
              <w:right w:val="single" w:sz="4" w:space="0" w:color="auto"/>
            </w:tcBorders>
            <w:shd w:val="clear" w:color="C00000" w:fill="C00000"/>
            <w:vAlign w:val="center"/>
            <w:hideMark/>
          </w:tcPr>
          <w:p w14:paraId="09F5D355"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Lloji i projektaktit</w:t>
            </w:r>
          </w:p>
        </w:tc>
        <w:tc>
          <w:tcPr>
            <w:tcW w:w="974" w:type="dxa"/>
            <w:tcBorders>
              <w:top w:val="single" w:sz="4" w:space="0" w:color="auto"/>
              <w:left w:val="nil"/>
              <w:bottom w:val="single" w:sz="4" w:space="0" w:color="auto"/>
              <w:right w:val="single" w:sz="4" w:space="0" w:color="auto"/>
            </w:tcBorders>
            <w:shd w:val="clear" w:color="C00000" w:fill="C00000"/>
            <w:vAlign w:val="center"/>
            <w:hideMark/>
          </w:tcPr>
          <w:p w14:paraId="36B914BC"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Ministri propozues</w:t>
            </w:r>
          </w:p>
        </w:tc>
        <w:tc>
          <w:tcPr>
            <w:tcW w:w="1417" w:type="dxa"/>
            <w:tcBorders>
              <w:top w:val="single" w:sz="4" w:space="0" w:color="auto"/>
              <w:left w:val="nil"/>
              <w:bottom w:val="single" w:sz="4" w:space="0" w:color="auto"/>
              <w:right w:val="single" w:sz="4" w:space="0" w:color="auto"/>
            </w:tcBorders>
            <w:shd w:val="clear" w:color="C00000" w:fill="C00000"/>
            <w:vAlign w:val="center"/>
            <w:hideMark/>
          </w:tcPr>
          <w:p w14:paraId="755D3441"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Katër mujori</w:t>
            </w:r>
          </w:p>
        </w:tc>
        <w:tc>
          <w:tcPr>
            <w:tcW w:w="2126" w:type="dxa"/>
            <w:tcBorders>
              <w:top w:val="single" w:sz="4" w:space="0" w:color="auto"/>
              <w:left w:val="nil"/>
              <w:bottom w:val="single" w:sz="4" w:space="0" w:color="auto"/>
              <w:right w:val="single" w:sz="4" w:space="0" w:color="auto"/>
            </w:tcBorders>
            <w:shd w:val="clear" w:color="C00000" w:fill="C00000"/>
            <w:vAlign w:val="center"/>
            <w:hideMark/>
          </w:tcPr>
          <w:p w14:paraId="13AA9827"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Arsyet kryesore për propozimin e projektaktit</w:t>
            </w:r>
          </w:p>
        </w:tc>
        <w:tc>
          <w:tcPr>
            <w:tcW w:w="1985" w:type="dxa"/>
            <w:tcBorders>
              <w:top w:val="single" w:sz="4" w:space="0" w:color="auto"/>
              <w:left w:val="nil"/>
              <w:bottom w:val="single" w:sz="4" w:space="0" w:color="auto"/>
              <w:right w:val="single" w:sz="4" w:space="0" w:color="auto"/>
            </w:tcBorders>
            <w:shd w:val="clear" w:color="C00000" w:fill="C00000"/>
            <w:vAlign w:val="center"/>
            <w:hideMark/>
          </w:tcPr>
          <w:p w14:paraId="129BD16F"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Çështjet kryesore që parashikon të rregullojë projektakti</w:t>
            </w:r>
          </w:p>
        </w:tc>
        <w:tc>
          <w:tcPr>
            <w:tcW w:w="1559" w:type="dxa"/>
            <w:tcBorders>
              <w:top w:val="single" w:sz="4" w:space="0" w:color="auto"/>
              <w:left w:val="nil"/>
              <w:bottom w:val="nil"/>
              <w:right w:val="single" w:sz="4" w:space="0" w:color="auto"/>
            </w:tcBorders>
            <w:shd w:val="clear" w:color="C00000" w:fill="C00000"/>
            <w:vAlign w:val="center"/>
            <w:hideMark/>
          </w:tcPr>
          <w:p w14:paraId="7EBE4AD0"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 është parashikuar projektakti në PKIE?</w:t>
            </w:r>
            <w:r w:rsidRPr="00727111">
              <w:rPr>
                <w:rFonts w:ascii="Garamond" w:hAnsi="Garamond"/>
                <w:b/>
                <w:bCs/>
                <w:color w:val="FFFFFF"/>
                <w:sz w:val="12"/>
                <w:szCs w:val="12"/>
                <w:lang w:eastAsia="sq-AL"/>
              </w:rPr>
              <w:br/>
              <w:t xml:space="preserve"> </w:t>
            </w:r>
            <w:r w:rsidRPr="00727111">
              <w:rPr>
                <w:rFonts w:ascii="Garamond" w:hAnsi="Garamond"/>
                <w:b/>
                <w:bCs/>
                <w:color w:val="FFFFFF"/>
                <w:sz w:val="12"/>
                <w:szCs w:val="12"/>
                <w:lang w:eastAsia="sq-AL"/>
              </w:rPr>
              <w:br/>
              <w:t xml:space="preserve"> Nëse po, të specifikohet kapitulli përkatës</w:t>
            </w:r>
          </w:p>
        </w:tc>
        <w:tc>
          <w:tcPr>
            <w:tcW w:w="1559" w:type="dxa"/>
            <w:tcBorders>
              <w:top w:val="single" w:sz="4" w:space="0" w:color="auto"/>
              <w:left w:val="nil"/>
              <w:bottom w:val="single" w:sz="4" w:space="0" w:color="auto"/>
              <w:right w:val="single" w:sz="4" w:space="0" w:color="auto"/>
            </w:tcBorders>
            <w:shd w:val="clear" w:color="C00000" w:fill="C00000"/>
            <w:vAlign w:val="center"/>
            <w:hideMark/>
          </w:tcPr>
          <w:p w14:paraId="6549164E"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Përputhshmëria e projektaktit me programin politik qeverisës 2021-2025</w:t>
            </w:r>
            <w:r w:rsidRPr="00727111">
              <w:rPr>
                <w:rFonts w:ascii="Garamond" w:hAnsi="Garamond"/>
                <w:b/>
                <w:bCs/>
                <w:color w:val="FFFFFF"/>
                <w:sz w:val="12"/>
                <w:szCs w:val="12"/>
                <w:lang w:eastAsia="sq-AL"/>
              </w:rPr>
              <w:br/>
              <w:t xml:space="preserve"> </w:t>
            </w:r>
            <w:r w:rsidRPr="00727111">
              <w:rPr>
                <w:rFonts w:ascii="Garamond" w:hAnsi="Garamond"/>
                <w:b/>
                <w:bCs/>
                <w:color w:val="FFFFFF"/>
                <w:sz w:val="12"/>
                <w:szCs w:val="12"/>
                <w:lang w:eastAsia="sq-AL"/>
              </w:rPr>
              <w:br/>
              <w:t xml:space="preserve"> Nëse përputhet, të jepet referenca e saktë në progam</w:t>
            </w:r>
          </w:p>
        </w:tc>
        <w:tc>
          <w:tcPr>
            <w:tcW w:w="1677" w:type="dxa"/>
            <w:tcBorders>
              <w:top w:val="single" w:sz="4" w:space="0" w:color="auto"/>
              <w:left w:val="nil"/>
              <w:bottom w:val="single" w:sz="4" w:space="0" w:color="auto"/>
              <w:right w:val="single" w:sz="4" w:space="0" w:color="auto"/>
            </w:tcBorders>
            <w:shd w:val="clear" w:color="C00000" w:fill="C00000"/>
            <w:vAlign w:val="center"/>
            <w:hideMark/>
          </w:tcPr>
          <w:p w14:paraId="3FE99B35"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Lidhja e projektaktit me strategjitë kombëtare dhe sektoriale</w:t>
            </w:r>
            <w:r w:rsidRPr="00727111">
              <w:rPr>
                <w:rFonts w:ascii="Garamond" w:hAnsi="Garamond"/>
                <w:b/>
                <w:bCs/>
                <w:color w:val="FFFFFF"/>
                <w:sz w:val="12"/>
                <w:szCs w:val="12"/>
                <w:lang w:eastAsia="sq-AL"/>
              </w:rPr>
              <w:br/>
              <w:t xml:space="preserve"> </w:t>
            </w:r>
            <w:r w:rsidRPr="00727111">
              <w:rPr>
                <w:rFonts w:ascii="Garamond" w:hAnsi="Garamond"/>
                <w:b/>
                <w:bCs/>
                <w:color w:val="FFFFFF"/>
                <w:sz w:val="12"/>
                <w:szCs w:val="12"/>
                <w:lang w:eastAsia="sq-AL"/>
              </w:rPr>
              <w:br/>
              <w:t xml:space="preserve"> Nëse lidhet, të specifikohen strategjitë</w:t>
            </w:r>
          </w:p>
        </w:tc>
        <w:tc>
          <w:tcPr>
            <w:tcW w:w="986" w:type="dxa"/>
            <w:tcBorders>
              <w:top w:val="single" w:sz="4" w:space="0" w:color="auto"/>
              <w:left w:val="nil"/>
              <w:bottom w:val="single" w:sz="4" w:space="0" w:color="auto"/>
              <w:right w:val="single" w:sz="4" w:space="0" w:color="auto"/>
            </w:tcBorders>
            <w:shd w:val="clear" w:color="C00000" w:fill="C00000"/>
            <w:hideMark/>
          </w:tcPr>
          <w:p w14:paraId="7FF4172B" w14:textId="77777777" w:rsidR="000A7DFC" w:rsidRPr="00727111" w:rsidRDefault="000A7DFC" w:rsidP="000A7DFC">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Ndikimet e mundshme ekonomike, financiare, sociale dhe mjedisore</w:t>
            </w:r>
            <w:r w:rsidRPr="00727111">
              <w:rPr>
                <w:rFonts w:ascii="Garamond" w:hAnsi="Garamond"/>
                <w:b/>
                <w:bCs/>
                <w:color w:val="FFFFFF"/>
                <w:sz w:val="12"/>
                <w:szCs w:val="12"/>
                <w:lang w:eastAsia="sq-AL"/>
              </w:rPr>
              <w:br/>
              <w:t xml:space="preserve"> </w:t>
            </w:r>
            <w:r w:rsidRPr="00727111">
              <w:rPr>
                <w:rFonts w:ascii="Garamond" w:hAnsi="Garamond"/>
                <w:b/>
                <w:bCs/>
                <w:color w:val="FFFFFF"/>
                <w:sz w:val="12"/>
                <w:szCs w:val="12"/>
                <w:lang w:eastAsia="sq-AL"/>
              </w:rPr>
              <w:br/>
              <w:t xml:space="preserve"> Përgjigjuni me Po/Jo për ndikimet përkatëse</w:t>
            </w:r>
          </w:p>
        </w:tc>
      </w:tr>
      <w:tr w:rsidR="000A7DFC" w:rsidRPr="00727111" w14:paraId="05A99D51"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26EEA00F"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1</w:t>
            </w:r>
          </w:p>
        </w:tc>
        <w:tc>
          <w:tcPr>
            <w:tcW w:w="1232" w:type="dxa"/>
            <w:tcBorders>
              <w:top w:val="nil"/>
              <w:left w:val="nil"/>
              <w:bottom w:val="single" w:sz="4" w:space="0" w:color="auto"/>
              <w:right w:val="single" w:sz="4" w:space="0" w:color="auto"/>
            </w:tcBorders>
            <w:shd w:val="clear" w:color="auto" w:fill="auto"/>
            <w:vAlign w:val="center"/>
            <w:hideMark/>
          </w:tcPr>
          <w:p w14:paraId="2B7F2609"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Për një ndryshim/shtesë në vendimin nr. 104, datë 28.02.2019 “Për përcaktimin e kritereve për krijimin e regjistrit shtetëror të mësuesve të gjuhës shqipe e të kulturës shqiptare dhe dhënien e certifikatës për nxënësit në diasporë”</w:t>
            </w:r>
          </w:p>
        </w:tc>
        <w:tc>
          <w:tcPr>
            <w:tcW w:w="901" w:type="dxa"/>
            <w:tcBorders>
              <w:top w:val="nil"/>
              <w:left w:val="nil"/>
              <w:bottom w:val="single" w:sz="4" w:space="0" w:color="auto"/>
              <w:right w:val="single" w:sz="4" w:space="0" w:color="auto"/>
            </w:tcBorders>
            <w:shd w:val="clear" w:color="auto" w:fill="auto"/>
            <w:vAlign w:val="center"/>
            <w:hideMark/>
          </w:tcPr>
          <w:p w14:paraId="47E2DECB"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6589DC13"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74CCA5EE"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parë</w:t>
            </w:r>
          </w:p>
        </w:tc>
        <w:tc>
          <w:tcPr>
            <w:tcW w:w="2126" w:type="dxa"/>
            <w:tcBorders>
              <w:top w:val="nil"/>
              <w:left w:val="nil"/>
              <w:bottom w:val="single" w:sz="4" w:space="0" w:color="auto"/>
              <w:right w:val="single" w:sz="4" w:space="0" w:color="auto"/>
            </w:tcBorders>
            <w:shd w:val="clear" w:color="auto" w:fill="auto"/>
            <w:vAlign w:val="center"/>
            <w:hideMark/>
          </w:tcPr>
          <w:p w14:paraId="6A06A447"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Rregullon procedurat dhe përcakton institucionin që do të pajisë me certifikatë njohje të zhvillimit të mësimit të gjuhës shqipe e të kulturës shqiptare në diasporë, mësuesit që kanë zhvilluar mësimin e gjuhës shqipe dhe kulturës shqiptare në diasporë, si dhe për nxënësit që kanë ndjekur mësimin  gjuhës dhe kulturës shqiptare, pajisen nga Qendra e Botimeve të Diasporës me certifikatë</w:t>
            </w:r>
          </w:p>
        </w:tc>
        <w:tc>
          <w:tcPr>
            <w:tcW w:w="1985" w:type="dxa"/>
            <w:tcBorders>
              <w:top w:val="nil"/>
              <w:left w:val="nil"/>
              <w:bottom w:val="single" w:sz="4" w:space="0" w:color="auto"/>
              <w:right w:val="nil"/>
            </w:tcBorders>
            <w:shd w:val="clear" w:color="auto" w:fill="auto"/>
            <w:vAlign w:val="center"/>
            <w:hideMark/>
          </w:tcPr>
          <w:p w14:paraId="1BD92BB6"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1. Pajisjen nga Agjencia Kombëtare e Arsimit Parauniversitar (ASCAP) të mësuesve që japin mësim në diasporë, me certifikatë që ju njeh angazhimin si mësimdhënës; </w:t>
            </w:r>
            <w:r w:rsidRPr="00727111">
              <w:rPr>
                <w:rFonts w:ascii="Garamond" w:hAnsi="Garamond"/>
                <w:color w:val="000000"/>
                <w:sz w:val="12"/>
                <w:szCs w:val="12"/>
                <w:lang w:eastAsia="sq-AL"/>
              </w:rPr>
              <w:br/>
              <w:t>2. Pajisjen me certifikatë nga QBD të nxënësve që ndjekin mësimin e gjuhës dhe kulturës shqipe në diasporë</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56E9884"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559" w:type="dxa"/>
            <w:tcBorders>
              <w:top w:val="nil"/>
              <w:left w:val="nil"/>
              <w:bottom w:val="single" w:sz="4" w:space="0" w:color="auto"/>
              <w:right w:val="single" w:sz="4" w:space="0" w:color="auto"/>
            </w:tcBorders>
            <w:shd w:val="clear" w:color="auto" w:fill="auto"/>
            <w:noWrap/>
            <w:vAlign w:val="center"/>
            <w:hideMark/>
          </w:tcPr>
          <w:p w14:paraId="2EDDF105"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Po.Fusha e diasporës.</w:t>
            </w:r>
          </w:p>
        </w:tc>
        <w:tc>
          <w:tcPr>
            <w:tcW w:w="1677" w:type="dxa"/>
            <w:tcBorders>
              <w:top w:val="nil"/>
              <w:left w:val="nil"/>
              <w:bottom w:val="single" w:sz="4" w:space="0" w:color="auto"/>
              <w:right w:val="single" w:sz="4" w:space="0" w:color="auto"/>
            </w:tcBorders>
            <w:shd w:val="clear" w:color="auto" w:fill="auto"/>
            <w:vAlign w:val="center"/>
            <w:hideMark/>
          </w:tcPr>
          <w:p w14:paraId="13742A68"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Lidhet me Strategjinë Kombëtare të Arsimit Parauniversitar 2021-2026</w:t>
            </w:r>
          </w:p>
        </w:tc>
        <w:tc>
          <w:tcPr>
            <w:tcW w:w="986" w:type="dxa"/>
            <w:tcBorders>
              <w:top w:val="nil"/>
              <w:left w:val="nil"/>
              <w:bottom w:val="single" w:sz="4" w:space="0" w:color="auto"/>
              <w:right w:val="single" w:sz="4" w:space="0" w:color="auto"/>
            </w:tcBorders>
            <w:shd w:val="clear" w:color="auto" w:fill="auto"/>
            <w:vAlign w:val="center"/>
            <w:hideMark/>
          </w:tcPr>
          <w:p w14:paraId="6A8B863C"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 efekte financiare brenda tavaneve buxhetore. Ka efekte sociale pozitive për nxënësit/fëmijët shqiptarë në disaporë.</w:t>
            </w:r>
            <w:r w:rsidRPr="00727111">
              <w:rPr>
                <w:rFonts w:ascii="Garamond" w:hAnsi="Garamond"/>
                <w:color w:val="000000"/>
                <w:sz w:val="12"/>
                <w:szCs w:val="12"/>
                <w:lang w:eastAsia="sq-AL"/>
              </w:rPr>
              <w:br/>
              <w:t>Nuk ka efekte mjedisore</w:t>
            </w:r>
          </w:p>
        </w:tc>
      </w:tr>
      <w:tr w:rsidR="000A7DFC" w:rsidRPr="00727111" w14:paraId="46CF5230"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5704E705"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2</w:t>
            </w:r>
          </w:p>
        </w:tc>
        <w:tc>
          <w:tcPr>
            <w:tcW w:w="1232" w:type="dxa"/>
            <w:tcBorders>
              <w:top w:val="nil"/>
              <w:left w:val="nil"/>
              <w:bottom w:val="single" w:sz="4" w:space="0" w:color="auto"/>
              <w:right w:val="single" w:sz="4" w:space="0" w:color="auto"/>
            </w:tcBorders>
            <w:shd w:val="clear" w:color="auto" w:fill="auto"/>
            <w:vAlign w:val="center"/>
            <w:hideMark/>
          </w:tcPr>
          <w:p w14:paraId="721F864D"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 xml:space="preserve"> Për një ndryshim në vendimin nr.119, datë 01.03.2023 të Këshillit të Ministrave "Për përdorimin e fondeve publike për transportin e punonjësve arsimorë që punojnë dhe të nxënësve që mësojnë jashtë vendbanimit"</w:t>
            </w:r>
          </w:p>
        </w:tc>
        <w:tc>
          <w:tcPr>
            <w:tcW w:w="901" w:type="dxa"/>
            <w:tcBorders>
              <w:top w:val="nil"/>
              <w:left w:val="nil"/>
              <w:bottom w:val="single" w:sz="4" w:space="0" w:color="auto"/>
              <w:right w:val="single" w:sz="4" w:space="0" w:color="auto"/>
            </w:tcBorders>
            <w:shd w:val="clear" w:color="auto" w:fill="auto"/>
            <w:vAlign w:val="center"/>
            <w:hideMark/>
          </w:tcPr>
          <w:p w14:paraId="3E702FDC"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70E8D65F"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2F74F758"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parë</w:t>
            </w:r>
          </w:p>
        </w:tc>
        <w:tc>
          <w:tcPr>
            <w:tcW w:w="2126" w:type="dxa"/>
            <w:tcBorders>
              <w:top w:val="nil"/>
              <w:left w:val="nil"/>
              <w:bottom w:val="single" w:sz="4" w:space="0" w:color="auto"/>
              <w:right w:val="single" w:sz="4" w:space="0" w:color="auto"/>
            </w:tcBorders>
            <w:shd w:val="clear" w:color="000000" w:fill="FFFFFF"/>
            <w:noWrap/>
            <w:vAlign w:val="center"/>
            <w:hideMark/>
          </w:tcPr>
          <w:p w14:paraId="3541B61F" w14:textId="77777777" w:rsidR="000A7DFC" w:rsidRPr="00727111" w:rsidRDefault="000A7DFC" w:rsidP="000A7DFC">
            <w:pPr>
              <w:jc w:val="both"/>
              <w:rPr>
                <w:rFonts w:ascii="Garamond" w:hAnsi="Garamond"/>
                <w:color w:val="000000"/>
                <w:sz w:val="12"/>
                <w:szCs w:val="12"/>
                <w:lang w:eastAsia="sq-AL"/>
              </w:rPr>
            </w:pPr>
            <w:r w:rsidRPr="00727111">
              <w:rPr>
                <w:rFonts w:ascii="Garamond" w:hAnsi="Garamond"/>
                <w:color w:val="000000"/>
                <w:sz w:val="12"/>
                <w:szCs w:val="12"/>
                <w:lang w:eastAsia="sq-AL"/>
              </w:rPr>
              <w:t>Ky ndryshim propozohet në bazë të marrëveshjeve të lidhur midis MAS dhe disa institucioneve të vetqeverisjes vendore në kuadër të decentralizimit të funksioneve nga niveli qëndror në nivelin vendor me qëllim zbatimin e projektit pilot të përfshirjes së bashkisë në ushtrimin dhe forcimin e përgjegjësive në fushën e arsimit parauniversitar që janë në territorin e saj.</w:t>
            </w:r>
          </w:p>
        </w:tc>
        <w:tc>
          <w:tcPr>
            <w:tcW w:w="1985" w:type="dxa"/>
            <w:tcBorders>
              <w:top w:val="nil"/>
              <w:left w:val="nil"/>
              <w:bottom w:val="single" w:sz="4" w:space="0" w:color="auto"/>
              <w:right w:val="nil"/>
            </w:tcBorders>
            <w:shd w:val="clear" w:color="000000" w:fill="FFFFFF"/>
            <w:noWrap/>
            <w:vAlign w:val="center"/>
            <w:hideMark/>
          </w:tcPr>
          <w:p w14:paraId="34F4A438" w14:textId="77777777" w:rsidR="000A7DFC" w:rsidRPr="00727111" w:rsidRDefault="000A7DFC" w:rsidP="000A7DFC">
            <w:pPr>
              <w:jc w:val="both"/>
              <w:rPr>
                <w:rFonts w:ascii="Garamond" w:hAnsi="Garamond"/>
                <w:color w:val="000000"/>
                <w:sz w:val="12"/>
                <w:szCs w:val="12"/>
                <w:lang w:eastAsia="sq-AL"/>
              </w:rPr>
            </w:pPr>
            <w:r w:rsidRPr="00727111">
              <w:rPr>
                <w:rFonts w:ascii="Garamond" w:hAnsi="Garamond"/>
                <w:color w:val="000000"/>
                <w:sz w:val="12"/>
                <w:szCs w:val="12"/>
                <w:lang w:eastAsia="sq-AL"/>
              </w:rPr>
              <w:t>Ky ndryshim propozohet në bazë të marrëveshjeve të lidhur midis MAS dhe disa institucioneve të vetqeverisjes vendore në kuadër të decentralizimit të funksioneve nga niveli qëndror në nivelin vendor me qëllim zbatimin e projektit pilot të përfshirjes së bashkisë në ushtrimin dhe forcimin e përgjegjësive në fushën e arsimit parauniversitar që janë në territorin e saj.</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284CD3D5"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559" w:type="dxa"/>
            <w:tcBorders>
              <w:top w:val="nil"/>
              <w:left w:val="nil"/>
              <w:bottom w:val="single" w:sz="4" w:space="0" w:color="auto"/>
              <w:right w:val="single" w:sz="4" w:space="0" w:color="auto"/>
            </w:tcBorders>
            <w:shd w:val="clear" w:color="auto" w:fill="auto"/>
            <w:noWrap/>
            <w:vAlign w:val="center"/>
            <w:hideMark/>
          </w:tcPr>
          <w:p w14:paraId="266763E7"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arsimit</w:t>
            </w:r>
          </w:p>
        </w:tc>
        <w:tc>
          <w:tcPr>
            <w:tcW w:w="1677" w:type="dxa"/>
            <w:tcBorders>
              <w:top w:val="nil"/>
              <w:left w:val="nil"/>
              <w:bottom w:val="single" w:sz="4" w:space="0" w:color="auto"/>
              <w:right w:val="single" w:sz="4" w:space="0" w:color="auto"/>
            </w:tcBorders>
            <w:shd w:val="clear" w:color="auto" w:fill="auto"/>
            <w:vAlign w:val="center"/>
            <w:hideMark/>
          </w:tcPr>
          <w:p w14:paraId="6770605E"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Lidhet me Strategjinë Kombëtare të Arsimit Parauniversitar 2021-2026</w:t>
            </w:r>
          </w:p>
        </w:tc>
        <w:tc>
          <w:tcPr>
            <w:tcW w:w="986" w:type="dxa"/>
            <w:tcBorders>
              <w:top w:val="nil"/>
              <w:left w:val="nil"/>
              <w:bottom w:val="single" w:sz="4" w:space="0" w:color="auto"/>
              <w:right w:val="single" w:sz="4" w:space="0" w:color="auto"/>
            </w:tcBorders>
            <w:shd w:val="clear" w:color="auto" w:fill="auto"/>
            <w:vAlign w:val="center"/>
            <w:hideMark/>
          </w:tcPr>
          <w:p w14:paraId="5D2DF2FA"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br/>
              <w:t xml:space="preserve">Ka efekte financiare brenda tavaneve buxhetore. </w:t>
            </w:r>
            <w:r w:rsidRPr="00727111">
              <w:rPr>
                <w:rFonts w:ascii="Garamond" w:hAnsi="Garamond"/>
                <w:color w:val="000000"/>
                <w:sz w:val="12"/>
                <w:szCs w:val="12"/>
                <w:lang w:eastAsia="sq-AL"/>
              </w:rPr>
              <w:br/>
              <w:t>Ka efekte sociale pozitive.</w:t>
            </w:r>
            <w:r w:rsidRPr="00727111">
              <w:rPr>
                <w:rFonts w:ascii="Garamond" w:hAnsi="Garamond"/>
                <w:color w:val="000000"/>
                <w:sz w:val="12"/>
                <w:szCs w:val="12"/>
                <w:lang w:eastAsia="sq-AL"/>
              </w:rPr>
              <w:br/>
              <w:t>Nuk ka efekte mjedisore</w:t>
            </w:r>
          </w:p>
        </w:tc>
      </w:tr>
      <w:tr w:rsidR="000A7DFC" w:rsidRPr="00727111" w14:paraId="3807D3DA"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1A90CE76"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3</w:t>
            </w:r>
          </w:p>
        </w:tc>
        <w:tc>
          <w:tcPr>
            <w:tcW w:w="1232" w:type="dxa"/>
            <w:tcBorders>
              <w:top w:val="nil"/>
              <w:left w:val="nil"/>
              <w:bottom w:val="single" w:sz="4" w:space="0" w:color="auto"/>
              <w:right w:val="single" w:sz="4" w:space="0" w:color="auto"/>
            </w:tcBorders>
            <w:shd w:val="clear" w:color="auto" w:fill="auto"/>
            <w:vAlign w:val="center"/>
            <w:hideMark/>
          </w:tcPr>
          <w:p w14:paraId="404D423C"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 xml:space="preserve"> Për disa ndryshime në vendimin nr. 440, datë 19.07.2023 të Këshillit të Ministrave, “Për përcaktimin e skemës së kreditimit studentor”, i ndryshuar</w:t>
            </w:r>
          </w:p>
        </w:tc>
        <w:tc>
          <w:tcPr>
            <w:tcW w:w="901" w:type="dxa"/>
            <w:tcBorders>
              <w:top w:val="nil"/>
              <w:left w:val="nil"/>
              <w:bottom w:val="single" w:sz="4" w:space="0" w:color="auto"/>
              <w:right w:val="single" w:sz="4" w:space="0" w:color="auto"/>
            </w:tcBorders>
            <w:shd w:val="clear" w:color="auto" w:fill="auto"/>
            <w:vAlign w:val="center"/>
            <w:hideMark/>
          </w:tcPr>
          <w:p w14:paraId="6EF2C891"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73055B88"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2F957029"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parë</w:t>
            </w:r>
          </w:p>
        </w:tc>
        <w:tc>
          <w:tcPr>
            <w:tcW w:w="2126" w:type="dxa"/>
            <w:tcBorders>
              <w:top w:val="nil"/>
              <w:left w:val="nil"/>
              <w:bottom w:val="single" w:sz="4" w:space="0" w:color="auto"/>
              <w:right w:val="single" w:sz="4" w:space="0" w:color="auto"/>
            </w:tcBorders>
            <w:shd w:val="clear" w:color="auto" w:fill="auto"/>
            <w:noWrap/>
            <w:vAlign w:val="center"/>
            <w:hideMark/>
          </w:tcPr>
          <w:p w14:paraId="12FCA333" w14:textId="77777777" w:rsidR="000A7DFC" w:rsidRPr="00727111" w:rsidRDefault="000A7DFC" w:rsidP="000A7DFC">
            <w:pPr>
              <w:jc w:val="both"/>
              <w:rPr>
                <w:rFonts w:ascii="Garamond" w:hAnsi="Garamond"/>
                <w:color w:val="000000"/>
                <w:sz w:val="12"/>
                <w:szCs w:val="12"/>
                <w:lang w:eastAsia="sq-AL"/>
              </w:rPr>
            </w:pPr>
            <w:r w:rsidRPr="00727111">
              <w:rPr>
                <w:rFonts w:ascii="Garamond" w:hAnsi="Garamond"/>
                <w:color w:val="000000"/>
                <w:sz w:val="12"/>
                <w:szCs w:val="12"/>
                <w:lang w:eastAsia="sq-AL"/>
              </w:rPr>
              <w:t>Ky ndryshim synon rishikimin e afateve të përcaktuara në vendimin në fuqi të Këshillit të Ministrave, me qëllim shmangien e vonesave në procedura dhe perfitimin në kohë të kredisë nga ana e studentit</w:t>
            </w:r>
          </w:p>
        </w:tc>
        <w:tc>
          <w:tcPr>
            <w:tcW w:w="1985" w:type="dxa"/>
            <w:tcBorders>
              <w:top w:val="nil"/>
              <w:left w:val="nil"/>
              <w:bottom w:val="single" w:sz="4" w:space="0" w:color="auto"/>
              <w:right w:val="nil"/>
            </w:tcBorders>
            <w:shd w:val="clear" w:color="auto" w:fill="auto"/>
            <w:vAlign w:val="center"/>
            <w:hideMark/>
          </w:tcPr>
          <w:p w14:paraId="010D87E4"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Ky ndryshim synon rishikimin e afateve dhe fazave të negocimit dhe nënshkrimit të marrëveshje me bankën/at e nivelit të dytë, me qëllim shmangien e vonesave në procedura dhe perfitimin në kohë të kredisë nga ana e studentit</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7F22D751"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559" w:type="dxa"/>
            <w:tcBorders>
              <w:top w:val="nil"/>
              <w:left w:val="nil"/>
              <w:bottom w:val="single" w:sz="4" w:space="0" w:color="auto"/>
              <w:right w:val="single" w:sz="4" w:space="0" w:color="auto"/>
            </w:tcBorders>
            <w:shd w:val="clear" w:color="auto" w:fill="auto"/>
            <w:noWrap/>
            <w:vAlign w:val="center"/>
            <w:hideMark/>
          </w:tcPr>
          <w:p w14:paraId="76AB460B"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arsimit</w:t>
            </w:r>
          </w:p>
        </w:tc>
        <w:tc>
          <w:tcPr>
            <w:tcW w:w="1677" w:type="dxa"/>
            <w:tcBorders>
              <w:top w:val="nil"/>
              <w:left w:val="nil"/>
              <w:bottom w:val="single" w:sz="4" w:space="0" w:color="auto"/>
              <w:right w:val="single" w:sz="4" w:space="0" w:color="auto"/>
            </w:tcBorders>
            <w:shd w:val="clear" w:color="auto" w:fill="auto"/>
            <w:vAlign w:val="center"/>
            <w:hideMark/>
          </w:tcPr>
          <w:p w14:paraId="23AB16E6"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Lidhet me Strategjinë Kombëtare të Arsimit Parauniversitar 2021-2026</w:t>
            </w:r>
          </w:p>
        </w:tc>
        <w:tc>
          <w:tcPr>
            <w:tcW w:w="986" w:type="dxa"/>
            <w:tcBorders>
              <w:top w:val="nil"/>
              <w:left w:val="nil"/>
              <w:bottom w:val="single" w:sz="4" w:space="0" w:color="auto"/>
              <w:right w:val="single" w:sz="4" w:space="0" w:color="auto"/>
            </w:tcBorders>
            <w:shd w:val="clear" w:color="auto" w:fill="auto"/>
            <w:vAlign w:val="center"/>
            <w:hideMark/>
          </w:tcPr>
          <w:p w14:paraId="759A359E"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Nuk ka efekte financiare</w:t>
            </w:r>
            <w:r w:rsidRPr="00727111">
              <w:rPr>
                <w:rFonts w:ascii="Garamond" w:hAnsi="Garamond"/>
                <w:color w:val="000000"/>
                <w:sz w:val="12"/>
                <w:szCs w:val="12"/>
                <w:lang w:eastAsia="sq-AL"/>
              </w:rPr>
              <w:br/>
              <w:t>Ka efekte sociale pozitive.</w:t>
            </w:r>
            <w:r w:rsidRPr="00727111">
              <w:rPr>
                <w:rFonts w:ascii="Garamond" w:hAnsi="Garamond"/>
                <w:color w:val="000000"/>
                <w:sz w:val="12"/>
                <w:szCs w:val="12"/>
                <w:lang w:eastAsia="sq-AL"/>
              </w:rPr>
              <w:br/>
              <w:t>Nuk ka efekte mjedisore</w:t>
            </w:r>
          </w:p>
        </w:tc>
      </w:tr>
      <w:tr w:rsidR="000A7DFC" w:rsidRPr="00727111" w14:paraId="79618F78"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1F5729F0"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4</w:t>
            </w:r>
          </w:p>
        </w:tc>
        <w:tc>
          <w:tcPr>
            <w:tcW w:w="1232" w:type="dxa"/>
            <w:tcBorders>
              <w:top w:val="nil"/>
              <w:left w:val="nil"/>
              <w:bottom w:val="single" w:sz="4" w:space="0" w:color="auto"/>
              <w:right w:val="single" w:sz="4" w:space="0" w:color="auto"/>
            </w:tcBorders>
            <w:shd w:val="clear" w:color="auto" w:fill="auto"/>
            <w:vAlign w:val="center"/>
            <w:hideMark/>
          </w:tcPr>
          <w:p w14:paraId="6DF0AA8F"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miratimin e Planit të Veprimit të Arsimit Dixhital 2025-2030 duke përfshirë standardet për arritjen e kompetencës digjitale </w:t>
            </w:r>
          </w:p>
        </w:tc>
        <w:tc>
          <w:tcPr>
            <w:tcW w:w="901" w:type="dxa"/>
            <w:tcBorders>
              <w:top w:val="nil"/>
              <w:left w:val="nil"/>
              <w:bottom w:val="single" w:sz="4" w:space="0" w:color="auto"/>
              <w:right w:val="single" w:sz="4" w:space="0" w:color="auto"/>
            </w:tcBorders>
            <w:shd w:val="clear" w:color="auto" w:fill="auto"/>
            <w:vAlign w:val="center"/>
            <w:hideMark/>
          </w:tcPr>
          <w:p w14:paraId="44CC3000"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685A5A2C"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6D423295"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dytë</w:t>
            </w:r>
          </w:p>
        </w:tc>
        <w:tc>
          <w:tcPr>
            <w:tcW w:w="2126" w:type="dxa"/>
            <w:tcBorders>
              <w:top w:val="nil"/>
              <w:left w:val="nil"/>
              <w:bottom w:val="single" w:sz="4" w:space="0" w:color="auto"/>
              <w:right w:val="single" w:sz="4" w:space="0" w:color="auto"/>
            </w:tcBorders>
            <w:shd w:val="clear" w:color="auto" w:fill="auto"/>
            <w:vAlign w:val="center"/>
            <w:hideMark/>
          </w:tcPr>
          <w:p w14:paraId="1F9B6DD9"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Në zbatim të Strategjisë Kombëtare për Arsimin 2021–2026 dhe të planit të veprimit për zbatimin e saj një ndër objektivat kryesorë për realizim është zhvillimi i kompetencës digjitale përmes shfrytëzimit më të mirë të teknologjisë së informacionit dhe komunikimit për mësimdhënie dhe të nxënë.</w:t>
            </w:r>
            <w:r w:rsidRPr="00727111">
              <w:rPr>
                <w:rFonts w:ascii="Garamond" w:hAnsi="Garamond"/>
                <w:color w:val="000000"/>
                <w:sz w:val="12"/>
                <w:szCs w:val="12"/>
                <w:lang w:eastAsia="sq-AL"/>
              </w:rPr>
              <w:br/>
              <w:t>Krijimi i infrastrukturës së përshtatshme për shfrytëzimin e TIK-ut në shkolla dhe mirëmbajtja e saj. Me anë të porpozimit të projektvendimit për hartimin e planit të veprimit synohen të hartohen hapat konkretë të veprimit për zhvillimin dhe përmirësimin e Arsimit Digjital 2025-2030 duke përfshirë standardet për arritjen e kompetencës digjitale</w:t>
            </w:r>
          </w:p>
        </w:tc>
        <w:tc>
          <w:tcPr>
            <w:tcW w:w="1985" w:type="dxa"/>
            <w:tcBorders>
              <w:top w:val="nil"/>
              <w:left w:val="nil"/>
              <w:bottom w:val="single" w:sz="4" w:space="0" w:color="auto"/>
              <w:right w:val="nil"/>
            </w:tcBorders>
            <w:shd w:val="clear" w:color="auto" w:fill="auto"/>
            <w:vAlign w:val="center"/>
            <w:hideMark/>
          </w:tcPr>
          <w:p w14:paraId="28D1F114"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Në zbatim të Strategjisë Kombëtare për Arsimin 2021–2026 dhe të planit të veprimit për zbatimin e saj një ndër objektivat kryesorë për realizim është zhvillimi i kompetencës digjitale përmes shfrytëzimit më të mirë të teknologjisë së informacionit dhe komunikimit për mësimdhënie dhe të nxënë.</w:t>
            </w:r>
            <w:r w:rsidRPr="00727111">
              <w:rPr>
                <w:rFonts w:ascii="Garamond" w:hAnsi="Garamond"/>
                <w:color w:val="000000"/>
                <w:sz w:val="12"/>
                <w:szCs w:val="12"/>
                <w:lang w:eastAsia="sq-AL"/>
              </w:rPr>
              <w:br/>
              <w:t>Krijimi i infrastrukturës së përshtatshme për shfrytëzimin e TIK-ut në shkolla dhe mirëmbajtja e saj. Me anë të porpozimit të projektvendimit për hartimin e planit të veprimit synohen të hartohen hapat konkretë të veprimit për zhvillimin dhe përmirësimin e Arsimit Digjital 2025-2030 duke përfshirë standardet për arritjen e kompetencës digjitale</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191A5E8A"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 </w:t>
            </w:r>
            <w:r w:rsidRPr="00727111">
              <w:rPr>
                <w:rFonts w:ascii="Garamond" w:hAnsi="Garamond"/>
                <w:color w:val="000000"/>
                <w:sz w:val="12"/>
                <w:szCs w:val="12"/>
                <w:lang w:eastAsia="sq-AL"/>
              </w:rPr>
              <w:br/>
              <w:t>Kapitulli 26 "Arsimi dhe Kultura"</w:t>
            </w:r>
          </w:p>
        </w:tc>
        <w:tc>
          <w:tcPr>
            <w:tcW w:w="1559" w:type="dxa"/>
            <w:tcBorders>
              <w:top w:val="nil"/>
              <w:left w:val="nil"/>
              <w:bottom w:val="single" w:sz="4" w:space="0" w:color="auto"/>
              <w:right w:val="single" w:sz="4" w:space="0" w:color="auto"/>
            </w:tcBorders>
            <w:shd w:val="clear" w:color="auto" w:fill="auto"/>
            <w:noWrap/>
            <w:vAlign w:val="center"/>
            <w:hideMark/>
          </w:tcPr>
          <w:p w14:paraId="23A9988B"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arsimit</w:t>
            </w:r>
          </w:p>
        </w:tc>
        <w:tc>
          <w:tcPr>
            <w:tcW w:w="1677" w:type="dxa"/>
            <w:tcBorders>
              <w:top w:val="nil"/>
              <w:left w:val="nil"/>
              <w:bottom w:val="single" w:sz="4" w:space="0" w:color="auto"/>
              <w:right w:val="single" w:sz="4" w:space="0" w:color="auto"/>
            </w:tcBorders>
            <w:shd w:val="clear" w:color="auto" w:fill="auto"/>
            <w:vAlign w:val="center"/>
            <w:hideMark/>
          </w:tcPr>
          <w:p w14:paraId="3C4DE01E"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Lidhet me strategjinë kombëtare për arsimin 2021–2026 dhe të planit të veprimit për zbatimin e saj</w:t>
            </w:r>
          </w:p>
        </w:tc>
        <w:tc>
          <w:tcPr>
            <w:tcW w:w="986" w:type="dxa"/>
            <w:tcBorders>
              <w:top w:val="nil"/>
              <w:left w:val="nil"/>
              <w:bottom w:val="single" w:sz="4" w:space="0" w:color="auto"/>
              <w:right w:val="single" w:sz="4" w:space="0" w:color="auto"/>
            </w:tcBorders>
            <w:shd w:val="clear" w:color="000000" w:fill="FFFFFF"/>
            <w:vAlign w:val="center"/>
            <w:hideMark/>
          </w:tcPr>
          <w:p w14:paraId="129BADA7"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Nuk ka efekte financiare. Ka efekte sociale pozitive. </w:t>
            </w:r>
            <w:r w:rsidRPr="00727111">
              <w:rPr>
                <w:rFonts w:ascii="Garamond" w:hAnsi="Garamond"/>
                <w:color w:val="000000"/>
                <w:sz w:val="12"/>
                <w:szCs w:val="12"/>
                <w:lang w:eastAsia="sq-AL"/>
              </w:rPr>
              <w:br/>
              <w:t>Nuk ka efekte mjedisore</w:t>
            </w:r>
          </w:p>
        </w:tc>
      </w:tr>
      <w:tr w:rsidR="000A7DFC" w:rsidRPr="00727111" w14:paraId="57B56A58"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2EC9EA74"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5</w:t>
            </w:r>
          </w:p>
        </w:tc>
        <w:tc>
          <w:tcPr>
            <w:tcW w:w="1232" w:type="dxa"/>
            <w:tcBorders>
              <w:top w:val="nil"/>
              <w:left w:val="nil"/>
              <w:bottom w:val="single" w:sz="4" w:space="0" w:color="auto"/>
              <w:right w:val="single" w:sz="4" w:space="0" w:color="auto"/>
            </w:tcBorders>
            <w:shd w:val="clear" w:color="auto" w:fill="auto"/>
            <w:vAlign w:val="center"/>
            <w:hideMark/>
          </w:tcPr>
          <w:p w14:paraId="1334215C"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një shtesë dhe ndryshim në vendimin nr.742, datë 03.12.2021 “Për krijimin e bazës së të dhënave shtetërore të Sistemit të Menaxhimit të Informacionit Parauniversitar (SMIP)”</w:t>
            </w:r>
          </w:p>
        </w:tc>
        <w:tc>
          <w:tcPr>
            <w:tcW w:w="901" w:type="dxa"/>
            <w:tcBorders>
              <w:top w:val="nil"/>
              <w:left w:val="nil"/>
              <w:bottom w:val="single" w:sz="4" w:space="0" w:color="auto"/>
              <w:right w:val="single" w:sz="4" w:space="0" w:color="auto"/>
            </w:tcBorders>
            <w:shd w:val="clear" w:color="auto" w:fill="auto"/>
            <w:vAlign w:val="center"/>
            <w:hideMark/>
          </w:tcPr>
          <w:p w14:paraId="51F08942"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13CE83B8"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Ministri i Arsimit dhe Sportit </w:t>
            </w:r>
          </w:p>
        </w:tc>
        <w:tc>
          <w:tcPr>
            <w:tcW w:w="1417" w:type="dxa"/>
            <w:tcBorders>
              <w:top w:val="nil"/>
              <w:left w:val="nil"/>
              <w:bottom w:val="single" w:sz="4" w:space="0" w:color="auto"/>
              <w:right w:val="single" w:sz="4" w:space="0" w:color="auto"/>
            </w:tcBorders>
            <w:shd w:val="clear" w:color="auto" w:fill="auto"/>
            <w:vAlign w:val="center"/>
            <w:hideMark/>
          </w:tcPr>
          <w:p w14:paraId="749FDC0B"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dytë</w:t>
            </w:r>
          </w:p>
        </w:tc>
        <w:tc>
          <w:tcPr>
            <w:tcW w:w="2126" w:type="dxa"/>
            <w:tcBorders>
              <w:top w:val="nil"/>
              <w:left w:val="nil"/>
              <w:bottom w:val="single" w:sz="4" w:space="0" w:color="auto"/>
              <w:right w:val="single" w:sz="4" w:space="0" w:color="auto"/>
            </w:tcBorders>
            <w:shd w:val="clear" w:color="auto" w:fill="auto"/>
            <w:vAlign w:val="center"/>
            <w:hideMark/>
          </w:tcPr>
          <w:p w14:paraId="33C986A9"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Ky ndryshim synon mundësimin e krijimit të aksesit të Sistemit të Menaxhimit të Informacionit Parauniversitar (SMIP) për strukturat e arsimit dhe formimit profesional, si një ndër aktorët kryesorë për menaxhimin e shkollave profesionale. </w:t>
            </w:r>
          </w:p>
        </w:tc>
        <w:tc>
          <w:tcPr>
            <w:tcW w:w="1985" w:type="dxa"/>
            <w:tcBorders>
              <w:top w:val="nil"/>
              <w:left w:val="nil"/>
              <w:bottom w:val="single" w:sz="4" w:space="0" w:color="auto"/>
              <w:right w:val="nil"/>
            </w:tcBorders>
            <w:shd w:val="clear" w:color="auto" w:fill="auto"/>
            <w:vAlign w:val="center"/>
            <w:hideMark/>
          </w:tcPr>
          <w:p w14:paraId="553FD430"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Sigurimi i të dhënave administrative është elementi bazë për qeverisjen sistemit të arsimit dhe formimit profesional dhe kryerjen e analizave që në përputhje me direktivat do të duhet të sigurojnë konkurrencën e qendrueshme dhe funksionimin e sistemit në përputhje me nevojat e tregut të punës. Gjithashtu ky akses është i rëndësishem për kryerjen e gjurmimeve si një tjetër rekomandim i rëndësishem. </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0CBC2AA1"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559" w:type="dxa"/>
            <w:tcBorders>
              <w:top w:val="nil"/>
              <w:left w:val="nil"/>
              <w:bottom w:val="single" w:sz="4" w:space="0" w:color="auto"/>
              <w:right w:val="single" w:sz="4" w:space="0" w:color="auto"/>
            </w:tcBorders>
            <w:shd w:val="clear" w:color="auto" w:fill="auto"/>
            <w:vAlign w:val="center"/>
            <w:hideMark/>
          </w:tcPr>
          <w:p w14:paraId="29BC1943"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arsimit</w:t>
            </w:r>
          </w:p>
        </w:tc>
        <w:tc>
          <w:tcPr>
            <w:tcW w:w="1677" w:type="dxa"/>
            <w:tcBorders>
              <w:top w:val="nil"/>
              <w:left w:val="nil"/>
              <w:bottom w:val="single" w:sz="4" w:space="0" w:color="auto"/>
              <w:right w:val="single" w:sz="4" w:space="0" w:color="auto"/>
            </w:tcBorders>
            <w:shd w:val="clear" w:color="auto" w:fill="auto"/>
            <w:vAlign w:val="center"/>
            <w:hideMark/>
          </w:tcPr>
          <w:p w14:paraId="3021F0B7"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Lidhet me Strategjinë Kombëtare të Arsimit Parauniversitar 2021-2026</w:t>
            </w:r>
          </w:p>
        </w:tc>
        <w:tc>
          <w:tcPr>
            <w:tcW w:w="986" w:type="dxa"/>
            <w:tcBorders>
              <w:top w:val="nil"/>
              <w:left w:val="nil"/>
              <w:bottom w:val="single" w:sz="4" w:space="0" w:color="auto"/>
              <w:right w:val="single" w:sz="4" w:space="0" w:color="auto"/>
            </w:tcBorders>
            <w:shd w:val="clear" w:color="000000" w:fill="FFFFFF"/>
            <w:vAlign w:val="center"/>
            <w:hideMark/>
          </w:tcPr>
          <w:p w14:paraId="211C5A00"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Nuk ka efekte financiare. Ka efekte sociale pozitive. </w:t>
            </w:r>
            <w:r w:rsidRPr="00727111">
              <w:rPr>
                <w:rFonts w:ascii="Garamond" w:hAnsi="Garamond"/>
                <w:color w:val="000000"/>
                <w:sz w:val="12"/>
                <w:szCs w:val="12"/>
                <w:lang w:eastAsia="sq-AL"/>
              </w:rPr>
              <w:br/>
              <w:t>Nuk ka efekte mjedisore</w:t>
            </w:r>
          </w:p>
        </w:tc>
      </w:tr>
      <w:tr w:rsidR="000A7DFC" w:rsidRPr="00727111" w14:paraId="6393C588"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65BDA296"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6</w:t>
            </w:r>
          </w:p>
        </w:tc>
        <w:tc>
          <w:tcPr>
            <w:tcW w:w="1232" w:type="dxa"/>
            <w:tcBorders>
              <w:top w:val="nil"/>
              <w:left w:val="nil"/>
              <w:bottom w:val="single" w:sz="4" w:space="0" w:color="auto"/>
              <w:right w:val="single" w:sz="4" w:space="0" w:color="auto"/>
            </w:tcBorders>
            <w:shd w:val="clear" w:color="auto" w:fill="auto"/>
            <w:vAlign w:val="center"/>
            <w:hideMark/>
          </w:tcPr>
          <w:p w14:paraId="37132E8F"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 xml:space="preserve"> Për disa ndryshime në vendimin nr. 607, datë 31.08.2016 të Këshillit të Ministrave, “Për krijimin, përbërjen, organizimin dhe funksionimin e Agjencisë Kombëtare të Kërkimit Shkencor dhe Inovacionit (AKKSHI)”</w:t>
            </w:r>
          </w:p>
        </w:tc>
        <w:tc>
          <w:tcPr>
            <w:tcW w:w="901" w:type="dxa"/>
            <w:tcBorders>
              <w:top w:val="nil"/>
              <w:left w:val="nil"/>
              <w:bottom w:val="single" w:sz="4" w:space="0" w:color="auto"/>
              <w:right w:val="single" w:sz="4" w:space="0" w:color="auto"/>
            </w:tcBorders>
            <w:shd w:val="clear" w:color="auto" w:fill="auto"/>
            <w:vAlign w:val="center"/>
            <w:hideMark/>
          </w:tcPr>
          <w:p w14:paraId="75EDE429"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4256EC49"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1BB37BDF"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dytë</w:t>
            </w:r>
          </w:p>
        </w:tc>
        <w:tc>
          <w:tcPr>
            <w:tcW w:w="2126" w:type="dxa"/>
            <w:tcBorders>
              <w:top w:val="nil"/>
              <w:left w:val="nil"/>
              <w:bottom w:val="single" w:sz="4" w:space="0" w:color="auto"/>
              <w:right w:val="single" w:sz="4" w:space="0" w:color="auto"/>
            </w:tcBorders>
            <w:shd w:val="clear" w:color="000000" w:fill="FFFFFF"/>
            <w:vAlign w:val="center"/>
            <w:hideMark/>
          </w:tcPr>
          <w:p w14:paraId="4FA3DB33" w14:textId="77777777" w:rsidR="000A7DFC" w:rsidRPr="00727111" w:rsidRDefault="000A7DFC" w:rsidP="000A7DFC">
            <w:pPr>
              <w:spacing w:after="240"/>
              <w:jc w:val="both"/>
              <w:rPr>
                <w:rFonts w:ascii="Garamond" w:hAnsi="Garamond"/>
                <w:color w:val="000000"/>
                <w:sz w:val="12"/>
                <w:szCs w:val="12"/>
                <w:lang w:eastAsia="sq-AL"/>
              </w:rPr>
            </w:pPr>
            <w:r w:rsidRPr="00727111">
              <w:rPr>
                <w:rFonts w:ascii="Garamond" w:hAnsi="Garamond"/>
                <w:color w:val="000000"/>
                <w:sz w:val="12"/>
                <w:szCs w:val="12"/>
                <w:lang w:eastAsia="sq-AL"/>
              </w:rPr>
              <w:t>Projektvendimi synon riorganizimin e AKKSHI lindur nga nevoja për rritje të eficiencës së institucionit për zbatimin e politikave të reja sektoriale, të përcaktuar në legjislacionin në fuqi.</w:t>
            </w:r>
            <w:r w:rsidRPr="00727111">
              <w:rPr>
                <w:rFonts w:ascii="Garamond" w:hAnsi="Garamond"/>
                <w:color w:val="000000"/>
                <w:sz w:val="12"/>
                <w:szCs w:val="12"/>
                <w:lang w:eastAsia="sq-AL"/>
              </w:rPr>
              <w:br/>
              <w:t xml:space="preserve">Roli i AKKSHI si një institucion menaxhues i kërkimit shkencor duhet të fuqizohet në menyrë që produkti shkencor t'i paraprijë politikave më të mira publike, si dhe zhvillimit ekonomik e social të vendit. </w:t>
            </w:r>
          </w:p>
        </w:tc>
        <w:tc>
          <w:tcPr>
            <w:tcW w:w="1985" w:type="dxa"/>
            <w:tcBorders>
              <w:top w:val="nil"/>
              <w:left w:val="nil"/>
              <w:bottom w:val="single" w:sz="4" w:space="0" w:color="auto"/>
              <w:right w:val="nil"/>
            </w:tcBorders>
            <w:shd w:val="clear" w:color="auto" w:fill="auto"/>
            <w:vAlign w:val="center"/>
            <w:hideMark/>
          </w:tcPr>
          <w:p w14:paraId="5C1D0E6A"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Ndryshimi i vendimit në fuqi synon të rregullojë këto çështje kryesore:</w:t>
            </w:r>
            <w:r w:rsidRPr="00727111">
              <w:rPr>
                <w:rFonts w:ascii="Garamond" w:hAnsi="Garamond"/>
                <w:color w:val="000000"/>
                <w:sz w:val="12"/>
                <w:szCs w:val="12"/>
                <w:lang w:eastAsia="sq-AL"/>
              </w:rPr>
              <w:br/>
            </w:r>
            <w:r w:rsidRPr="00727111">
              <w:rPr>
                <w:rFonts w:ascii="Garamond" w:hAnsi="Garamond"/>
                <w:color w:val="000000"/>
                <w:sz w:val="12"/>
                <w:szCs w:val="12"/>
                <w:lang w:eastAsia="sq-AL"/>
              </w:rPr>
              <w:br/>
              <w:t>1. Forcimit të kapaciteteve për vlerësimin e performancës kërkimore të institucioneve të arsimit të lartë dhe instituteve kërkimore;</w:t>
            </w:r>
            <w:r w:rsidRPr="00727111">
              <w:rPr>
                <w:rFonts w:ascii="Garamond" w:hAnsi="Garamond"/>
                <w:color w:val="000000"/>
                <w:sz w:val="12"/>
                <w:szCs w:val="12"/>
                <w:lang w:eastAsia="sq-AL"/>
              </w:rPr>
              <w:br/>
              <w:t>2. Ndryshimin e proceseve të brendshme, detyrave dhe përgjegjësive, duke përfshirë sistemin e brendshëm të menaxhimit të cilësisë për të performuar më mirë si një agjenci administruese e financuese e kërkimit shkencor</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61BEDF02"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559" w:type="dxa"/>
            <w:tcBorders>
              <w:top w:val="nil"/>
              <w:left w:val="nil"/>
              <w:bottom w:val="single" w:sz="4" w:space="0" w:color="auto"/>
              <w:right w:val="single" w:sz="4" w:space="0" w:color="auto"/>
            </w:tcBorders>
            <w:shd w:val="clear" w:color="auto" w:fill="auto"/>
            <w:noWrap/>
            <w:vAlign w:val="center"/>
            <w:hideMark/>
          </w:tcPr>
          <w:p w14:paraId="727E3C25"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arsimit</w:t>
            </w:r>
          </w:p>
        </w:tc>
        <w:tc>
          <w:tcPr>
            <w:tcW w:w="1677" w:type="dxa"/>
            <w:tcBorders>
              <w:top w:val="nil"/>
              <w:left w:val="nil"/>
              <w:bottom w:val="single" w:sz="4" w:space="0" w:color="auto"/>
              <w:right w:val="single" w:sz="4" w:space="0" w:color="auto"/>
            </w:tcBorders>
            <w:shd w:val="clear" w:color="auto" w:fill="auto"/>
            <w:vAlign w:val="center"/>
            <w:hideMark/>
          </w:tcPr>
          <w:p w14:paraId="6FD65146"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Lidhet me Strategjinë Kombëtare të Arsimit Parauniversitar 2021-2026</w:t>
            </w:r>
          </w:p>
        </w:tc>
        <w:tc>
          <w:tcPr>
            <w:tcW w:w="986" w:type="dxa"/>
            <w:tcBorders>
              <w:top w:val="nil"/>
              <w:left w:val="nil"/>
              <w:bottom w:val="single" w:sz="4" w:space="0" w:color="auto"/>
              <w:right w:val="single" w:sz="4" w:space="0" w:color="auto"/>
            </w:tcBorders>
            <w:shd w:val="clear" w:color="000000" w:fill="FFFFFF"/>
            <w:vAlign w:val="center"/>
            <w:hideMark/>
          </w:tcPr>
          <w:p w14:paraId="0BF8D1C2"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Nuk ka efekte financiare. Ka efekte sociale pozitive. </w:t>
            </w:r>
            <w:r w:rsidRPr="00727111">
              <w:rPr>
                <w:rFonts w:ascii="Garamond" w:hAnsi="Garamond"/>
                <w:color w:val="000000"/>
                <w:sz w:val="12"/>
                <w:szCs w:val="12"/>
                <w:lang w:eastAsia="sq-AL"/>
              </w:rPr>
              <w:br/>
              <w:t>Nuk ka efekte mjedisore</w:t>
            </w:r>
          </w:p>
        </w:tc>
      </w:tr>
      <w:tr w:rsidR="000A7DFC" w:rsidRPr="00727111" w14:paraId="1769D81D"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370DEC3E"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7</w:t>
            </w:r>
          </w:p>
        </w:tc>
        <w:tc>
          <w:tcPr>
            <w:tcW w:w="1232" w:type="dxa"/>
            <w:tcBorders>
              <w:top w:val="nil"/>
              <w:left w:val="nil"/>
              <w:bottom w:val="single" w:sz="4" w:space="0" w:color="auto"/>
              <w:right w:val="single" w:sz="4" w:space="0" w:color="auto"/>
            </w:tcBorders>
            <w:shd w:val="clear" w:color="auto" w:fill="auto"/>
            <w:vAlign w:val="center"/>
            <w:hideMark/>
          </w:tcPr>
          <w:p w14:paraId="2C2CC757"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Për disa ndryshime në vendimin nr. 450, datë 30.06.2021 të Këshillit të Ministrave “Për miratimin e listës së materialeve dhe pajisjeve sportive që do të përjashtohen nga detyrimet doganore dhe tatimi mbi vlerën e shtuar, si dhe procedurat e përjashtimit të tyre”</w:t>
            </w:r>
          </w:p>
        </w:tc>
        <w:tc>
          <w:tcPr>
            <w:tcW w:w="901" w:type="dxa"/>
            <w:tcBorders>
              <w:top w:val="nil"/>
              <w:left w:val="nil"/>
              <w:bottom w:val="single" w:sz="4" w:space="0" w:color="auto"/>
              <w:right w:val="single" w:sz="4" w:space="0" w:color="auto"/>
            </w:tcBorders>
            <w:shd w:val="clear" w:color="auto" w:fill="auto"/>
            <w:vAlign w:val="center"/>
            <w:hideMark/>
          </w:tcPr>
          <w:p w14:paraId="4CE80CA7"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7D3A3769"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000000" w:fill="FFFFFF"/>
            <w:vAlign w:val="center"/>
            <w:hideMark/>
          </w:tcPr>
          <w:p w14:paraId="3D6CA1B1"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Katërmujori i dytë</w:t>
            </w:r>
          </w:p>
        </w:tc>
        <w:tc>
          <w:tcPr>
            <w:tcW w:w="2126" w:type="dxa"/>
            <w:tcBorders>
              <w:top w:val="nil"/>
              <w:left w:val="nil"/>
              <w:bottom w:val="single" w:sz="4" w:space="0" w:color="auto"/>
              <w:right w:val="single" w:sz="4" w:space="0" w:color="auto"/>
            </w:tcBorders>
            <w:shd w:val="clear" w:color="auto" w:fill="auto"/>
            <w:noWrap/>
            <w:vAlign w:val="center"/>
            <w:hideMark/>
          </w:tcPr>
          <w:p w14:paraId="0B83E888" w14:textId="77777777" w:rsidR="000A7DFC" w:rsidRPr="00727111" w:rsidRDefault="000A7DFC" w:rsidP="000A7DFC">
            <w:pPr>
              <w:jc w:val="both"/>
              <w:rPr>
                <w:rFonts w:ascii="Garamond" w:hAnsi="Garamond"/>
                <w:color w:val="000000"/>
                <w:sz w:val="12"/>
                <w:szCs w:val="12"/>
                <w:lang w:eastAsia="sq-AL"/>
              </w:rPr>
            </w:pPr>
            <w:r w:rsidRPr="00727111">
              <w:rPr>
                <w:rFonts w:ascii="Garamond" w:hAnsi="Garamond"/>
                <w:color w:val="000000"/>
                <w:sz w:val="12"/>
                <w:szCs w:val="12"/>
                <w:lang w:eastAsia="sq-AL"/>
              </w:rPr>
              <w:t xml:space="preserve">Nevoja për përditësim i vendimit në fuqi të Këshillit të Ministrave për shkak të rritjes së numrit të federatave sportive shqiptare dhe të artikujve që duhet të përjashtohen nga detyrimet doganore </w:t>
            </w:r>
          </w:p>
        </w:tc>
        <w:tc>
          <w:tcPr>
            <w:tcW w:w="1985" w:type="dxa"/>
            <w:tcBorders>
              <w:top w:val="nil"/>
              <w:left w:val="nil"/>
              <w:bottom w:val="single" w:sz="4" w:space="0" w:color="auto"/>
              <w:right w:val="nil"/>
            </w:tcBorders>
            <w:shd w:val="clear" w:color="auto" w:fill="auto"/>
            <w:vAlign w:val="center"/>
            <w:hideMark/>
          </w:tcPr>
          <w:p w14:paraId="5E7C6C17"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Nevoja për përditësim i vendimit në fuqi të Këshillit të Ministrave për shkak të rritjes së numrit të federatave sportive shqiptare dhe të artikujve që duhet të përjashtohen nga detyrimet doganore</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664BA185"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559" w:type="dxa"/>
            <w:tcBorders>
              <w:top w:val="nil"/>
              <w:left w:val="nil"/>
              <w:bottom w:val="single" w:sz="4" w:space="0" w:color="auto"/>
              <w:right w:val="single" w:sz="4" w:space="0" w:color="auto"/>
            </w:tcBorders>
            <w:shd w:val="clear" w:color="auto" w:fill="auto"/>
            <w:noWrap/>
            <w:vAlign w:val="center"/>
            <w:hideMark/>
          </w:tcPr>
          <w:p w14:paraId="7E804C1F"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sportit</w:t>
            </w:r>
          </w:p>
        </w:tc>
        <w:tc>
          <w:tcPr>
            <w:tcW w:w="1677" w:type="dxa"/>
            <w:tcBorders>
              <w:top w:val="nil"/>
              <w:left w:val="nil"/>
              <w:bottom w:val="single" w:sz="4" w:space="0" w:color="auto"/>
              <w:right w:val="single" w:sz="4" w:space="0" w:color="auto"/>
            </w:tcBorders>
            <w:shd w:val="clear" w:color="auto" w:fill="auto"/>
            <w:vAlign w:val="center"/>
            <w:hideMark/>
          </w:tcPr>
          <w:p w14:paraId="1AF5352E"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86" w:type="dxa"/>
            <w:tcBorders>
              <w:top w:val="nil"/>
              <w:left w:val="nil"/>
              <w:bottom w:val="single" w:sz="4" w:space="0" w:color="auto"/>
              <w:right w:val="single" w:sz="4" w:space="0" w:color="auto"/>
            </w:tcBorders>
            <w:shd w:val="clear" w:color="auto" w:fill="auto"/>
            <w:vAlign w:val="center"/>
            <w:hideMark/>
          </w:tcPr>
          <w:p w14:paraId="4C05D930"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 efekte financiare brenda tavaneve buxhetore.</w:t>
            </w:r>
            <w:r w:rsidRPr="00727111">
              <w:rPr>
                <w:rFonts w:ascii="Garamond" w:hAnsi="Garamond"/>
                <w:color w:val="000000"/>
                <w:sz w:val="12"/>
                <w:szCs w:val="12"/>
                <w:lang w:eastAsia="sq-AL"/>
              </w:rPr>
              <w:br/>
              <w:t>Ka efekte sociale pozitive.</w:t>
            </w:r>
            <w:r w:rsidRPr="00727111">
              <w:rPr>
                <w:rFonts w:ascii="Garamond" w:hAnsi="Garamond"/>
                <w:color w:val="000000"/>
                <w:sz w:val="12"/>
                <w:szCs w:val="12"/>
                <w:lang w:eastAsia="sq-AL"/>
              </w:rPr>
              <w:br/>
              <w:t>Nuk ka efekte mjedisore</w:t>
            </w:r>
          </w:p>
        </w:tc>
      </w:tr>
      <w:tr w:rsidR="000A7DFC" w:rsidRPr="00727111" w14:paraId="01FB294A"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5294838F"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8</w:t>
            </w:r>
          </w:p>
        </w:tc>
        <w:tc>
          <w:tcPr>
            <w:tcW w:w="1232" w:type="dxa"/>
            <w:tcBorders>
              <w:top w:val="nil"/>
              <w:left w:val="nil"/>
              <w:bottom w:val="single" w:sz="4" w:space="0" w:color="auto"/>
              <w:right w:val="single" w:sz="4" w:space="0" w:color="auto"/>
            </w:tcBorders>
            <w:shd w:val="clear" w:color="auto" w:fill="auto"/>
            <w:vAlign w:val="center"/>
            <w:hideMark/>
          </w:tcPr>
          <w:p w14:paraId="2687F98A"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Për disa ndryshime vendimin, nr. 600, datë 09.10.2018 të Këshillit të Ministrave “Për miratimin e shërbimit të sigurisë publike në institucionet e arsimit parauniversitar dhe të kritereve për oficerët e sigurisë”, të ndryshuar</w:t>
            </w:r>
          </w:p>
        </w:tc>
        <w:tc>
          <w:tcPr>
            <w:tcW w:w="901" w:type="dxa"/>
            <w:tcBorders>
              <w:top w:val="nil"/>
              <w:left w:val="nil"/>
              <w:bottom w:val="single" w:sz="4" w:space="0" w:color="auto"/>
              <w:right w:val="single" w:sz="4" w:space="0" w:color="auto"/>
            </w:tcBorders>
            <w:shd w:val="clear" w:color="auto" w:fill="auto"/>
            <w:vAlign w:val="center"/>
            <w:hideMark/>
          </w:tcPr>
          <w:p w14:paraId="497CEEE3"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58E54671"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6ECC3DEE"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dytë</w:t>
            </w:r>
          </w:p>
        </w:tc>
        <w:tc>
          <w:tcPr>
            <w:tcW w:w="2126" w:type="dxa"/>
            <w:tcBorders>
              <w:top w:val="nil"/>
              <w:left w:val="nil"/>
              <w:bottom w:val="single" w:sz="4" w:space="0" w:color="auto"/>
              <w:right w:val="single" w:sz="4" w:space="0" w:color="auto"/>
            </w:tcBorders>
            <w:shd w:val="clear" w:color="auto" w:fill="auto"/>
            <w:noWrap/>
            <w:vAlign w:val="center"/>
            <w:hideMark/>
          </w:tcPr>
          <w:p w14:paraId="2C70CE58" w14:textId="77777777" w:rsidR="000A7DFC" w:rsidRPr="00727111" w:rsidRDefault="000A7DFC" w:rsidP="000A7DFC">
            <w:pPr>
              <w:jc w:val="both"/>
              <w:rPr>
                <w:rFonts w:ascii="Garamond" w:hAnsi="Garamond"/>
                <w:color w:val="000000"/>
                <w:sz w:val="12"/>
                <w:szCs w:val="12"/>
                <w:lang w:eastAsia="sq-AL"/>
              </w:rPr>
            </w:pPr>
            <w:r w:rsidRPr="00727111">
              <w:rPr>
                <w:rFonts w:ascii="Garamond" w:hAnsi="Garamond"/>
                <w:color w:val="000000"/>
                <w:sz w:val="12"/>
                <w:szCs w:val="12"/>
                <w:lang w:eastAsia="sq-AL"/>
              </w:rPr>
              <w:t>Nevoja për të shtuar shërbimin e sigurisë edhe në shkollat profesionale</w:t>
            </w:r>
          </w:p>
        </w:tc>
        <w:tc>
          <w:tcPr>
            <w:tcW w:w="1985" w:type="dxa"/>
            <w:tcBorders>
              <w:top w:val="nil"/>
              <w:left w:val="nil"/>
              <w:bottom w:val="single" w:sz="4" w:space="0" w:color="auto"/>
              <w:right w:val="nil"/>
            </w:tcBorders>
            <w:shd w:val="clear" w:color="auto" w:fill="auto"/>
            <w:vAlign w:val="center"/>
            <w:hideMark/>
          </w:tcPr>
          <w:p w14:paraId="7EA8DB9C"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Vendimi nr. 600, datë 09.10.2018 i Këshillit të Ministrave synon garantimin e sigurisë publike në institucionet e arsimit parauniversitar, si një element thelbësor i parandalimit të dukurive negative, si brenda edhe jashtë mjediseve të shkollës. Me ndryshimin e vendimit në fuqi të Këshillit të Ministrave  synohet të garantohet ofrimi i shërbimit të sigurisë publike edhe në shkollat profesionale</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2EFDE11D"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559" w:type="dxa"/>
            <w:tcBorders>
              <w:top w:val="nil"/>
              <w:left w:val="nil"/>
              <w:bottom w:val="single" w:sz="4" w:space="0" w:color="auto"/>
              <w:right w:val="single" w:sz="4" w:space="0" w:color="auto"/>
            </w:tcBorders>
            <w:shd w:val="clear" w:color="auto" w:fill="auto"/>
            <w:vAlign w:val="center"/>
            <w:hideMark/>
          </w:tcPr>
          <w:p w14:paraId="5CB1EFAC"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Po. Fusha e arsimit profesional</w:t>
            </w:r>
          </w:p>
        </w:tc>
        <w:tc>
          <w:tcPr>
            <w:tcW w:w="1677" w:type="dxa"/>
            <w:tcBorders>
              <w:top w:val="nil"/>
              <w:left w:val="nil"/>
              <w:bottom w:val="single" w:sz="4" w:space="0" w:color="auto"/>
              <w:right w:val="single" w:sz="4" w:space="0" w:color="auto"/>
            </w:tcBorders>
            <w:shd w:val="clear" w:color="auto" w:fill="auto"/>
            <w:vAlign w:val="center"/>
            <w:hideMark/>
          </w:tcPr>
          <w:p w14:paraId="31448708"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Lidhet me Strategjinë Kombëtare të Arsimit Parauniversitar 2021-2026</w:t>
            </w:r>
          </w:p>
        </w:tc>
        <w:tc>
          <w:tcPr>
            <w:tcW w:w="986" w:type="dxa"/>
            <w:tcBorders>
              <w:top w:val="nil"/>
              <w:left w:val="nil"/>
              <w:bottom w:val="single" w:sz="4" w:space="0" w:color="auto"/>
              <w:right w:val="single" w:sz="4" w:space="0" w:color="auto"/>
            </w:tcBorders>
            <w:shd w:val="clear" w:color="auto" w:fill="auto"/>
            <w:vAlign w:val="center"/>
            <w:hideMark/>
          </w:tcPr>
          <w:p w14:paraId="2CFD06D0"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Nuk ka efekte financiare, sociale dhe mjedisore</w:t>
            </w:r>
          </w:p>
        </w:tc>
      </w:tr>
      <w:tr w:rsidR="000A7DFC" w:rsidRPr="00727111" w14:paraId="01E97C88"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1B6BB98D"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9</w:t>
            </w:r>
          </w:p>
        </w:tc>
        <w:tc>
          <w:tcPr>
            <w:tcW w:w="1232" w:type="dxa"/>
            <w:tcBorders>
              <w:top w:val="nil"/>
              <w:left w:val="nil"/>
              <w:bottom w:val="single" w:sz="4" w:space="0" w:color="auto"/>
              <w:right w:val="single" w:sz="4" w:space="0" w:color="auto"/>
            </w:tcBorders>
            <w:shd w:val="clear" w:color="auto" w:fill="auto"/>
            <w:vAlign w:val="center"/>
            <w:hideMark/>
          </w:tcPr>
          <w:p w14:paraId="0EBA1C83"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Rishikimi i vendimit nr. 824, datë 24.12.2021, të Këshillit të Ministrave "Për miratimin e Kodit të Cilësisë së arsimit të lartë"</w:t>
            </w:r>
          </w:p>
        </w:tc>
        <w:tc>
          <w:tcPr>
            <w:tcW w:w="901" w:type="dxa"/>
            <w:tcBorders>
              <w:top w:val="nil"/>
              <w:left w:val="nil"/>
              <w:bottom w:val="single" w:sz="4" w:space="0" w:color="auto"/>
              <w:right w:val="single" w:sz="4" w:space="0" w:color="auto"/>
            </w:tcBorders>
            <w:shd w:val="clear" w:color="auto" w:fill="auto"/>
            <w:vAlign w:val="center"/>
            <w:hideMark/>
          </w:tcPr>
          <w:p w14:paraId="14E4803F"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1D189C46"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542FE36C"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Katërmujori i tretë</w:t>
            </w:r>
          </w:p>
        </w:tc>
        <w:tc>
          <w:tcPr>
            <w:tcW w:w="2126" w:type="dxa"/>
            <w:tcBorders>
              <w:top w:val="nil"/>
              <w:left w:val="nil"/>
              <w:bottom w:val="single" w:sz="4" w:space="0" w:color="auto"/>
              <w:right w:val="single" w:sz="4" w:space="0" w:color="auto"/>
            </w:tcBorders>
            <w:shd w:val="clear" w:color="auto" w:fill="auto"/>
            <w:vAlign w:val="center"/>
            <w:hideMark/>
          </w:tcPr>
          <w:p w14:paraId="4C3496B4"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Zbatimi i Standardeve dhe Udhëzimeve Evropiane (ESG), të cilat do të rrisin sigurimin e cilësisë së arsimit, duke promovuar transparencën, llogaridhënien dhe njohjen ndërkombëtare.</w:t>
            </w:r>
          </w:p>
        </w:tc>
        <w:tc>
          <w:tcPr>
            <w:tcW w:w="1985" w:type="dxa"/>
            <w:tcBorders>
              <w:top w:val="nil"/>
              <w:left w:val="nil"/>
              <w:bottom w:val="single" w:sz="4" w:space="0" w:color="auto"/>
              <w:right w:val="nil"/>
            </w:tcBorders>
            <w:shd w:val="clear" w:color="auto" w:fill="auto"/>
            <w:vAlign w:val="center"/>
            <w:hideMark/>
          </w:tcPr>
          <w:p w14:paraId="18864385"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Rishikimi i Kodit të Cilësisë në përputhje me standardet evropiane dhe anëtarësimi i ASCAL në ENCA (European Asssociation for Quality Assurance in Higher Education)</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71D90DC5"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 </w:t>
            </w:r>
            <w:r w:rsidRPr="00727111">
              <w:rPr>
                <w:rFonts w:ascii="Garamond" w:hAnsi="Garamond"/>
                <w:color w:val="000000"/>
                <w:sz w:val="12"/>
                <w:szCs w:val="12"/>
                <w:lang w:eastAsia="sq-AL"/>
              </w:rPr>
              <w:br/>
              <w:t>Kapitulli 26 "Arsimi dhe Kultura"</w:t>
            </w:r>
          </w:p>
        </w:tc>
        <w:tc>
          <w:tcPr>
            <w:tcW w:w="1559" w:type="dxa"/>
            <w:tcBorders>
              <w:top w:val="nil"/>
              <w:left w:val="nil"/>
              <w:bottom w:val="single" w:sz="4" w:space="0" w:color="auto"/>
              <w:right w:val="single" w:sz="4" w:space="0" w:color="auto"/>
            </w:tcBorders>
            <w:shd w:val="clear" w:color="auto" w:fill="auto"/>
            <w:noWrap/>
            <w:vAlign w:val="center"/>
            <w:hideMark/>
          </w:tcPr>
          <w:p w14:paraId="2EF23135"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Po. Fusha e arsimit</w:t>
            </w:r>
          </w:p>
        </w:tc>
        <w:tc>
          <w:tcPr>
            <w:tcW w:w="1677" w:type="dxa"/>
            <w:tcBorders>
              <w:top w:val="nil"/>
              <w:left w:val="nil"/>
              <w:bottom w:val="single" w:sz="4" w:space="0" w:color="auto"/>
              <w:right w:val="single" w:sz="4" w:space="0" w:color="auto"/>
            </w:tcBorders>
            <w:shd w:val="clear" w:color="auto" w:fill="auto"/>
            <w:vAlign w:val="center"/>
            <w:hideMark/>
          </w:tcPr>
          <w:p w14:paraId="1C5694CC"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Lidhet me Strategjinë Kombëtare të Arsimit Parauniversitar 2021-2026</w:t>
            </w:r>
          </w:p>
        </w:tc>
        <w:tc>
          <w:tcPr>
            <w:tcW w:w="986" w:type="dxa"/>
            <w:tcBorders>
              <w:top w:val="nil"/>
              <w:left w:val="nil"/>
              <w:bottom w:val="single" w:sz="4" w:space="0" w:color="auto"/>
              <w:right w:val="single" w:sz="4" w:space="0" w:color="auto"/>
            </w:tcBorders>
            <w:shd w:val="clear" w:color="000000" w:fill="FFFFFF"/>
            <w:vAlign w:val="center"/>
            <w:hideMark/>
          </w:tcPr>
          <w:p w14:paraId="40972815"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 xml:space="preserve">Nuk ka efekte financiare. Ka efekte sociale pozitive. </w:t>
            </w:r>
            <w:r w:rsidRPr="00727111">
              <w:rPr>
                <w:rFonts w:ascii="Garamond" w:hAnsi="Garamond"/>
                <w:sz w:val="12"/>
                <w:szCs w:val="12"/>
                <w:lang w:eastAsia="sq-AL"/>
              </w:rPr>
              <w:br/>
              <w:t>Nuk ka efekte mjedisore</w:t>
            </w:r>
          </w:p>
        </w:tc>
      </w:tr>
      <w:tr w:rsidR="000A7DFC" w:rsidRPr="00727111" w14:paraId="2356346F"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755B2B25"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10</w:t>
            </w:r>
          </w:p>
        </w:tc>
        <w:tc>
          <w:tcPr>
            <w:tcW w:w="1232" w:type="dxa"/>
            <w:tcBorders>
              <w:top w:val="nil"/>
              <w:left w:val="nil"/>
              <w:bottom w:val="single" w:sz="4" w:space="0" w:color="auto"/>
              <w:right w:val="single" w:sz="4" w:space="0" w:color="auto"/>
            </w:tcBorders>
            <w:shd w:val="clear" w:color="auto" w:fill="auto"/>
            <w:vAlign w:val="center"/>
            <w:hideMark/>
          </w:tcPr>
          <w:p w14:paraId="45931E0F"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Për krijimin e bazës së të dhënave shtetërore Sistemi Shqiptar i Informacionit të Kërkimit Shkencor (ACRIS)</w:t>
            </w:r>
          </w:p>
        </w:tc>
        <w:tc>
          <w:tcPr>
            <w:tcW w:w="901" w:type="dxa"/>
            <w:tcBorders>
              <w:top w:val="nil"/>
              <w:left w:val="nil"/>
              <w:bottom w:val="single" w:sz="4" w:space="0" w:color="auto"/>
              <w:right w:val="single" w:sz="4" w:space="0" w:color="auto"/>
            </w:tcBorders>
            <w:shd w:val="clear" w:color="auto" w:fill="auto"/>
            <w:vAlign w:val="center"/>
            <w:hideMark/>
          </w:tcPr>
          <w:p w14:paraId="37F4FA58"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4C34D417"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21B95332"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tretë</w:t>
            </w:r>
          </w:p>
        </w:tc>
        <w:tc>
          <w:tcPr>
            <w:tcW w:w="2126" w:type="dxa"/>
            <w:tcBorders>
              <w:top w:val="nil"/>
              <w:left w:val="nil"/>
              <w:bottom w:val="single" w:sz="4" w:space="0" w:color="auto"/>
              <w:right w:val="single" w:sz="4" w:space="0" w:color="auto"/>
            </w:tcBorders>
            <w:shd w:val="clear" w:color="auto" w:fill="auto"/>
            <w:vAlign w:val="center"/>
            <w:hideMark/>
          </w:tcPr>
          <w:p w14:paraId="5DB95AA9"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Bazuar ne Ligjin Nr. 10 325, datë 23.9.2010 “Për bazat e të dhënave shtetërore” bazat e të dhënave shtetërore krijohen me vendim të të Këshillit të Ministrave. </w:t>
            </w:r>
            <w:r w:rsidRPr="00727111">
              <w:rPr>
                <w:rFonts w:ascii="Garamond" w:hAnsi="Garamond"/>
                <w:color w:val="000000"/>
                <w:sz w:val="12"/>
                <w:szCs w:val="12"/>
                <w:lang w:eastAsia="sq-AL"/>
              </w:rPr>
              <w:br/>
              <w:t xml:space="preserve">Projektakti propozohet në kuadër të ngritjes dhe funksionimit të bazës së të dhënave shtetërore Sistemi Shqiptar i Informacionit të Kërkimit Shkencor (ACRIS) </w:t>
            </w:r>
          </w:p>
        </w:tc>
        <w:tc>
          <w:tcPr>
            <w:tcW w:w="1985" w:type="dxa"/>
            <w:tcBorders>
              <w:top w:val="nil"/>
              <w:left w:val="nil"/>
              <w:bottom w:val="single" w:sz="4" w:space="0" w:color="auto"/>
              <w:right w:val="nil"/>
            </w:tcBorders>
            <w:shd w:val="clear" w:color="auto" w:fill="auto"/>
            <w:vAlign w:val="center"/>
            <w:hideMark/>
          </w:tcPr>
          <w:p w14:paraId="2AD7F9C3"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Qëllimi i këtij projektakti është të krijojë bazën e të dhënave shtetërore Sistemi Shqiptar i Informacionit të Kërkimit Shkencor (ACRIS) </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3A9564B0"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Jo</w:t>
            </w:r>
          </w:p>
        </w:tc>
        <w:tc>
          <w:tcPr>
            <w:tcW w:w="1559" w:type="dxa"/>
            <w:tcBorders>
              <w:top w:val="nil"/>
              <w:left w:val="nil"/>
              <w:bottom w:val="single" w:sz="4" w:space="0" w:color="auto"/>
              <w:right w:val="single" w:sz="4" w:space="0" w:color="auto"/>
            </w:tcBorders>
            <w:shd w:val="clear" w:color="auto" w:fill="auto"/>
            <w:vAlign w:val="center"/>
            <w:hideMark/>
          </w:tcPr>
          <w:p w14:paraId="10448C48"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arsimit</w:t>
            </w:r>
          </w:p>
        </w:tc>
        <w:tc>
          <w:tcPr>
            <w:tcW w:w="1677" w:type="dxa"/>
            <w:tcBorders>
              <w:top w:val="nil"/>
              <w:left w:val="nil"/>
              <w:bottom w:val="single" w:sz="4" w:space="0" w:color="auto"/>
              <w:right w:val="single" w:sz="4" w:space="0" w:color="auto"/>
            </w:tcBorders>
            <w:shd w:val="clear" w:color="auto" w:fill="auto"/>
            <w:vAlign w:val="center"/>
            <w:hideMark/>
          </w:tcPr>
          <w:p w14:paraId="30C65F8D"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kërkimin shkencor, teknologjinë dhe inovacionin 2023-2030</w:t>
            </w:r>
          </w:p>
        </w:tc>
        <w:tc>
          <w:tcPr>
            <w:tcW w:w="986" w:type="dxa"/>
            <w:tcBorders>
              <w:top w:val="nil"/>
              <w:left w:val="nil"/>
              <w:bottom w:val="single" w:sz="4" w:space="0" w:color="auto"/>
              <w:right w:val="single" w:sz="4" w:space="0" w:color="auto"/>
            </w:tcBorders>
            <w:shd w:val="clear" w:color="auto" w:fill="auto"/>
            <w:vAlign w:val="center"/>
            <w:hideMark/>
          </w:tcPr>
          <w:p w14:paraId="454C834F"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Ka efekte financiare brenda tavaneve buxhetore. </w:t>
            </w:r>
            <w:r w:rsidRPr="00727111">
              <w:rPr>
                <w:rFonts w:ascii="Garamond" w:hAnsi="Garamond"/>
                <w:color w:val="000000"/>
                <w:sz w:val="12"/>
                <w:szCs w:val="12"/>
                <w:lang w:eastAsia="sq-AL"/>
              </w:rPr>
              <w:br/>
              <w:t>Ka efekte sociale pozitive.</w:t>
            </w:r>
            <w:r w:rsidRPr="00727111">
              <w:rPr>
                <w:rFonts w:ascii="Garamond" w:hAnsi="Garamond"/>
                <w:color w:val="000000"/>
                <w:sz w:val="12"/>
                <w:szCs w:val="12"/>
                <w:lang w:eastAsia="sq-AL"/>
              </w:rPr>
              <w:br/>
              <w:t>Nuk ka efekte mjedisore</w:t>
            </w:r>
          </w:p>
        </w:tc>
      </w:tr>
      <w:tr w:rsidR="000A7DFC" w:rsidRPr="00727111" w14:paraId="472DE6B6"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3D264BC9"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11</w:t>
            </w:r>
          </w:p>
        </w:tc>
        <w:tc>
          <w:tcPr>
            <w:tcW w:w="1232" w:type="dxa"/>
            <w:tcBorders>
              <w:top w:val="nil"/>
              <w:left w:val="nil"/>
              <w:bottom w:val="single" w:sz="4" w:space="0" w:color="auto"/>
              <w:right w:val="single" w:sz="4" w:space="0" w:color="auto"/>
            </w:tcBorders>
            <w:shd w:val="clear" w:color="auto" w:fill="auto"/>
            <w:vAlign w:val="center"/>
            <w:hideMark/>
          </w:tcPr>
          <w:p w14:paraId="0136201C"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Për krijimin e bazës së të dhënave shtetërore të Sistemit të Menaxhimit të Informacionit të Arsimit të Lartë (SMIAL)</w:t>
            </w:r>
          </w:p>
        </w:tc>
        <w:tc>
          <w:tcPr>
            <w:tcW w:w="901" w:type="dxa"/>
            <w:tcBorders>
              <w:top w:val="nil"/>
              <w:left w:val="nil"/>
              <w:bottom w:val="single" w:sz="4" w:space="0" w:color="auto"/>
              <w:right w:val="single" w:sz="4" w:space="0" w:color="auto"/>
            </w:tcBorders>
            <w:shd w:val="clear" w:color="auto" w:fill="auto"/>
            <w:vAlign w:val="center"/>
            <w:hideMark/>
          </w:tcPr>
          <w:p w14:paraId="147A8D98"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single" w:sz="4" w:space="0" w:color="auto"/>
              <w:right w:val="single" w:sz="4" w:space="0" w:color="auto"/>
            </w:tcBorders>
            <w:shd w:val="clear" w:color="auto" w:fill="auto"/>
            <w:vAlign w:val="center"/>
            <w:hideMark/>
          </w:tcPr>
          <w:p w14:paraId="3C96B545"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7CB4EE1E"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tretë</w:t>
            </w:r>
          </w:p>
        </w:tc>
        <w:tc>
          <w:tcPr>
            <w:tcW w:w="2126" w:type="dxa"/>
            <w:tcBorders>
              <w:top w:val="nil"/>
              <w:left w:val="nil"/>
              <w:bottom w:val="single" w:sz="4" w:space="0" w:color="auto"/>
              <w:right w:val="single" w:sz="4" w:space="0" w:color="auto"/>
            </w:tcBorders>
            <w:shd w:val="clear" w:color="auto" w:fill="auto"/>
            <w:vAlign w:val="center"/>
            <w:hideMark/>
          </w:tcPr>
          <w:p w14:paraId="441FF986"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Bazuar ne Ligjin Nr. 10 325, datë 23.9.2010 “Për bazat e të dhënave shtetërore” bazat e të dhënave shtetërore krijohen me vendim të të Këshillit të Ministrave. </w:t>
            </w:r>
            <w:r w:rsidRPr="00727111">
              <w:rPr>
                <w:rFonts w:ascii="Garamond" w:hAnsi="Garamond"/>
                <w:color w:val="000000"/>
                <w:sz w:val="12"/>
                <w:szCs w:val="12"/>
                <w:lang w:eastAsia="sq-AL"/>
              </w:rPr>
              <w:br/>
              <w:t>Projektakti propozohet në kuadër të ngritjes dhe funksionimit të bazës së të dhënave shtetërore Sistemi i Menaxhimit të Informacionit të Arsimit të Lartë (SMIAL)</w:t>
            </w:r>
          </w:p>
        </w:tc>
        <w:tc>
          <w:tcPr>
            <w:tcW w:w="1985" w:type="dxa"/>
            <w:tcBorders>
              <w:top w:val="nil"/>
              <w:left w:val="nil"/>
              <w:bottom w:val="single" w:sz="4" w:space="0" w:color="auto"/>
              <w:right w:val="nil"/>
            </w:tcBorders>
            <w:shd w:val="clear" w:color="auto" w:fill="auto"/>
            <w:vAlign w:val="center"/>
            <w:hideMark/>
          </w:tcPr>
          <w:p w14:paraId="19B450A4"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Qëllimi i këtij projektakti është të krijojë bazën e të dhënave shtetërore në fushën e arsimit të lartë, Sistemi i Menaxhimit të Informacionit të Arsimit të Lartë (SMIAL) </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35865794"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 </w:t>
            </w:r>
            <w:r w:rsidRPr="00727111">
              <w:rPr>
                <w:rFonts w:ascii="Garamond" w:hAnsi="Garamond"/>
                <w:color w:val="000000"/>
                <w:sz w:val="12"/>
                <w:szCs w:val="12"/>
                <w:lang w:eastAsia="sq-AL"/>
              </w:rPr>
              <w:br/>
              <w:t>Kapitulli 26 "Arsimi dhe Kultura"</w:t>
            </w:r>
          </w:p>
        </w:tc>
        <w:tc>
          <w:tcPr>
            <w:tcW w:w="1559" w:type="dxa"/>
            <w:tcBorders>
              <w:top w:val="nil"/>
              <w:left w:val="nil"/>
              <w:bottom w:val="single" w:sz="4" w:space="0" w:color="auto"/>
              <w:right w:val="single" w:sz="4" w:space="0" w:color="auto"/>
            </w:tcBorders>
            <w:shd w:val="clear" w:color="auto" w:fill="auto"/>
            <w:vAlign w:val="center"/>
            <w:hideMark/>
          </w:tcPr>
          <w:p w14:paraId="7DDAA4D9"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arsimit</w:t>
            </w:r>
          </w:p>
        </w:tc>
        <w:tc>
          <w:tcPr>
            <w:tcW w:w="1677" w:type="dxa"/>
            <w:tcBorders>
              <w:top w:val="nil"/>
              <w:left w:val="nil"/>
              <w:bottom w:val="single" w:sz="4" w:space="0" w:color="auto"/>
              <w:right w:val="single" w:sz="4" w:space="0" w:color="auto"/>
            </w:tcBorders>
            <w:shd w:val="clear" w:color="auto" w:fill="auto"/>
            <w:vAlign w:val="center"/>
            <w:hideMark/>
          </w:tcPr>
          <w:p w14:paraId="47F3221A"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Lidhet me Strategjinë Kombëtare të Arsimit Parauniversitar 2021-2026</w:t>
            </w:r>
          </w:p>
        </w:tc>
        <w:tc>
          <w:tcPr>
            <w:tcW w:w="986" w:type="dxa"/>
            <w:tcBorders>
              <w:top w:val="nil"/>
              <w:left w:val="nil"/>
              <w:bottom w:val="single" w:sz="4" w:space="0" w:color="auto"/>
              <w:right w:val="single" w:sz="4" w:space="0" w:color="auto"/>
            </w:tcBorders>
            <w:shd w:val="clear" w:color="000000" w:fill="FFFFFF"/>
            <w:vAlign w:val="center"/>
            <w:hideMark/>
          </w:tcPr>
          <w:p w14:paraId="5570104B"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Nuk ka efekte financiare. Ka efekte sociale pozitive. </w:t>
            </w:r>
            <w:r w:rsidRPr="00727111">
              <w:rPr>
                <w:rFonts w:ascii="Garamond" w:hAnsi="Garamond"/>
                <w:color w:val="000000"/>
                <w:sz w:val="12"/>
                <w:szCs w:val="12"/>
                <w:lang w:eastAsia="sq-AL"/>
              </w:rPr>
              <w:br/>
              <w:t>Nuk ka efekte mjedisore</w:t>
            </w:r>
          </w:p>
        </w:tc>
      </w:tr>
      <w:tr w:rsidR="000A7DFC" w:rsidRPr="00727111" w14:paraId="3505AF63"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46F8A950"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12</w:t>
            </w:r>
          </w:p>
        </w:tc>
        <w:tc>
          <w:tcPr>
            <w:tcW w:w="1232" w:type="dxa"/>
            <w:tcBorders>
              <w:top w:val="nil"/>
              <w:left w:val="nil"/>
              <w:bottom w:val="nil"/>
              <w:right w:val="single" w:sz="4" w:space="0" w:color="auto"/>
            </w:tcBorders>
            <w:shd w:val="clear" w:color="auto" w:fill="auto"/>
            <w:vAlign w:val="center"/>
            <w:hideMark/>
          </w:tcPr>
          <w:p w14:paraId="4C8429B2"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Për një ndyshim në vendimin nr. 741, datë 03.12.2021 të Këshillit të Ministrave "Për krijimin e bazës së të dhënave shtetërore të Sistemit të Provimit të Shtetit (SPSH)”</w:t>
            </w:r>
          </w:p>
        </w:tc>
        <w:tc>
          <w:tcPr>
            <w:tcW w:w="901" w:type="dxa"/>
            <w:tcBorders>
              <w:top w:val="nil"/>
              <w:left w:val="nil"/>
              <w:bottom w:val="single" w:sz="4" w:space="0" w:color="auto"/>
              <w:right w:val="single" w:sz="4" w:space="0" w:color="auto"/>
            </w:tcBorders>
            <w:shd w:val="clear" w:color="auto" w:fill="auto"/>
            <w:vAlign w:val="center"/>
            <w:hideMark/>
          </w:tcPr>
          <w:p w14:paraId="05405E05"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nil"/>
              <w:left w:val="nil"/>
              <w:bottom w:val="nil"/>
              <w:right w:val="single" w:sz="4" w:space="0" w:color="auto"/>
            </w:tcBorders>
            <w:shd w:val="clear" w:color="auto" w:fill="auto"/>
            <w:vAlign w:val="center"/>
            <w:hideMark/>
          </w:tcPr>
          <w:p w14:paraId="11639CD1"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3583BDD7"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tretë</w:t>
            </w:r>
          </w:p>
        </w:tc>
        <w:tc>
          <w:tcPr>
            <w:tcW w:w="2126" w:type="dxa"/>
            <w:tcBorders>
              <w:top w:val="nil"/>
              <w:left w:val="nil"/>
              <w:bottom w:val="nil"/>
              <w:right w:val="single" w:sz="4" w:space="0" w:color="auto"/>
            </w:tcBorders>
            <w:shd w:val="clear" w:color="auto" w:fill="auto"/>
            <w:vAlign w:val="center"/>
            <w:hideMark/>
          </w:tcPr>
          <w:p w14:paraId="1A16B8A0"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Bazuar ne Ligjin Nr. 10 325, datë 23.9.2010 “Për bazat e të dhënave shtetërore”  </w:t>
            </w:r>
            <w:r w:rsidRPr="00727111">
              <w:rPr>
                <w:rFonts w:ascii="Garamond" w:hAnsi="Garamond"/>
                <w:color w:val="000000"/>
                <w:sz w:val="12"/>
                <w:szCs w:val="12"/>
                <w:lang w:eastAsia="sq-AL"/>
              </w:rPr>
              <w:br/>
              <w:t xml:space="preserve">Referuar ndryshimeve që ka pësuar portali "Mësues për Shqipërinë" duke kaluar administrimi nga Qendra Ndërinstitucionale e Rrjetit Akademik Shqiptar (RASH) në Sistemin e Provimeve të Shtetit nën administrimin e Qendrës së Shërbimeve Arsimore (QSHA) lind nevoja e shtimit të elementëve të portalit "Mësues për Shqipërinë" në vendimin nr. 741, datë 03.12.2021 të Këshillit të Ministrave "Për krijimin e bazës së të dhënave shtetërore të Sistemit të Provimit të Shtetit (SPSH)” </w:t>
            </w:r>
          </w:p>
        </w:tc>
        <w:tc>
          <w:tcPr>
            <w:tcW w:w="1985" w:type="dxa"/>
            <w:tcBorders>
              <w:top w:val="nil"/>
              <w:left w:val="nil"/>
              <w:bottom w:val="nil"/>
              <w:right w:val="nil"/>
            </w:tcBorders>
            <w:shd w:val="clear" w:color="auto" w:fill="auto"/>
            <w:vAlign w:val="center"/>
            <w:hideMark/>
          </w:tcPr>
          <w:p w14:paraId="74B58B98"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Qëllimi i këtij projektakti është të ndryshojë përcaktimet lidhur me bazën e të dhënave shtetërore të Sistemit të Provimit të Shtetit (SPSH)</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73B92C45"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Jo</w:t>
            </w:r>
          </w:p>
        </w:tc>
        <w:tc>
          <w:tcPr>
            <w:tcW w:w="1559" w:type="dxa"/>
            <w:tcBorders>
              <w:top w:val="nil"/>
              <w:left w:val="nil"/>
              <w:bottom w:val="nil"/>
              <w:right w:val="single" w:sz="4" w:space="0" w:color="auto"/>
            </w:tcBorders>
            <w:shd w:val="clear" w:color="auto" w:fill="auto"/>
            <w:vAlign w:val="center"/>
            <w:hideMark/>
          </w:tcPr>
          <w:p w14:paraId="21E43C31"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arsimit</w:t>
            </w:r>
          </w:p>
        </w:tc>
        <w:tc>
          <w:tcPr>
            <w:tcW w:w="1677" w:type="dxa"/>
            <w:tcBorders>
              <w:top w:val="nil"/>
              <w:left w:val="nil"/>
              <w:bottom w:val="nil"/>
              <w:right w:val="single" w:sz="4" w:space="0" w:color="auto"/>
            </w:tcBorders>
            <w:shd w:val="clear" w:color="auto" w:fill="auto"/>
            <w:vAlign w:val="center"/>
            <w:hideMark/>
          </w:tcPr>
          <w:p w14:paraId="4BE5F7A5"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Lidhet me Strategjinë Kombëtare të Arsimit Parauniversitar 2021-2026</w:t>
            </w:r>
          </w:p>
        </w:tc>
        <w:tc>
          <w:tcPr>
            <w:tcW w:w="986" w:type="dxa"/>
            <w:tcBorders>
              <w:top w:val="nil"/>
              <w:left w:val="nil"/>
              <w:bottom w:val="single" w:sz="4" w:space="0" w:color="auto"/>
              <w:right w:val="single" w:sz="4" w:space="0" w:color="auto"/>
            </w:tcBorders>
            <w:shd w:val="clear" w:color="000000" w:fill="FFFFFF"/>
            <w:vAlign w:val="center"/>
            <w:hideMark/>
          </w:tcPr>
          <w:p w14:paraId="505A5898"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Nuk ka efekte financiare. Ka efekte sociale pozitive. </w:t>
            </w:r>
            <w:r w:rsidRPr="00727111">
              <w:rPr>
                <w:rFonts w:ascii="Garamond" w:hAnsi="Garamond"/>
                <w:color w:val="000000"/>
                <w:sz w:val="12"/>
                <w:szCs w:val="12"/>
                <w:lang w:eastAsia="sq-AL"/>
              </w:rPr>
              <w:br/>
              <w:t>Nuk ka efekte mjedisore</w:t>
            </w:r>
          </w:p>
        </w:tc>
      </w:tr>
      <w:tr w:rsidR="000A7DFC" w:rsidRPr="00727111" w14:paraId="2DD25727" w14:textId="77777777" w:rsidTr="000A7DFC">
        <w:trPr>
          <w:trHeight w:val="180"/>
          <w:jc w:val="center"/>
        </w:trPr>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36263F95" w14:textId="77777777" w:rsidR="000A7DFC" w:rsidRPr="00727111" w:rsidRDefault="000A7DFC" w:rsidP="000A7DFC">
            <w:pPr>
              <w:jc w:val="right"/>
              <w:rPr>
                <w:rFonts w:ascii="Garamond" w:hAnsi="Garamond"/>
                <w:color w:val="000000"/>
                <w:sz w:val="12"/>
                <w:szCs w:val="12"/>
                <w:lang w:eastAsia="sq-AL"/>
              </w:rPr>
            </w:pPr>
            <w:r w:rsidRPr="00727111">
              <w:rPr>
                <w:rFonts w:ascii="Garamond" w:hAnsi="Garamond"/>
                <w:color w:val="000000"/>
                <w:sz w:val="12"/>
                <w:szCs w:val="12"/>
                <w:lang w:eastAsia="sq-AL"/>
              </w:rPr>
              <w:t>13</w:t>
            </w:r>
          </w:p>
        </w:tc>
        <w:tc>
          <w:tcPr>
            <w:tcW w:w="1232" w:type="dxa"/>
            <w:tcBorders>
              <w:top w:val="single" w:sz="4" w:space="0" w:color="auto"/>
              <w:left w:val="nil"/>
              <w:bottom w:val="single" w:sz="4" w:space="0" w:color="auto"/>
              <w:right w:val="single" w:sz="4" w:space="0" w:color="auto"/>
            </w:tcBorders>
            <w:shd w:val="clear" w:color="auto" w:fill="auto"/>
            <w:vAlign w:val="center"/>
            <w:hideMark/>
          </w:tcPr>
          <w:p w14:paraId="74621011" w14:textId="77777777" w:rsidR="000A7DFC" w:rsidRPr="00727111" w:rsidRDefault="000A7DFC" w:rsidP="000A7DFC">
            <w:pPr>
              <w:jc w:val="center"/>
              <w:rPr>
                <w:rFonts w:ascii="Garamond" w:hAnsi="Garamond"/>
                <w:sz w:val="12"/>
                <w:szCs w:val="12"/>
                <w:lang w:eastAsia="sq-AL"/>
              </w:rPr>
            </w:pPr>
            <w:r w:rsidRPr="00727111">
              <w:rPr>
                <w:rFonts w:ascii="Garamond" w:hAnsi="Garamond"/>
                <w:sz w:val="12"/>
                <w:szCs w:val="12"/>
                <w:lang w:eastAsia="sq-AL"/>
              </w:rPr>
              <w:t>Për disa ndryshime në vendimin nr. 789, të Këshillit të Ministrave, datë 15.12.2021 “Për kriteret, mënyrën e shpërblimit dhe trajtimin e sportistëve, që përfitojnë statusin e nivelit të lartë, dhe trajnerëve të tyre”, i ndryshuar</w:t>
            </w:r>
          </w:p>
        </w:tc>
        <w:tc>
          <w:tcPr>
            <w:tcW w:w="901" w:type="dxa"/>
            <w:tcBorders>
              <w:top w:val="nil"/>
              <w:left w:val="nil"/>
              <w:bottom w:val="single" w:sz="4" w:space="0" w:color="auto"/>
              <w:right w:val="single" w:sz="4" w:space="0" w:color="auto"/>
            </w:tcBorders>
            <w:shd w:val="clear" w:color="auto" w:fill="auto"/>
            <w:vAlign w:val="center"/>
            <w:hideMark/>
          </w:tcPr>
          <w:p w14:paraId="710F4D51"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74" w:type="dxa"/>
            <w:tcBorders>
              <w:top w:val="single" w:sz="4" w:space="0" w:color="auto"/>
              <w:left w:val="nil"/>
              <w:bottom w:val="single" w:sz="4" w:space="0" w:color="auto"/>
              <w:right w:val="single" w:sz="4" w:space="0" w:color="auto"/>
            </w:tcBorders>
            <w:shd w:val="clear" w:color="auto" w:fill="auto"/>
            <w:vAlign w:val="center"/>
            <w:hideMark/>
          </w:tcPr>
          <w:p w14:paraId="7316010D"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Ministri i Arsimit dhe Sportit</w:t>
            </w:r>
          </w:p>
        </w:tc>
        <w:tc>
          <w:tcPr>
            <w:tcW w:w="1417" w:type="dxa"/>
            <w:tcBorders>
              <w:top w:val="nil"/>
              <w:left w:val="nil"/>
              <w:bottom w:val="single" w:sz="4" w:space="0" w:color="auto"/>
              <w:right w:val="single" w:sz="4" w:space="0" w:color="auto"/>
            </w:tcBorders>
            <w:shd w:val="clear" w:color="auto" w:fill="auto"/>
            <w:vAlign w:val="center"/>
            <w:hideMark/>
          </w:tcPr>
          <w:p w14:paraId="2E334DD4"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tretë</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013D8C78" w14:textId="77777777" w:rsidR="000A7DFC" w:rsidRPr="00727111" w:rsidRDefault="000A7DFC" w:rsidP="000A7DFC">
            <w:pPr>
              <w:jc w:val="both"/>
              <w:rPr>
                <w:rFonts w:ascii="Garamond" w:hAnsi="Garamond"/>
                <w:color w:val="000000"/>
                <w:sz w:val="12"/>
                <w:szCs w:val="12"/>
                <w:lang w:eastAsia="sq-AL"/>
              </w:rPr>
            </w:pPr>
            <w:r w:rsidRPr="00727111">
              <w:rPr>
                <w:rFonts w:ascii="Garamond" w:hAnsi="Garamond"/>
                <w:color w:val="000000"/>
                <w:sz w:val="12"/>
                <w:szCs w:val="12"/>
                <w:lang w:eastAsia="sq-AL"/>
              </w:rPr>
              <w:t>Përmirësim i kuadrit ligjor për shpërblimin e sportistëve elitarë</w:t>
            </w:r>
          </w:p>
        </w:tc>
        <w:tc>
          <w:tcPr>
            <w:tcW w:w="1985" w:type="dxa"/>
            <w:tcBorders>
              <w:top w:val="single" w:sz="4" w:space="0" w:color="auto"/>
              <w:left w:val="nil"/>
              <w:bottom w:val="single" w:sz="4" w:space="0" w:color="auto"/>
              <w:right w:val="nil"/>
            </w:tcBorders>
            <w:shd w:val="clear" w:color="auto" w:fill="auto"/>
            <w:vAlign w:val="center"/>
            <w:hideMark/>
          </w:tcPr>
          <w:p w14:paraId="314291E4"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Rishikim të masave të shperblimeve për sportistë dhe sporte të caktuara. </w:t>
            </w:r>
            <w:r w:rsidRPr="00727111">
              <w:rPr>
                <w:rFonts w:ascii="Garamond" w:hAnsi="Garamond"/>
                <w:color w:val="000000"/>
                <w:sz w:val="12"/>
                <w:szCs w:val="12"/>
                <w:lang w:eastAsia="sq-AL"/>
              </w:rPr>
              <w:br/>
              <w:t>Rishikim i përkufizimit të dopingut në garë dhe jashtë saj</w:t>
            </w:r>
          </w:p>
        </w:tc>
        <w:tc>
          <w:tcPr>
            <w:tcW w:w="1559" w:type="dxa"/>
            <w:tcBorders>
              <w:top w:val="nil"/>
              <w:left w:val="single" w:sz="4" w:space="0" w:color="000000"/>
              <w:bottom w:val="single" w:sz="4" w:space="0" w:color="000000"/>
              <w:right w:val="single" w:sz="4" w:space="0" w:color="000000"/>
            </w:tcBorders>
            <w:shd w:val="clear" w:color="auto" w:fill="auto"/>
            <w:vAlign w:val="center"/>
            <w:hideMark/>
          </w:tcPr>
          <w:p w14:paraId="61E39771"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335B78E"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Po. Fusha e sportit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6ECFC183"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86" w:type="dxa"/>
            <w:tcBorders>
              <w:top w:val="nil"/>
              <w:left w:val="nil"/>
              <w:bottom w:val="single" w:sz="4" w:space="0" w:color="auto"/>
              <w:right w:val="single" w:sz="4" w:space="0" w:color="auto"/>
            </w:tcBorders>
            <w:shd w:val="clear" w:color="000000" w:fill="FFFFFF"/>
            <w:vAlign w:val="center"/>
            <w:hideMark/>
          </w:tcPr>
          <w:p w14:paraId="333FB367" w14:textId="77777777" w:rsidR="000A7DFC" w:rsidRPr="00727111" w:rsidRDefault="000A7DFC" w:rsidP="000A7DFC">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Nuk ka efekte financiare. Ka efekte sociale pozitive. </w:t>
            </w:r>
            <w:r w:rsidRPr="00727111">
              <w:rPr>
                <w:rFonts w:ascii="Garamond" w:hAnsi="Garamond"/>
                <w:color w:val="000000"/>
                <w:sz w:val="12"/>
                <w:szCs w:val="12"/>
                <w:lang w:eastAsia="sq-AL"/>
              </w:rPr>
              <w:br/>
              <w:t>Nuk ka efekte mjedisore</w:t>
            </w:r>
          </w:p>
        </w:tc>
      </w:tr>
    </w:tbl>
    <w:p w14:paraId="14BB08EB" w14:textId="27ECFC7C" w:rsidR="000A7DFC" w:rsidRPr="00727111" w:rsidRDefault="000A7DFC" w:rsidP="00593BF4">
      <w:pPr>
        <w:ind w:firstLine="284"/>
        <w:jc w:val="both"/>
        <w:rPr>
          <w:rFonts w:ascii="Garamond" w:hAnsi="Garamond"/>
          <w:b/>
          <w:sz w:val="24"/>
        </w:rPr>
      </w:pPr>
    </w:p>
    <w:p w14:paraId="499EF6FD" w14:textId="72762EDC" w:rsidR="000A7DFC" w:rsidRPr="00727111" w:rsidRDefault="000A7DFC" w:rsidP="00593BF4">
      <w:pPr>
        <w:ind w:firstLine="284"/>
        <w:jc w:val="both"/>
        <w:rPr>
          <w:rFonts w:ascii="Garamond" w:hAnsi="Garamond"/>
          <w:b/>
          <w:sz w:val="24"/>
        </w:rPr>
      </w:pPr>
    </w:p>
    <w:p w14:paraId="3AF09DCA" w14:textId="3BE22F91" w:rsidR="000A7DFC" w:rsidRPr="00727111" w:rsidRDefault="000A7DFC" w:rsidP="00593BF4">
      <w:pPr>
        <w:ind w:firstLine="284"/>
        <w:jc w:val="both"/>
        <w:rPr>
          <w:rFonts w:ascii="Garamond" w:hAnsi="Garamond"/>
          <w:b/>
          <w:sz w:val="24"/>
        </w:rPr>
      </w:pPr>
    </w:p>
    <w:p w14:paraId="6F4797B4" w14:textId="2893BFEA" w:rsidR="000A7DFC" w:rsidRPr="00727111" w:rsidRDefault="000A7DFC" w:rsidP="00593BF4">
      <w:pPr>
        <w:ind w:firstLine="284"/>
        <w:jc w:val="both"/>
        <w:rPr>
          <w:rFonts w:ascii="Garamond" w:hAnsi="Garamond"/>
          <w:b/>
          <w:sz w:val="24"/>
        </w:rPr>
      </w:pPr>
    </w:p>
    <w:p w14:paraId="473640A9" w14:textId="075B6645" w:rsidR="000A7DFC" w:rsidRPr="00727111" w:rsidRDefault="000A7DFC" w:rsidP="00593BF4">
      <w:pPr>
        <w:ind w:firstLine="284"/>
        <w:jc w:val="both"/>
        <w:rPr>
          <w:rFonts w:ascii="Garamond" w:hAnsi="Garamond"/>
          <w:b/>
          <w:sz w:val="24"/>
        </w:rPr>
      </w:pPr>
    </w:p>
    <w:p w14:paraId="586F147F" w14:textId="38722527" w:rsidR="000A7DFC" w:rsidRPr="00727111" w:rsidRDefault="000A7DFC" w:rsidP="00593BF4">
      <w:pPr>
        <w:ind w:firstLine="284"/>
        <w:jc w:val="both"/>
        <w:rPr>
          <w:rFonts w:ascii="Garamond" w:hAnsi="Garamond"/>
          <w:b/>
          <w:sz w:val="24"/>
        </w:rPr>
      </w:pPr>
    </w:p>
    <w:p w14:paraId="0E081AEB" w14:textId="67FD635D" w:rsidR="000A7DFC" w:rsidRPr="00727111" w:rsidRDefault="000A7DFC" w:rsidP="00593BF4">
      <w:pPr>
        <w:ind w:firstLine="284"/>
        <w:jc w:val="both"/>
        <w:rPr>
          <w:rFonts w:ascii="Garamond" w:hAnsi="Garamond"/>
          <w:b/>
          <w:sz w:val="24"/>
        </w:rPr>
      </w:pPr>
    </w:p>
    <w:p w14:paraId="7ED9D740" w14:textId="0623A4BF" w:rsidR="000A7DFC" w:rsidRPr="00727111" w:rsidRDefault="000A7DFC" w:rsidP="00593BF4">
      <w:pPr>
        <w:ind w:firstLine="284"/>
        <w:jc w:val="both"/>
        <w:rPr>
          <w:rFonts w:ascii="Garamond" w:hAnsi="Garamond"/>
          <w:b/>
          <w:sz w:val="24"/>
        </w:rPr>
      </w:pPr>
    </w:p>
    <w:p w14:paraId="2073D57B" w14:textId="16D19BF7" w:rsidR="000A7DFC" w:rsidRPr="00727111" w:rsidRDefault="000A7DFC" w:rsidP="00593BF4">
      <w:pPr>
        <w:ind w:firstLine="284"/>
        <w:jc w:val="both"/>
        <w:rPr>
          <w:rFonts w:ascii="Garamond" w:hAnsi="Garamond"/>
          <w:b/>
          <w:sz w:val="24"/>
        </w:rPr>
      </w:pPr>
    </w:p>
    <w:p w14:paraId="025902C3" w14:textId="43746DDA" w:rsidR="000A7DFC" w:rsidRPr="00727111" w:rsidRDefault="000A7DFC" w:rsidP="00593BF4">
      <w:pPr>
        <w:ind w:firstLine="284"/>
        <w:jc w:val="both"/>
        <w:rPr>
          <w:rFonts w:ascii="Garamond" w:hAnsi="Garamond"/>
          <w:b/>
          <w:sz w:val="24"/>
        </w:rPr>
      </w:pPr>
    </w:p>
    <w:p w14:paraId="64A72FCA" w14:textId="77777777" w:rsidR="00B90AA2" w:rsidRPr="00727111" w:rsidRDefault="00B90AA2" w:rsidP="00593BF4">
      <w:pPr>
        <w:ind w:firstLine="284"/>
        <w:jc w:val="both"/>
        <w:rPr>
          <w:rFonts w:ascii="Garamond" w:hAnsi="Garamond"/>
          <w:b/>
          <w:sz w:val="24"/>
        </w:rPr>
      </w:pPr>
    </w:p>
    <w:tbl>
      <w:tblPr>
        <w:tblW w:w="14064" w:type="dxa"/>
        <w:jc w:val="center"/>
        <w:tblLayout w:type="fixed"/>
        <w:tblLook w:val="04A0" w:firstRow="1" w:lastRow="0" w:firstColumn="1" w:lastColumn="0" w:noHBand="0" w:noVBand="1"/>
      </w:tblPr>
      <w:tblGrid>
        <w:gridCol w:w="386"/>
        <w:gridCol w:w="2303"/>
        <w:gridCol w:w="992"/>
        <w:gridCol w:w="992"/>
        <w:gridCol w:w="1052"/>
        <w:gridCol w:w="2067"/>
        <w:gridCol w:w="2211"/>
        <w:gridCol w:w="850"/>
        <w:gridCol w:w="1050"/>
        <w:gridCol w:w="923"/>
        <w:gridCol w:w="1238"/>
      </w:tblGrid>
      <w:tr w:rsidR="00B90AA2" w:rsidRPr="00727111" w14:paraId="5A368350" w14:textId="77777777" w:rsidTr="00B90AA2">
        <w:trPr>
          <w:trHeight w:val="180"/>
          <w:jc w:val="center"/>
        </w:trPr>
        <w:tc>
          <w:tcPr>
            <w:tcW w:w="14064"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20BEFE82" w14:textId="77777777" w:rsidR="00B90AA2" w:rsidRPr="00727111" w:rsidRDefault="00B90AA2" w:rsidP="00B90AA2">
            <w:pPr>
              <w:jc w:val="center"/>
              <w:rPr>
                <w:rFonts w:ascii="Garamond" w:hAnsi="Garamond"/>
                <w:b/>
                <w:bCs/>
                <w:sz w:val="12"/>
                <w:szCs w:val="12"/>
                <w:lang w:eastAsia="sq-AL"/>
              </w:rPr>
            </w:pPr>
            <w:bookmarkStart w:id="6" w:name="RANGE!A1:K22"/>
            <w:r w:rsidRPr="00727111">
              <w:rPr>
                <w:rFonts w:ascii="Garamond" w:hAnsi="Garamond"/>
                <w:b/>
                <w:bCs/>
                <w:sz w:val="12"/>
                <w:szCs w:val="12"/>
                <w:lang w:eastAsia="sq-AL"/>
              </w:rPr>
              <w:t>Programi i Përgjithshëm Analitik i Projektakteve për vitin 2025</w:t>
            </w:r>
            <w:bookmarkEnd w:id="6"/>
          </w:p>
        </w:tc>
      </w:tr>
      <w:tr w:rsidR="00B90AA2" w:rsidRPr="00727111" w14:paraId="74ADBAE1" w14:textId="77777777" w:rsidTr="00B90AA2">
        <w:trPr>
          <w:trHeight w:val="180"/>
          <w:jc w:val="center"/>
        </w:trPr>
        <w:tc>
          <w:tcPr>
            <w:tcW w:w="14064"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785875D7" w14:textId="77777777" w:rsidR="00B90AA2" w:rsidRPr="00727111" w:rsidRDefault="00B90AA2" w:rsidP="00B90AA2">
            <w:pPr>
              <w:jc w:val="center"/>
              <w:rPr>
                <w:rFonts w:ascii="Garamond" w:hAnsi="Garamond"/>
                <w:b/>
                <w:bCs/>
                <w:sz w:val="12"/>
                <w:szCs w:val="12"/>
                <w:lang w:eastAsia="sq-AL"/>
              </w:rPr>
            </w:pPr>
            <w:r w:rsidRPr="00727111">
              <w:rPr>
                <w:rFonts w:ascii="Garamond" w:hAnsi="Garamond"/>
                <w:b/>
                <w:bCs/>
                <w:sz w:val="12"/>
                <w:szCs w:val="12"/>
                <w:lang w:eastAsia="sq-AL"/>
              </w:rPr>
              <w:t>Ministria e Brendshme</w:t>
            </w:r>
          </w:p>
        </w:tc>
      </w:tr>
      <w:tr w:rsidR="00B90AA2" w:rsidRPr="00727111" w14:paraId="78622572"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000000" w:fill="C00000"/>
            <w:vAlign w:val="center"/>
            <w:hideMark/>
          </w:tcPr>
          <w:p w14:paraId="47E73AA8"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Nr.</w:t>
            </w:r>
          </w:p>
        </w:tc>
        <w:tc>
          <w:tcPr>
            <w:tcW w:w="2303" w:type="dxa"/>
            <w:tcBorders>
              <w:top w:val="nil"/>
              <w:left w:val="nil"/>
              <w:bottom w:val="single" w:sz="4" w:space="0" w:color="auto"/>
              <w:right w:val="single" w:sz="4" w:space="0" w:color="auto"/>
            </w:tcBorders>
            <w:shd w:val="clear" w:color="000000" w:fill="C00000"/>
            <w:vAlign w:val="center"/>
            <w:hideMark/>
          </w:tcPr>
          <w:p w14:paraId="0CC20EAF"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Titulli i projektaktit</w:t>
            </w:r>
          </w:p>
        </w:tc>
        <w:tc>
          <w:tcPr>
            <w:tcW w:w="992" w:type="dxa"/>
            <w:tcBorders>
              <w:top w:val="nil"/>
              <w:left w:val="nil"/>
              <w:bottom w:val="single" w:sz="4" w:space="0" w:color="auto"/>
              <w:right w:val="single" w:sz="4" w:space="0" w:color="auto"/>
            </w:tcBorders>
            <w:shd w:val="clear" w:color="000000" w:fill="C00000"/>
            <w:vAlign w:val="center"/>
            <w:hideMark/>
          </w:tcPr>
          <w:p w14:paraId="0BBA0647"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Lloji i projektaktit</w:t>
            </w:r>
          </w:p>
        </w:tc>
        <w:tc>
          <w:tcPr>
            <w:tcW w:w="992" w:type="dxa"/>
            <w:tcBorders>
              <w:top w:val="nil"/>
              <w:left w:val="nil"/>
              <w:bottom w:val="single" w:sz="4" w:space="0" w:color="auto"/>
              <w:right w:val="single" w:sz="4" w:space="0" w:color="auto"/>
            </w:tcBorders>
            <w:shd w:val="clear" w:color="000000" w:fill="C00000"/>
            <w:vAlign w:val="center"/>
            <w:hideMark/>
          </w:tcPr>
          <w:p w14:paraId="7A8F75D5"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Ministri propozues</w:t>
            </w:r>
          </w:p>
        </w:tc>
        <w:tc>
          <w:tcPr>
            <w:tcW w:w="1052" w:type="dxa"/>
            <w:tcBorders>
              <w:top w:val="nil"/>
              <w:left w:val="nil"/>
              <w:bottom w:val="single" w:sz="4" w:space="0" w:color="auto"/>
              <w:right w:val="single" w:sz="4" w:space="0" w:color="auto"/>
            </w:tcBorders>
            <w:shd w:val="clear" w:color="000000" w:fill="C00000"/>
            <w:vAlign w:val="center"/>
            <w:hideMark/>
          </w:tcPr>
          <w:p w14:paraId="6CA85461"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Katër mujori</w:t>
            </w:r>
          </w:p>
        </w:tc>
        <w:tc>
          <w:tcPr>
            <w:tcW w:w="2067" w:type="dxa"/>
            <w:tcBorders>
              <w:top w:val="nil"/>
              <w:left w:val="nil"/>
              <w:bottom w:val="single" w:sz="4" w:space="0" w:color="auto"/>
              <w:right w:val="single" w:sz="4" w:space="0" w:color="auto"/>
            </w:tcBorders>
            <w:shd w:val="clear" w:color="000000" w:fill="C00000"/>
            <w:vAlign w:val="center"/>
            <w:hideMark/>
          </w:tcPr>
          <w:p w14:paraId="10B9EB94"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Arsyet kryesore për propozimin e projektaktit</w:t>
            </w:r>
          </w:p>
        </w:tc>
        <w:tc>
          <w:tcPr>
            <w:tcW w:w="2211" w:type="dxa"/>
            <w:tcBorders>
              <w:top w:val="nil"/>
              <w:left w:val="nil"/>
              <w:bottom w:val="single" w:sz="4" w:space="0" w:color="auto"/>
              <w:right w:val="single" w:sz="4" w:space="0" w:color="auto"/>
            </w:tcBorders>
            <w:shd w:val="clear" w:color="000000" w:fill="C00000"/>
            <w:vAlign w:val="center"/>
            <w:hideMark/>
          </w:tcPr>
          <w:p w14:paraId="478F3441"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 xml:space="preserve">Çështjet kryesore që parashikon të rregullojë projektakti </w:t>
            </w:r>
          </w:p>
        </w:tc>
        <w:tc>
          <w:tcPr>
            <w:tcW w:w="850" w:type="dxa"/>
            <w:tcBorders>
              <w:top w:val="nil"/>
              <w:left w:val="nil"/>
              <w:bottom w:val="single" w:sz="4" w:space="0" w:color="auto"/>
              <w:right w:val="single" w:sz="4" w:space="0" w:color="auto"/>
            </w:tcBorders>
            <w:shd w:val="clear" w:color="000000" w:fill="C00000"/>
            <w:vAlign w:val="center"/>
            <w:hideMark/>
          </w:tcPr>
          <w:p w14:paraId="5BD470E3"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 është parashikuar projektakti në PKIE?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po, të specifikohet kapitulli përkatës</w:t>
            </w:r>
          </w:p>
        </w:tc>
        <w:tc>
          <w:tcPr>
            <w:tcW w:w="1050" w:type="dxa"/>
            <w:tcBorders>
              <w:top w:val="nil"/>
              <w:left w:val="nil"/>
              <w:bottom w:val="single" w:sz="4" w:space="0" w:color="auto"/>
              <w:right w:val="single" w:sz="4" w:space="0" w:color="auto"/>
            </w:tcBorders>
            <w:shd w:val="clear" w:color="000000" w:fill="C00000"/>
            <w:vAlign w:val="center"/>
            <w:hideMark/>
          </w:tcPr>
          <w:p w14:paraId="7FFB950B"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Përputhshmëria e projektaktit me programin politik qeverisës 2021-2025</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përputhet, të jepet  referenca e saktë në progam</w:t>
            </w:r>
          </w:p>
        </w:tc>
        <w:tc>
          <w:tcPr>
            <w:tcW w:w="923" w:type="dxa"/>
            <w:tcBorders>
              <w:top w:val="nil"/>
              <w:left w:val="nil"/>
              <w:bottom w:val="single" w:sz="4" w:space="0" w:color="auto"/>
              <w:right w:val="single" w:sz="4" w:space="0" w:color="auto"/>
            </w:tcBorders>
            <w:shd w:val="clear" w:color="000000" w:fill="C00000"/>
            <w:vAlign w:val="center"/>
            <w:hideMark/>
          </w:tcPr>
          <w:p w14:paraId="7191CC5E"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Lidhja e projektaktit me strategjitë kombëtare dhe sektoriale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lidhet, të specifikohen strategjitë</w:t>
            </w:r>
          </w:p>
        </w:tc>
        <w:tc>
          <w:tcPr>
            <w:tcW w:w="1238" w:type="dxa"/>
            <w:tcBorders>
              <w:top w:val="nil"/>
              <w:left w:val="nil"/>
              <w:bottom w:val="single" w:sz="4" w:space="0" w:color="auto"/>
              <w:right w:val="single" w:sz="4" w:space="0" w:color="auto"/>
            </w:tcBorders>
            <w:shd w:val="clear" w:color="000000" w:fill="C00000"/>
            <w:vAlign w:val="center"/>
            <w:hideMark/>
          </w:tcPr>
          <w:p w14:paraId="015A1848" w14:textId="77777777" w:rsidR="00B90AA2" w:rsidRPr="00727111" w:rsidRDefault="00B90AA2" w:rsidP="00B90AA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Ndikimet e mundshme ekonomike, financiare, sociale dhe mjedisore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 xml:space="preserve">Përgjigjuni me Po/Jo për ndikimet përkatëse </w:t>
            </w:r>
          </w:p>
        </w:tc>
      </w:tr>
      <w:tr w:rsidR="00B90AA2" w:rsidRPr="00727111" w14:paraId="7F8C4E49"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6843757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w:t>
            </w:r>
          </w:p>
        </w:tc>
        <w:tc>
          <w:tcPr>
            <w:tcW w:w="2303" w:type="dxa"/>
            <w:tcBorders>
              <w:top w:val="nil"/>
              <w:left w:val="nil"/>
              <w:bottom w:val="nil"/>
              <w:right w:val="nil"/>
            </w:tcBorders>
            <w:shd w:val="clear" w:color="auto" w:fill="auto"/>
            <w:vAlign w:val="center"/>
            <w:hideMark/>
          </w:tcPr>
          <w:p w14:paraId="7EFDF639" w14:textId="77777777" w:rsidR="00B90AA2" w:rsidRPr="00727111" w:rsidRDefault="00B90AA2" w:rsidP="00B90AA2">
            <w:pPr>
              <w:rPr>
                <w:rFonts w:ascii="Garamond" w:hAnsi="Garamond"/>
                <w:color w:val="000000"/>
                <w:sz w:val="12"/>
                <w:szCs w:val="12"/>
                <w:lang w:eastAsia="sq-AL"/>
              </w:rPr>
            </w:pPr>
            <w:r w:rsidRPr="00727111">
              <w:rPr>
                <w:rFonts w:ascii="Garamond" w:hAnsi="Garamond"/>
                <w:color w:val="000000"/>
                <w:sz w:val="12"/>
                <w:szCs w:val="12"/>
                <w:lang w:eastAsia="sq-AL"/>
              </w:rPr>
              <w:t>Per mbledhjen, përpunimin, transmetimin, ruajtjen, fshirjen, mbrojtjen dhe garantimin e të dhënave të informacionit të pasagjerit në republikën e shqipërisë</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FDBD80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Projektligj</w:t>
            </w:r>
          </w:p>
        </w:tc>
        <w:tc>
          <w:tcPr>
            <w:tcW w:w="992" w:type="dxa"/>
            <w:tcBorders>
              <w:top w:val="nil"/>
              <w:left w:val="nil"/>
              <w:bottom w:val="single" w:sz="4" w:space="0" w:color="auto"/>
              <w:right w:val="single" w:sz="4" w:space="0" w:color="auto"/>
            </w:tcBorders>
            <w:shd w:val="clear" w:color="auto" w:fill="auto"/>
            <w:vAlign w:val="center"/>
            <w:hideMark/>
          </w:tcPr>
          <w:p w14:paraId="5FFC4190"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6B6C1F3B"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auto" w:fill="auto"/>
            <w:vAlign w:val="center"/>
            <w:hideMark/>
          </w:tcPr>
          <w:p w14:paraId="2DF7062F"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Ligji nr. 71/2016 “Për kontrollin kufitar” i ndryshuar përbën bazën ligjore të Njësisë së Informacionit të Pasagjerit. Njësia e Informacionit të Pasagjerit (N.I.P), Sipas rekomandimeve te BE eshte kerkuar ndarja ne dy ligje te vecanta. Per kontrollin e kufirit Shteteror dhe API-PNR te perpuninmin e te dhenave te pasagjerit. </w:t>
            </w:r>
          </w:p>
        </w:tc>
        <w:tc>
          <w:tcPr>
            <w:tcW w:w="2211" w:type="dxa"/>
            <w:tcBorders>
              <w:top w:val="nil"/>
              <w:left w:val="nil"/>
              <w:bottom w:val="single" w:sz="4" w:space="0" w:color="auto"/>
              <w:right w:val="single" w:sz="4" w:space="0" w:color="auto"/>
            </w:tcBorders>
            <w:shd w:val="clear" w:color="auto" w:fill="auto"/>
            <w:vAlign w:val="center"/>
            <w:hideMark/>
          </w:tcPr>
          <w:p w14:paraId="78B4F457"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Përafrim me legjislacionin komunitar dhe standardet ndërkombetare në këtë fushë </w:t>
            </w:r>
          </w:p>
        </w:tc>
        <w:tc>
          <w:tcPr>
            <w:tcW w:w="850" w:type="dxa"/>
            <w:tcBorders>
              <w:top w:val="nil"/>
              <w:left w:val="nil"/>
              <w:bottom w:val="single" w:sz="4" w:space="0" w:color="auto"/>
              <w:right w:val="single" w:sz="4" w:space="0" w:color="auto"/>
            </w:tcBorders>
            <w:shd w:val="clear" w:color="000000" w:fill="FFFFFF"/>
            <w:vAlign w:val="center"/>
            <w:hideMark/>
          </w:tcPr>
          <w:p w14:paraId="510EA172"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c>
          <w:tcPr>
            <w:tcW w:w="1050" w:type="dxa"/>
            <w:tcBorders>
              <w:top w:val="nil"/>
              <w:left w:val="nil"/>
              <w:bottom w:val="single" w:sz="4" w:space="0" w:color="auto"/>
              <w:right w:val="single" w:sz="4" w:space="0" w:color="auto"/>
            </w:tcBorders>
            <w:shd w:val="clear" w:color="000000" w:fill="FFFFFF"/>
            <w:vAlign w:val="center"/>
            <w:hideMark/>
          </w:tcPr>
          <w:p w14:paraId="3954655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nil"/>
              <w:right w:val="nil"/>
            </w:tcBorders>
            <w:shd w:val="clear" w:color="auto" w:fill="auto"/>
            <w:vAlign w:val="center"/>
            <w:hideMark/>
          </w:tcPr>
          <w:p w14:paraId="75C1572E"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Strategjia Ndërsektoriale kundër Krimit të Organizuar 2021-2025 dhe Plani i Veprimit 2023-2025.</w:t>
            </w:r>
          </w:p>
        </w:tc>
        <w:tc>
          <w:tcPr>
            <w:tcW w:w="1238" w:type="dxa"/>
            <w:tcBorders>
              <w:top w:val="nil"/>
              <w:left w:val="single" w:sz="4" w:space="0" w:color="auto"/>
              <w:bottom w:val="single" w:sz="4" w:space="0" w:color="auto"/>
              <w:right w:val="single" w:sz="4" w:space="0" w:color="auto"/>
            </w:tcBorders>
            <w:shd w:val="clear" w:color="000000" w:fill="FFFFFF"/>
            <w:vAlign w:val="center"/>
            <w:hideMark/>
          </w:tcPr>
          <w:p w14:paraId="153A7AF9"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2DD791D4"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44A450B0"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2</w:t>
            </w:r>
          </w:p>
        </w:tc>
        <w:tc>
          <w:tcPr>
            <w:tcW w:w="2303" w:type="dxa"/>
            <w:tcBorders>
              <w:top w:val="single" w:sz="4" w:space="0" w:color="auto"/>
              <w:left w:val="nil"/>
              <w:bottom w:val="single" w:sz="4" w:space="0" w:color="auto"/>
              <w:right w:val="single" w:sz="4" w:space="0" w:color="auto"/>
            </w:tcBorders>
            <w:shd w:val="clear" w:color="000000" w:fill="FFFFFF"/>
            <w:vAlign w:val="center"/>
            <w:hideMark/>
          </w:tcPr>
          <w:p w14:paraId="6EB847AD" w14:textId="77777777" w:rsidR="00B90AA2" w:rsidRPr="00727111" w:rsidRDefault="00B90AA2" w:rsidP="00B90AA2">
            <w:pPr>
              <w:spacing w:after="240"/>
              <w:rPr>
                <w:rFonts w:ascii="Garamond" w:hAnsi="Garamond"/>
                <w:sz w:val="12"/>
                <w:szCs w:val="12"/>
                <w:lang w:eastAsia="sq-AL"/>
              </w:rPr>
            </w:pPr>
            <w:r w:rsidRPr="00727111">
              <w:rPr>
                <w:rFonts w:ascii="Garamond" w:hAnsi="Garamond"/>
                <w:sz w:val="12"/>
                <w:szCs w:val="12"/>
                <w:lang w:eastAsia="sq-AL"/>
              </w:rPr>
              <w:t xml:space="preserve">Për miratimin e kritereve dhe procedurave të trajtimit financiar gjatë gjëndrimit në punë të punonjësve të policisë së shtetit </w:t>
            </w:r>
          </w:p>
        </w:tc>
        <w:tc>
          <w:tcPr>
            <w:tcW w:w="992" w:type="dxa"/>
            <w:tcBorders>
              <w:top w:val="nil"/>
              <w:left w:val="nil"/>
              <w:bottom w:val="single" w:sz="4" w:space="0" w:color="auto"/>
              <w:right w:val="single" w:sz="4" w:space="0" w:color="auto"/>
            </w:tcBorders>
            <w:shd w:val="clear" w:color="000000" w:fill="FFFFFF"/>
            <w:vAlign w:val="center"/>
            <w:hideMark/>
          </w:tcPr>
          <w:p w14:paraId="2EA2AC96"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31C3D05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401C1E8D"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000000" w:fill="FFFFFF"/>
            <w:vAlign w:val="center"/>
            <w:hideMark/>
          </w:tcPr>
          <w:p w14:paraId="11CCE09E"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Projektvendimi ka për qëllim zbatimin e shkronjës "a" dhe "d", të pikës 2 dhe pikës 4, të nenit 104, të ligjit nr. 82/2024 "Për Policinë e Shtetit"</w:t>
            </w:r>
          </w:p>
        </w:tc>
        <w:tc>
          <w:tcPr>
            <w:tcW w:w="2211" w:type="dxa"/>
            <w:tcBorders>
              <w:top w:val="nil"/>
              <w:left w:val="nil"/>
              <w:bottom w:val="single" w:sz="4" w:space="0" w:color="auto"/>
              <w:right w:val="single" w:sz="4" w:space="0" w:color="auto"/>
            </w:tcBorders>
            <w:shd w:val="clear" w:color="000000" w:fill="FFFFFF"/>
            <w:vAlign w:val="center"/>
            <w:hideMark/>
          </w:tcPr>
          <w:p w14:paraId="7BD1B542"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Ky projektvendim ka për qëllim miratimin e vleravepër secilin element përbërës të pagës bruto mujore të punonjësve të Policisë së Shtetit sipas strukturave në të cilat ushtrojnë funksionet policore, trajtimin financiar të kursantëve, studentëve, punonjësve të policisë që kryejnë shkollim/trajtim, iv. punonjësve të Policisë së Shtetit që bashkëpunojnë me institucionet arsimore të sistemit policor, si punonjës të jashtëm, shtesa për natyrë të veçantë pune dhe vlera e shpërblimit të punonjësve të policisë për rezultate të larta në kryerjen e detyrës</w:t>
            </w:r>
          </w:p>
        </w:tc>
        <w:tc>
          <w:tcPr>
            <w:tcW w:w="850" w:type="dxa"/>
            <w:tcBorders>
              <w:top w:val="nil"/>
              <w:left w:val="nil"/>
              <w:bottom w:val="single" w:sz="4" w:space="0" w:color="auto"/>
              <w:right w:val="single" w:sz="4" w:space="0" w:color="auto"/>
            </w:tcBorders>
            <w:shd w:val="clear" w:color="000000" w:fill="FFFFFF"/>
            <w:vAlign w:val="center"/>
            <w:hideMark/>
          </w:tcPr>
          <w:p w14:paraId="3723971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6B683FC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single" w:sz="4" w:space="0" w:color="auto"/>
              <w:left w:val="nil"/>
              <w:bottom w:val="single" w:sz="4" w:space="0" w:color="auto"/>
              <w:right w:val="single" w:sz="4" w:space="0" w:color="auto"/>
            </w:tcBorders>
            <w:shd w:val="clear" w:color="000000" w:fill="FFFFFF"/>
            <w:vAlign w:val="center"/>
            <w:hideMark/>
          </w:tcPr>
          <w:p w14:paraId="1963506B"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1210E96C"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269668B1"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4202315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3</w:t>
            </w:r>
          </w:p>
        </w:tc>
        <w:tc>
          <w:tcPr>
            <w:tcW w:w="2303" w:type="dxa"/>
            <w:tcBorders>
              <w:top w:val="nil"/>
              <w:left w:val="nil"/>
              <w:bottom w:val="single" w:sz="4" w:space="0" w:color="auto"/>
              <w:right w:val="single" w:sz="4" w:space="0" w:color="auto"/>
            </w:tcBorders>
            <w:shd w:val="clear" w:color="000000" w:fill="FFFFFF"/>
            <w:vAlign w:val="center"/>
            <w:hideMark/>
          </w:tcPr>
          <w:p w14:paraId="692B5002"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 xml:space="preserve">Per miratimin e numrit te pergjithshem te personelit te Policise se Shtetit, percaktimin e funksioneve korresponduese  për çdo gradë dhe kategorizimin e tyre. </w:t>
            </w:r>
          </w:p>
        </w:tc>
        <w:tc>
          <w:tcPr>
            <w:tcW w:w="992" w:type="dxa"/>
            <w:tcBorders>
              <w:top w:val="nil"/>
              <w:left w:val="nil"/>
              <w:bottom w:val="single" w:sz="4" w:space="0" w:color="auto"/>
              <w:right w:val="single" w:sz="4" w:space="0" w:color="auto"/>
            </w:tcBorders>
            <w:shd w:val="clear" w:color="000000" w:fill="FFFFFF"/>
            <w:noWrap/>
            <w:vAlign w:val="center"/>
            <w:hideMark/>
          </w:tcPr>
          <w:p w14:paraId="3DA95D87"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2575E71A"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372F88DE"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000000" w:fill="FFFFFF"/>
            <w:vAlign w:val="center"/>
            <w:hideMark/>
          </w:tcPr>
          <w:p w14:paraId="35A27DDF"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Projektvendimi ka për qëllim zbatimin e pikës 2, të nenit 66, të ligjit nr. 82/2024 "Për Policinë e Shtetit"</w:t>
            </w:r>
          </w:p>
        </w:tc>
        <w:tc>
          <w:tcPr>
            <w:tcW w:w="2211" w:type="dxa"/>
            <w:tcBorders>
              <w:top w:val="nil"/>
              <w:left w:val="nil"/>
              <w:bottom w:val="single" w:sz="4" w:space="0" w:color="auto"/>
              <w:right w:val="single" w:sz="4" w:space="0" w:color="auto"/>
            </w:tcBorders>
            <w:shd w:val="clear" w:color="000000" w:fill="FFFFFF"/>
            <w:vAlign w:val="center"/>
            <w:hideMark/>
          </w:tcPr>
          <w:p w14:paraId="35C3A9F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Ky projektvendim ka për qëllim caktimin e gradave korresponduese çdo funksioni në organikën e Policisë së Shtetit</w:t>
            </w:r>
          </w:p>
        </w:tc>
        <w:tc>
          <w:tcPr>
            <w:tcW w:w="850" w:type="dxa"/>
            <w:tcBorders>
              <w:top w:val="nil"/>
              <w:left w:val="nil"/>
              <w:bottom w:val="single" w:sz="4" w:space="0" w:color="auto"/>
              <w:right w:val="single" w:sz="4" w:space="0" w:color="auto"/>
            </w:tcBorders>
            <w:shd w:val="clear" w:color="000000" w:fill="FFFFFF"/>
            <w:vAlign w:val="center"/>
            <w:hideMark/>
          </w:tcPr>
          <w:p w14:paraId="2E5BDC9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152A7CBA"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vAlign w:val="center"/>
            <w:hideMark/>
          </w:tcPr>
          <w:p w14:paraId="19FFA651"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7F9C347C"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15757866"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733B1AA6"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4</w:t>
            </w:r>
          </w:p>
        </w:tc>
        <w:tc>
          <w:tcPr>
            <w:tcW w:w="2303" w:type="dxa"/>
            <w:tcBorders>
              <w:top w:val="nil"/>
              <w:left w:val="nil"/>
              <w:bottom w:val="single" w:sz="4" w:space="0" w:color="auto"/>
              <w:right w:val="single" w:sz="4" w:space="0" w:color="auto"/>
            </w:tcBorders>
            <w:shd w:val="clear" w:color="000000" w:fill="FFFFFF"/>
            <w:vAlign w:val="center"/>
            <w:hideMark/>
          </w:tcPr>
          <w:p w14:paraId="3D7A5607"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 xml:space="preserve">“Për Miratimin e paraqitjes, formës, dhe specifikimeve teknike të gradave, simboleve, uniformave dhe shenjave të Policisë së Shtetit" </w:t>
            </w:r>
          </w:p>
        </w:tc>
        <w:tc>
          <w:tcPr>
            <w:tcW w:w="992" w:type="dxa"/>
            <w:tcBorders>
              <w:top w:val="nil"/>
              <w:left w:val="nil"/>
              <w:bottom w:val="single" w:sz="4" w:space="0" w:color="auto"/>
              <w:right w:val="single" w:sz="4" w:space="0" w:color="auto"/>
            </w:tcBorders>
            <w:shd w:val="clear" w:color="000000" w:fill="FFFFFF"/>
            <w:noWrap/>
            <w:vAlign w:val="center"/>
            <w:hideMark/>
          </w:tcPr>
          <w:p w14:paraId="194330F9"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41BA7F8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2ABBF574"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000000" w:fill="FFFFFF"/>
            <w:vAlign w:val="center"/>
            <w:hideMark/>
          </w:tcPr>
          <w:p w14:paraId="07C4239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 xml:space="preserve"> Projektvendimi ka për qëllim zbatimin e pikës 1, 2, të nenit 135, të ligjit nr.82/2024, "Për Policinë e Shtetit"</w:t>
            </w:r>
          </w:p>
        </w:tc>
        <w:tc>
          <w:tcPr>
            <w:tcW w:w="2211" w:type="dxa"/>
            <w:tcBorders>
              <w:top w:val="nil"/>
              <w:left w:val="nil"/>
              <w:bottom w:val="single" w:sz="4" w:space="0" w:color="auto"/>
              <w:right w:val="single" w:sz="4" w:space="0" w:color="auto"/>
            </w:tcBorders>
            <w:shd w:val="clear" w:color="000000" w:fill="FFFFFF"/>
            <w:vAlign w:val="center"/>
            <w:hideMark/>
          </w:tcPr>
          <w:p w14:paraId="0A95C6B3"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 xml:space="preserve">Miratimin e paraqitjes, formes dhe specifikimeve teknike të uniformave, të stemave, shenjave dalluese të propozuara dhe simboleve të Policise së Shtetit. </w:t>
            </w:r>
          </w:p>
        </w:tc>
        <w:tc>
          <w:tcPr>
            <w:tcW w:w="850" w:type="dxa"/>
            <w:tcBorders>
              <w:top w:val="nil"/>
              <w:left w:val="nil"/>
              <w:bottom w:val="single" w:sz="4" w:space="0" w:color="auto"/>
              <w:right w:val="single" w:sz="4" w:space="0" w:color="auto"/>
            </w:tcBorders>
            <w:shd w:val="clear" w:color="000000" w:fill="FFFFFF"/>
            <w:vAlign w:val="center"/>
            <w:hideMark/>
          </w:tcPr>
          <w:p w14:paraId="2EF48404"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75794FC3"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vAlign w:val="center"/>
            <w:hideMark/>
          </w:tcPr>
          <w:p w14:paraId="49F5E287"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79002417"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6017D9E1"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5698A636"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5</w:t>
            </w:r>
          </w:p>
        </w:tc>
        <w:tc>
          <w:tcPr>
            <w:tcW w:w="2303" w:type="dxa"/>
            <w:tcBorders>
              <w:top w:val="nil"/>
              <w:left w:val="nil"/>
              <w:bottom w:val="single" w:sz="4" w:space="0" w:color="auto"/>
              <w:right w:val="single" w:sz="4" w:space="0" w:color="auto"/>
            </w:tcBorders>
            <w:shd w:val="clear" w:color="000000" w:fill="FFFFFF"/>
            <w:vAlign w:val="center"/>
            <w:hideMark/>
          </w:tcPr>
          <w:p w14:paraId="392D588F"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Për përcaktimin e kohës së punës dhe pushimit,lejes pa të drejtë page, të trajtimit finanaciar të Punonjësit të Policisë së Shtetit kur nuk kryen pushimet, si dhe rregullat e kujdesit për punonjëset shtatëzanë në Policinë e Shtetit</w:t>
            </w:r>
          </w:p>
        </w:tc>
        <w:tc>
          <w:tcPr>
            <w:tcW w:w="992" w:type="dxa"/>
            <w:tcBorders>
              <w:top w:val="nil"/>
              <w:left w:val="nil"/>
              <w:bottom w:val="single" w:sz="4" w:space="0" w:color="auto"/>
              <w:right w:val="single" w:sz="4" w:space="0" w:color="auto"/>
            </w:tcBorders>
            <w:shd w:val="clear" w:color="000000" w:fill="FFFFFF"/>
            <w:vAlign w:val="center"/>
            <w:hideMark/>
          </w:tcPr>
          <w:p w14:paraId="1BAB31DB"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11A4521D"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67EED4CF"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000000" w:fill="FFFFFF"/>
            <w:vAlign w:val="center"/>
            <w:hideMark/>
          </w:tcPr>
          <w:p w14:paraId="506704D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Projektvendimi ka për qëllim zbatimin e pikës 7, të nenit 100, të pikës 5, të nenit 101 dhe pikës 4, të nenit 102, të ligjit nr.82/2024, "Për Policinë e Shtetit"</w:t>
            </w:r>
          </w:p>
        </w:tc>
        <w:tc>
          <w:tcPr>
            <w:tcW w:w="2211" w:type="dxa"/>
            <w:tcBorders>
              <w:top w:val="nil"/>
              <w:left w:val="nil"/>
              <w:bottom w:val="single" w:sz="4" w:space="0" w:color="auto"/>
              <w:right w:val="single" w:sz="4" w:space="0" w:color="auto"/>
            </w:tcBorders>
            <w:shd w:val="clear" w:color="000000" w:fill="FFFFFF"/>
            <w:vAlign w:val="center"/>
            <w:hideMark/>
          </w:tcPr>
          <w:p w14:paraId="1B312DFB"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Ky projektvendim ka për qëllim të rregullojë dhe standardizojë mënyrën e organizimit dhe menaxhimit të kohës së punës, pushimeve, lejeve dhe kushteve të punës për punonjësit e Policisë së Shtetit, si dhe krijimin e një mjedisi të sigurt dhe të drejtë pune veçanërisht për punonjëset shtatëzanë.</w:t>
            </w:r>
          </w:p>
        </w:tc>
        <w:tc>
          <w:tcPr>
            <w:tcW w:w="850" w:type="dxa"/>
            <w:tcBorders>
              <w:top w:val="nil"/>
              <w:left w:val="nil"/>
              <w:bottom w:val="single" w:sz="4" w:space="0" w:color="auto"/>
              <w:right w:val="single" w:sz="4" w:space="0" w:color="auto"/>
            </w:tcBorders>
            <w:shd w:val="clear" w:color="000000" w:fill="FFFFFF"/>
            <w:vAlign w:val="center"/>
            <w:hideMark/>
          </w:tcPr>
          <w:p w14:paraId="48BDBE6A"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323EC63F"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vAlign w:val="center"/>
            <w:hideMark/>
          </w:tcPr>
          <w:p w14:paraId="2D481B4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424B5C11"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08C3903C"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0E0E878D"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6</w:t>
            </w:r>
          </w:p>
        </w:tc>
        <w:tc>
          <w:tcPr>
            <w:tcW w:w="2303" w:type="dxa"/>
            <w:tcBorders>
              <w:top w:val="nil"/>
              <w:left w:val="nil"/>
              <w:bottom w:val="single" w:sz="4" w:space="0" w:color="auto"/>
              <w:right w:val="single" w:sz="4" w:space="0" w:color="auto"/>
            </w:tcBorders>
            <w:shd w:val="clear" w:color="000000" w:fill="FFFFFF"/>
            <w:vAlign w:val="center"/>
            <w:hideMark/>
          </w:tcPr>
          <w:p w14:paraId="5E72D488"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Për përcaktimin e motivit, rregullat, kriteret dhe procedurat për dhënien e medalieve e certifikatave dhe shpërblimit.</w:t>
            </w:r>
          </w:p>
        </w:tc>
        <w:tc>
          <w:tcPr>
            <w:tcW w:w="992" w:type="dxa"/>
            <w:tcBorders>
              <w:top w:val="nil"/>
              <w:left w:val="nil"/>
              <w:bottom w:val="single" w:sz="4" w:space="0" w:color="auto"/>
              <w:right w:val="single" w:sz="4" w:space="0" w:color="auto"/>
            </w:tcBorders>
            <w:shd w:val="clear" w:color="000000" w:fill="FFFFFF"/>
            <w:vAlign w:val="center"/>
            <w:hideMark/>
          </w:tcPr>
          <w:p w14:paraId="76505AF7"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03BEB5B6"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464DC3E2"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000000" w:fill="FFFFFF"/>
            <w:vAlign w:val="center"/>
            <w:hideMark/>
          </w:tcPr>
          <w:p w14:paraId="30609ADB"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Projektvendimi ka për qëllim zbatimin e pikës 6, të nenit 127, të ligjit nr.82/2024, "Për Policinë e Shtetit"</w:t>
            </w:r>
          </w:p>
        </w:tc>
        <w:tc>
          <w:tcPr>
            <w:tcW w:w="2211" w:type="dxa"/>
            <w:tcBorders>
              <w:top w:val="nil"/>
              <w:left w:val="nil"/>
              <w:bottom w:val="single" w:sz="4" w:space="0" w:color="auto"/>
              <w:right w:val="single" w:sz="4" w:space="0" w:color="auto"/>
            </w:tcBorders>
            <w:shd w:val="clear" w:color="000000" w:fill="FFFFFF"/>
            <w:vAlign w:val="center"/>
            <w:hideMark/>
          </w:tcPr>
          <w:p w14:paraId="052190AA"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Ky projekt vendim ka për qëllim përcaktimin e motivit, rregullave, kritereve dhe procedurave për dhënien e medaljeve e certifikatave dhe shpërblimin përkatës</w:t>
            </w:r>
          </w:p>
        </w:tc>
        <w:tc>
          <w:tcPr>
            <w:tcW w:w="850" w:type="dxa"/>
            <w:tcBorders>
              <w:top w:val="nil"/>
              <w:left w:val="nil"/>
              <w:bottom w:val="single" w:sz="4" w:space="0" w:color="auto"/>
              <w:right w:val="single" w:sz="4" w:space="0" w:color="auto"/>
            </w:tcBorders>
            <w:shd w:val="clear" w:color="000000" w:fill="FFFFFF"/>
            <w:vAlign w:val="center"/>
            <w:hideMark/>
          </w:tcPr>
          <w:p w14:paraId="73B779B6"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60C51E8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vAlign w:val="center"/>
            <w:hideMark/>
          </w:tcPr>
          <w:p w14:paraId="0531BC33"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600DB41C"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5B993776"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5180FD27"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7</w:t>
            </w:r>
          </w:p>
        </w:tc>
        <w:tc>
          <w:tcPr>
            <w:tcW w:w="2303" w:type="dxa"/>
            <w:tcBorders>
              <w:top w:val="nil"/>
              <w:left w:val="nil"/>
              <w:bottom w:val="single" w:sz="4" w:space="0" w:color="auto"/>
              <w:right w:val="single" w:sz="4" w:space="0" w:color="auto"/>
            </w:tcBorders>
            <w:shd w:val="clear" w:color="000000" w:fill="FFFFFF"/>
            <w:vAlign w:val="center"/>
            <w:hideMark/>
          </w:tcPr>
          <w:p w14:paraId="5C7C9337"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Për kompensimin për kufizimet që i krijohen punonjësit të policisë për largësinë nga vendbanimi, pagën për papunësinë e bashkëshortit, si dhe kriteret dhe masën e përfitimit të pagesës së qirasë për strehim</w:t>
            </w:r>
          </w:p>
        </w:tc>
        <w:tc>
          <w:tcPr>
            <w:tcW w:w="992" w:type="dxa"/>
            <w:tcBorders>
              <w:top w:val="nil"/>
              <w:left w:val="nil"/>
              <w:bottom w:val="single" w:sz="4" w:space="0" w:color="auto"/>
              <w:right w:val="single" w:sz="4" w:space="0" w:color="auto"/>
            </w:tcBorders>
            <w:shd w:val="clear" w:color="000000" w:fill="FFFFFF"/>
            <w:vAlign w:val="center"/>
            <w:hideMark/>
          </w:tcPr>
          <w:p w14:paraId="32287AD9"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55FDB6D0"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015B3D8E"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000000" w:fill="FFFFFF"/>
            <w:vAlign w:val="center"/>
            <w:hideMark/>
          </w:tcPr>
          <w:p w14:paraId="24552AF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Projektvendimi ka për qëllim zbatimin e të pikës 2, germa “b”, të nenit 104 dhe pikës 2, të nenit 107, të ligjit nr. 82/2024, “Për Policinë e Shtetit”, ”</w:t>
            </w:r>
          </w:p>
        </w:tc>
        <w:tc>
          <w:tcPr>
            <w:tcW w:w="2211" w:type="dxa"/>
            <w:tcBorders>
              <w:top w:val="nil"/>
              <w:left w:val="nil"/>
              <w:bottom w:val="single" w:sz="4" w:space="0" w:color="auto"/>
              <w:right w:val="single" w:sz="4" w:space="0" w:color="auto"/>
            </w:tcBorders>
            <w:shd w:val="clear" w:color="000000" w:fill="FFFFFF"/>
            <w:vAlign w:val="center"/>
            <w:hideMark/>
          </w:tcPr>
          <w:p w14:paraId="725DBF96"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Ky projektvendim ka për qëllim të përcaktojë kompensimin financiar në lidhje me largësinë, pagesën e papunësisë së bashkëshortit/es apo pagimin e qerasë së banesës kur punonjësit e policisë për nevoja pune emërohet,transferohet në mënyrë të përkohshme apo të përhershme jashtë vendbanimit të tij.</w:t>
            </w:r>
          </w:p>
        </w:tc>
        <w:tc>
          <w:tcPr>
            <w:tcW w:w="850" w:type="dxa"/>
            <w:tcBorders>
              <w:top w:val="nil"/>
              <w:left w:val="nil"/>
              <w:bottom w:val="single" w:sz="4" w:space="0" w:color="auto"/>
              <w:right w:val="single" w:sz="4" w:space="0" w:color="auto"/>
            </w:tcBorders>
            <w:shd w:val="clear" w:color="000000" w:fill="FFFFFF"/>
            <w:vAlign w:val="center"/>
            <w:hideMark/>
          </w:tcPr>
          <w:p w14:paraId="118BC6E2"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3A597ED4"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vAlign w:val="center"/>
            <w:hideMark/>
          </w:tcPr>
          <w:p w14:paraId="166363B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7DF5D92B"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2995319E"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1FF198FD"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8</w:t>
            </w:r>
          </w:p>
        </w:tc>
        <w:tc>
          <w:tcPr>
            <w:tcW w:w="2303" w:type="dxa"/>
            <w:tcBorders>
              <w:top w:val="nil"/>
              <w:left w:val="nil"/>
              <w:bottom w:val="single" w:sz="4" w:space="0" w:color="auto"/>
              <w:right w:val="single" w:sz="4" w:space="0" w:color="auto"/>
            </w:tcBorders>
            <w:shd w:val="clear" w:color="000000" w:fill="FFFFFF"/>
            <w:vAlign w:val="center"/>
            <w:hideMark/>
          </w:tcPr>
          <w:p w14:paraId="1286E3B3"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Për përcaktimin e kushteve dhe mënyrës për mbrojtjen e veçantë të punonjësit të policisë të cilit i kërcënohet jeta, familja dhe prona për shkak të detyrës</w:t>
            </w:r>
          </w:p>
        </w:tc>
        <w:tc>
          <w:tcPr>
            <w:tcW w:w="992" w:type="dxa"/>
            <w:tcBorders>
              <w:top w:val="nil"/>
              <w:left w:val="nil"/>
              <w:bottom w:val="single" w:sz="4" w:space="0" w:color="auto"/>
              <w:right w:val="single" w:sz="4" w:space="0" w:color="auto"/>
            </w:tcBorders>
            <w:shd w:val="clear" w:color="000000" w:fill="FFFFFF"/>
            <w:vAlign w:val="center"/>
            <w:hideMark/>
          </w:tcPr>
          <w:p w14:paraId="5BDA0FEF"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57A22FB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040D9544"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000000" w:fill="FFFFFF"/>
            <w:vAlign w:val="center"/>
            <w:hideMark/>
          </w:tcPr>
          <w:p w14:paraId="18240901"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Projektvendimi ka për qëllim zbatimin e pikës 2, të nenit 109, të ligjit nr. 82/2024 “Për Policinë e Shtetit”</w:t>
            </w:r>
          </w:p>
        </w:tc>
        <w:tc>
          <w:tcPr>
            <w:tcW w:w="2211" w:type="dxa"/>
            <w:tcBorders>
              <w:top w:val="nil"/>
              <w:left w:val="nil"/>
              <w:bottom w:val="single" w:sz="4" w:space="0" w:color="auto"/>
              <w:right w:val="single" w:sz="4" w:space="0" w:color="auto"/>
            </w:tcBorders>
            <w:shd w:val="clear" w:color="000000" w:fill="FFFFFF"/>
            <w:vAlign w:val="center"/>
            <w:hideMark/>
          </w:tcPr>
          <w:p w14:paraId="397A20CA"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Ka si qëllim përcaktimin e kushteve që duhet të plotësojë një punonjës i policisë për të përfituar mbrojtje të veçantë, si dhe mënyrën e realizimit të kësaj mbrojtje për punonjësin e policisë, të cilit i kërcënohet jeta, familja dhe prona për shkak të detyrës.</w:t>
            </w:r>
          </w:p>
        </w:tc>
        <w:tc>
          <w:tcPr>
            <w:tcW w:w="850" w:type="dxa"/>
            <w:tcBorders>
              <w:top w:val="nil"/>
              <w:left w:val="nil"/>
              <w:bottom w:val="single" w:sz="4" w:space="0" w:color="auto"/>
              <w:right w:val="single" w:sz="4" w:space="0" w:color="auto"/>
            </w:tcBorders>
            <w:shd w:val="clear" w:color="000000" w:fill="FFFFFF"/>
            <w:vAlign w:val="center"/>
            <w:hideMark/>
          </w:tcPr>
          <w:p w14:paraId="1D48AC6B"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080B3FD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noWrap/>
            <w:vAlign w:val="center"/>
            <w:hideMark/>
          </w:tcPr>
          <w:p w14:paraId="329CF313"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4A25DCD2"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6347C668"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5B9D3F42"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9</w:t>
            </w:r>
          </w:p>
        </w:tc>
        <w:tc>
          <w:tcPr>
            <w:tcW w:w="2303" w:type="dxa"/>
            <w:tcBorders>
              <w:top w:val="nil"/>
              <w:left w:val="nil"/>
              <w:bottom w:val="single" w:sz="4" w:space="0" w:color="auto"/>
              <w:right w:val="single" w:sz="4" w:space="0" w:color="auto"/>
            </w:tcBorders>
            <w:shd w:val="clear" w:color="000000" w:fill="FFFFFF"/>
            <w:vAlign w:val="center"/>
            <w:hideMark/>
          </w:tcPr>
          <w:p w14:paraId="3A909E0B"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Për fondin e veçantë në Policinë e Shtetit</w:t>
            </w:r>
          </w:p>
        </w:tc>
        <w:tc>
          <w:tcPr>
            <w:tcW w:w="992" w:type="dxa"/>
            <w:tcBorders>
              <w:top w:val="nil"/>
              <w:left w:val="nil"/>
              <w:bottom w:val="single" w:sz="4" w:space="0" w:color="auto"/>
              <w:right w:val="single" w:sz="4" w:space="0" w:color="auto"/>
            </w:tcBorders>
            <w:shd w:val="clear" w:color="000000" w:fill="FFFFFF"/>
            <w:noWrap/>
            <w:vAlign w:val="center"/>
            <w:hideMark/>
          </w:tcPr>
          <w:p w14:paraId="590BE862"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38DED00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56DF102E"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000000" w:fill="FFFFFF"/>
            <w:vAlign w:val="center"/>
            <w:hideMark/>
          </w:tcPr>
          <w:p w14:paraId="467C8FA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Projektvendimi ka për qëllim zbatimin e pikës 2, të nenit 138, të ligjit nr. 82/2024 “Për Policinë e Shtetit”</w:t>
            </w:r>
          </w:p>
        </w:tc>
        <w:tc>
          <w:tcPr>
            <w:tcW w:w="2211" w:type="dxa"/>
            <w:tcBorders>
              <w:top w:val="nil"/>
              <w:left w:val="nil"/>
              <w:bottom w:val="single" w:sz="4" w:space="0" w:color="auto"/>
              <w:right w:val="single" w:sz="4" w:space="0" w:color="auto"/>
            </w:tcBorders>
            <w:shd w:val="clear" w:color="000000" w:fill="FFFFFF"/>
            <w:noWrap/>
            <w:vAlign w:val="center"/>
            <w:hideMark/>
          </w:tcPr>
          <w:p w14:paraId="33A0A6F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Përcakton kriteret e përdorimit dhe kontrollit të fondit të veçantë</w:t>
            </w:r>
          </w:p>
        </w:tc>
        <w:tc>
          <w:tcPr>
            <w:tcW w:w="850" w:type="dxa"/>
            <w:tcBorders>
              <w:top w:val="nil"/>
              <w:left w:val="nil"/>
              <w:bottom w:val="single" w:sz="4" w:space="0" w:color="auto"/>
              <w:right w:val="single" w:sz="4" w:space="0" w:color="auto"/>
            </w:tcBorders>
            <w:shd w:val="clear" w:color="000000" w:fill="FFFFFF"/>
            <w:vAlign w:val="center"/>
            <w:hideMark/>
          </w:tcPr>
          <w:p w14:paraId="3531C6F1"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51A9DF6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noWrap/>
            <w:vAlign w:val="center"/>
            <w:hideMark/>
          </w:tcPr>
          <w:p w14:paraId="7CEC095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062F6524"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2289332F"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539363B0"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10</w:t>
            </w:r>
          </w:p>
        </w:tc>
        <w:tc>
          <w:tcPr>
            <w:tcW w:w="2303" w:type="dxa"/>
            <w:tcBorders>
              <w:top w:val="nil"/>
              <w:left w:val="nil"/>
              <w:bottom w:val="single" w:sz="4" w:space="0" w:color="auto"/>
              <w:right w:val="single" w:sz="4" w:space="0" w:color="auto"/>
            </w:tcBorders>
            <w:shd w:val="clear" w:color="000000" w:fill="FFFFFF"/>
            <w:vAlign w:val="center"/>
            <w:hideMark/>
          </w:tcPr>
          <w:p w14:paraId="586443F5"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Per miratimin e Rregullores së Policisë së Shtetit</w:t>
            </w:r>
          </w:p>
        </w:tc>
        <w:tc>
          <w:tcPr>
            <w:tcW w:w="992" w:type="dxa"/>
            <w:tcBorders>
              <w:top w:val="nil"/>
              <w:left w:val="nil"/>
              <w:bottom w:val="single" w:sz="4" w:space="0" w:color="auto"/>
              <w:right w:val="single" w:sz="4" w:space="0" w:color="auto"/>
            </w:tcBorders>
            <w:shd w:val="clear" w:color="000000" w:fill="FFFFFF"/>
            <w:vAlign w:val="center"/>
            <w:hideMark/>
          </w:tcPr>
          <w:p w14:paraId="198FF2D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4264A821"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2A92DB66"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000000" w:fill="FFFFFF"/>
            <w:vAlign w:val="center"/>
            <w:hideMark/>
          </w:tcPr>
          <w:p w14:paraId="5EF790A0"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Ky projektvendim del në zbatim të nenit 136 ligjit nr.82/2024 "Për Policinë e Shtetit", si dhe neneve 18/4; 19/8; 22/5; 24/2; 26/5; 30/2; 32/4; 59/2; 60/5; 61/5; 62/4; 65/7; 73/8; 78/5; 82/4; 83/3; 84/5; 88/8; 89/2; 92/5; 93/2; 97/2; 100/3; 113/1dhe7; 114/3; 115/14; 116/8; 119/2; 120/1; 123/7 dhe 12; 126/3 dhe 6; 129/1-b; 133/3; 135/6 dhe 139/3. projekti ka për  qëllim rregullimin e çështjeve të brendshme, të personelit dhe të disiplinës së organizatës së Policisë së Shtetit.</w:t>
            </w:r>
          </w:p>
        </w:tc>
        <w:tc>
          <w:tcPr>
            <w:tcW w:w="2211" w:type="dxa"/>
            <w:tcBorders>
              <w:top w:val="nil"/>
              <w:left w:val="nil"/>
              <w:bottom w:val="single" w:sz="4" w:space="0" w:color="auto"/>
              <w:right w:val="single" w:sz="4" w:space="0" w:color="auto"/>
            </w:tcBorders>
            <w:shd w:val="clear" w:color="000000" w:fill="FFFFFF"/>
            <w:vAlign w:val="center"/>
            <w:hideMark/>
          </w:tcPr>
          <w:p w14:paraId="5A74294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Qëllimi i kësaj rregulloreje është përcaktimi i rregullave për organizimin dhe funksionimin e marrëdhënieve brenda dhe jashtë strukturave të Policisë së Shtetit; i parimeve, standardeve dhe normave që rregullojnë sjelljen profesionale dhe etike të punonjësit të Policisë, gjatë dhe jashtë shërbimit; i ecurisë në karrierë dhe menaxhimit të burimeve njerëzore; i vlerësimit të performancës së strukturave të Policisë së Shtetit, si dhe rregullave për disiplinën dhe procedurave që ndiqen në rastin e shkeljeve disiplinore.</w:t>
            </w:r>
          </w:p>
        </w:tc>
        <w:tc>
          <w:tcPr>
            <w:tcW w:w="850" w:type="dxa"/>
            <w:tcBorders>
              <w:top w:val="nil"/>
              <w:left w:val="nil"/>
              <w:bottom w:val="single" w:sz="4" w:space="0" w:color="auto"/>
              <w:right w:val="single" w:sz="4" w:space="0" w:color="auto"/>
            </w:tcBorders>
            <w:shd w:val="clear" w:color="000000" w:fill="FFFFFF"/>
            <w:noWrap/>
            <w:vAlign w:val="center"/>
            <w:hideMark/>
          </w:tcPr>
          <w:p w14:paraId="3560A339"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5762830B"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noWrap/>
            <w:vAlign w:val="center"/>
            <w:hideMark/>
          </w:tcPr>
          <w:p w14:paraId="794A25D1"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2C99C78D"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90AA2" w:rsidRPr="00727111" w14:paraId="40E65895"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047D4614"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11</w:t>
            </w:r>
          </w:p>
        </w:tc>
        <w:tc>
          <w:tcPr>
            <w:tcW w:w="2303" w:type="dxa"/>
            <w:tcBorders>
              <w:top w:val="nil"/>
              <w:left w:val="nil"/>
              <w:bottom w:val="single" w:sz="4" w:space="0" w:color="auto"/>
              <w:right w:val="single" w:sz="4" w:space="0" w:color="auto"/>
            </w:tcBorders>
            <w:shd w:val="clear" w:color="auto" w:fill="auto"/>
            <w:vAlign w:val="center"/>
            <w:hideMark/>
          </w:tcPr>
          <w:p w14:paraId="54F622FD"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Për ndyshimin e vendimit nr. 135, dt 6.3.2024 të Këshillit të Ministrave "Për përcaktimin e kritereve, të procedurave të kërkesës, të rregullave të kryerjes së verifikimeve dhe kontrolleve të nevojshme për fitimin e shtetësisë shqiptare kur republika e shqipërisë ka interes kombëtar apo interes në fushën e arsimit, shkencës, artit, kulturës dhe sportit"</w:t>
            </w:r>
          </w:p>
        </w:tc>
        <w:tc>
          <w:tcPr>
            <w:tcW w:w="992" w:type="dxa"/>
            <w:tcBorders>
              <w:top w:val="nil"/>
              <w:left w:val="nil"/>
              <w:bottom w:val="single" w:sz="4" w:space="0" w:color="auto"/>
              <w:right w:val="single" w:sz="4" w:space="0" w:color="auto"/>
            </w:tcBorders>
            <w:shd w:val="clear" w:color="000000" w:fill="FFFFFF"/>
            <w:vAlign w:val="center"/>
            <w:hideMark/>
          </w:tcPr>
          <w:p w14:paraId="01A926D2"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5142F0C6"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101BB566"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67" w:type="dxa"/>
            <w:tcBorders>
              <w:top w:val="nil"/>
              <w:left w:val="nil"/>
              <w:bottom w:val="single" w:sz="4" w:space="0" w:color="auto"/>
              <w:right w:val="single" w:sz="4" w:space="0" w:color="auto"/>
            </w:tcBorders>
            <w:shd w:val="clear" w:color="auto" w:fill="auto"/>
            <w:vAlign w:val="center"/>
            <w:hideMark/>
          </w:tcPr>
          <w:p w14:paraId="120AC45A"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Ndryshuar ligji nr. 113/2020 “Për shtetësinë”, neni 9, eshte hequr togfjalëshi “</w:t>
            </w:r>
            <w:r w:rsidRPr="00727111">
              <w:rPr>
                <w:rFonts w:ascii="Garamond" w:hAnsi="Garamond"/>
                <w:i/>
                <w:iCs/>
                <w:sz w:val="12"/>
                <w:szCs w:val="12"/>
                <w:lang w:eastAsia="sq-AL"/>
              </w:rPr>
              <w:t>që ka mbushur moshën 18 (tetëmbëdhjetë) vjeç</w:t>
            </w:r>
            <w:r w:rsidRPr="00727111">
              <w:rPr>
                <w:rFonts w:ascii="Garamond" w:hAnsi="Garamond"/>
                <w:sz w:val="12"/>
                <w:szCs w:val="12"/>
                <w:lang w:eastAsia="sq-AL"/>
              </w:rPr>
              <w:t xml:space="preserve">” në pikën 1 dhe shtuar pika 1/1 me përmbajtje si vijon: 1/1. </w:t>
            </w:r>
            <w:r w:rsidRPr="00727111">
              <w:rPr>
                <w:rFonts w:ascii="Garamond" w:hAnsi="Garamond"/>
                <w:i/>
                <w:iCs/>
                <w:sz w:val="12"/>
                <w:szCs w:val="12"/>
                <w:lang w:eastAsia="sq-AL"/>
              </w:rPr>
              <w:t>Për shtetasin e huaj që nuk ka mbushur moshën 18 vjeç, shtetësia shqiptare sipas pikës 1 të këtij neni mund të fitohet vetëm me pëlqimin e të dy prindërve ose kujdestarit ligjor, si dhe të fëmijës që ka moshën 14-18 vjeç</w:t>
            </w:r>
            <w:r w:rsidRPr="00727111">
              <w:rPr>
                <w:rFonts w:ascii="Garamond" w:hAnsi="Garamond"/>
                <w:sz w:val="12"/>
                <w:szCs w:val="12"/>
                <w:lang w:eastAsia="sq-AL"/>
              </w:rPr>
              <w:t>.</w:t>
            </w:r>
          </w:p>
        </w:tc>
        <w:tc>
          <w:tcPr>
            <w:tcW w:w="2211" w:type="dxa"/>
            <w:tcBorders>
              <w:top w:val="nil"/>
              <w:left w:val="nil"/>
              <w:bottom w:val="single" w:sz="4" w:space="0" w:color="auto"/>
              <w:right w:val="single" w:sz="4" w:space="0" w:color="auto"/>
            </w:tcBorders>
            <w:shd w:val="clear" w:color="auto" w:fill="auto"/>
            <w:vAlign w:val="center"/>
            <w:hideMark/>
          </w:tcPr>
          <w:p w14:paraId="421B704F"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Heqjen e kriterit ne VKM “</w:t>
            </w:r>
            <w:r w:rsidRPr="00727111">
              <w:rPr>
                <w:rFonts w:ascii="Garamond" w:hAnsi="Garamond"/>
                <w:i/>
                <w:iCs/>
                <w:sz w:val="12"/>
                <w:szCs w:val="12"/>
                <w:lang w:eastAsia="sq-AL"/>
              </w:rPr>
              <w:t>që ka mbushur moshën 18 (tetëmbëdhjetë) vjeç</w:t>
            </w:r>
            <w:r w:rsidRPr="00727111">
              <w:rPr>
                <w:rFonts w:ascii="Garamond" w:hAnsi="Garamond"/>
                <w:sz w:val="12"/>
                <w:szCs w:val="12"/>
                <w:lang w:eastAsia="sq-AL"/>
              </w:rPr>
              <w:t>” dhe shtimin e një dokumenti që duhet të paraqitet për të vërtetuar “</w:t>
            </w:r>
            <w:r w:rsidRPr="00727111">
              <w:rPr>
                <w:rFonts w:ascii="Garamond" w:hAnsi="Garamond"/>
                <w:i/>
                <w:iCs/>
                <w:sz w:val="12"/>
                <w:szCs w:val="12"/>
                <w:lang w:eastAsia="sq-AL"/>
              </w:rPr>
              <w:t>pëlqimin e të dy prindërve ose kujdestarit ligjor</w:t>
            </w:r>
            <w:r w:rsidRPr="00727111">
              <w:rPr>
                <w:rFonts w:ascii="Garamond" w:hAnsi="Garamond"/>
                <w:sz w:val="12"/>
                <w:szCs w:val="12"/>
                <w:lang w:eastAsia="sq-AL"/>
              </w:rPr>
              <w:t>” për të miturin.</w:t>
            </w:r>
            <w:r w:rsidRPr="00727111">
              <w:rPr>
                <w:rFonts w:ascii="Garamond" w:hAnsi="Garamond"/>
                <w:sz w:val="12"/>
                <w:szCs w:val="12"/>
                <w:lang w:eastAsia="sq-AL"/>
              </w:rPr>
              <w:br/>
            </w:r>
            <w:r w:rsidRPr="00727111">
              <w:rPr>
                <w:rFonts w:ascii="Garamond" w:hAnsi="Garamond"/>
                <w:sz w:val="12"/>
                <w:szCs w:val="12"/>
                <w:lang w:eastAsia="sq-AL"/>
              </w:rPr>
              <w:br/>
              <w:t>Pergatitja e formatit per paraqitjen e kerkeses per fitimin e shtetesise shqiptare per interes kombetar.</w:t>
            </w:r>
          </w:p>
        </w:tc>
        <w:tc>
          <w:tcPr>
            <w:tcW w:w="850" w:type="dxa"/>
            <w:tcBorders>
              <w:top w:val="nil"/>
              <w:left w:val="nil"/>
              <w:bottom w:val="single" w:sz="4" w:space="0" w:color="auto"/>
              <w:right w:val="single" w:sz="4" w:space="0" w:color="auto"/>
            </w:tcBorders>
            <w:shd w:val="clear" w:color="000000" w:fill="FFFFFF"/>
            <w:vAlign w:val="center"/>
            <w:hideMark/>
          </w:tcPr>
          <w:p w14:paraId="31B068B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57ADB1B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923" w:type="dxa"/>
            <w:tcBorders>
              <w:top w:val="nil"/>
              <w:left w:val="nil"/>
              <w:bottom w:val="single" w:sz="4" w:space="0" w:color="auto"/>
              <w:right w:val="single" w:sz="4" w:space="0" w:color="auto"/>
            </w:tcBorders>
            <w:shd w:val="clear" w:color="000000" w:fill="FFFFFF"/>
            <w:vAlign w:val="center"/>
            <w:hideMark/>
          </w:tcPr>
          <w:p w14:paraId="3D87514F"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0B471467"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r>
      <w:tr w:rsidR="00B90AA2" w:rsidRPr="00727111" w14:paraId="0CBBC130"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5FE12990"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12</w:t>
            </w:r>
          </w:p>
        </w:tc>
        <w:tc>
          <w:tcPr>
            <w:tcW w:w="2303" w:type="dxa"/>
            <w:tcBorders>
              <w:top w:val="nil"/>
              <w:left w:val="nil"/>
              <w:bottom w:val="single" w:sz="4" w:space="0" w:color="auto"/>
              <w:right w:val="single" w:sz="4" w:space="0" w:color="auto"/>
            </w:tcBorders>
            <w:shd w:val="clear" w:color="000000" w:fill="FFFFFF"/>
            <w:vAlign w:val="center"/>
            <w:hideMark/>
          </w:tcPr>
          <w:p w14:paraId="5C04668E"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Për trajtimin e familjarëve të punonjësve të Agjencisë, që humbin jetën për shkak të detyrës</w:t>
            </w:r>
          </w:p>
        </w:tc>
        <w:tc>
          <w:tcPr>
            <w:tcW w:w="992" w:type="dxa"/>
            <w:tcBorders>
              <w:top w:val="nil"/>
              <w:left w:val="nil"/>
              <w:bottom w:val="single" w:sz="4" w:space="0" w:color="auto"/>
              <w:right w:val="single" w:sz="4" w:space="0" w:color="auto"/>
            </w:tcBorders>
            <w:shd w:val="clear" w:color="000000" w:fill="FFFFFF"/>
            <w:vAlign w:val="center"/>
            <w:hideMark/>
          </w:tcPr>
          <w:p w14:paraId="2FDF4F59"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24F3C32E"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000000" w:fill="FFFFFF"/>
            <w:vAlign w:val="center"/>
            <w:hideMark/>
          </w:tcPr>
          <w:p w14:paraId="369377E1"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067" w:type="dxa"/>
            <w:tcBorders>
              <w:top w:val="nil"/>
              <w:left w:val="nil"/>
              <w:bottom w:val="single" w:sz="4" w:space="0" w:color="auto"/>
              <w:right w:val="single" w:sz="4" w:space="0" w:color="auto"/>
            </w:tcBorders>
            <w:shd w:val="clear" w:color="000000" w:fill="FFFFFF"/>
            <w:vAlign w:val="center"/>
            <w:hideMark/>
          </w:tcPr>
          <w:p w14:paraId="526AC71B"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Ligji nr. 128/2021 “Për Agjencinë e Mbikëqyrjes Policore”, neni  77 pika 2</w:t>
            </w:r>
          </w:p>
        </w:tc>
        <w:tc>
          <w:tcPr>
            <w:tcW w:w="2211" w:type="dxa"/>
            <w:tcBorders>
              <w:top w:val="nil"/>
              <w:left w:val="nil"/>
              <w:bottom w:val="single" w:sz="4" w:space="0" w:color="auto"/>
              <w:right w:val="single" w:sz="4" w:space="0" w:color="auto"/>
            </w:tcBorders>
            <w:shd w:val="clear" w:color="000000" w:fill="FFFFFF"/>
            <w:vAlign w:val="center"/>
            <w:hideMark/>
          </w:tcPr>
          <w:p w14:paraId="656544E0"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 xml:space="preserve">Pjesëtarët e familjes, që bashkëjetonin me punonjësin e Agjencisë së Mbikëqyrjes Policore që ka humbur jetën, gjatë kryerjes ose për shkak të detyrës, I paguhet ndihme e menjehershme , femijeve ju paguhet burse per shkollimin ne universitete shteterore, iu sigurohet banese kur jane pa strehim, iu sigurohet pension suplementar, Institucioni organizon dhe perballon shpenzimet mortore, </w:t>
            </w:r>
          </w:p>
        </w:tc>
        <w:tc>
          <w:tcPr>
            <w:tcW w:w="850" w:type="dxa"/>
            <w:tcBorders>
              <w:top w:val="nil"/>
              <w:left w:val="nil"/>
              <w:bottom w:val="single" w:sz="4" w:space="0" w:color="auto"/>
              <w:right w:val="single" w:sz="4" w:space="0" w:color="auto"/>
            </w:tcBorders>
            <w:shd w:val="clear" w:color="000000" w:fill="FFFFFF"/>
            <w:vAlign w:val="center"/>
            <w:hideMark/>
          </w:tcPr>
          <w:p w14:paraId="79103F0E"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7F4FFBAF"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vAlign w:val="center"/>
            <w:hideMark/>
          </w:tcPr>
          <w:p w14:paraId="3A7775AA"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13E9D5C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w:t>
            </w:r>
          </w:p>
        </w:tc>
      </w:tr>
      <w:tr w:rsidR="00B90AA2" w:rsidRPr="00727111" w14:paraId="3348DD8D"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19EF0C42"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13</w:t>
            </w:r>
          </w:p>
        </w:tc>
        <w:tc>
          <w:tcPr>
            <w:tcW w:w="2303" w:type="dxa"/>
            <w:tcBorders>
              <w:top w:val="nil"/>
              <w:left w:val="nil"/>
              <w:bottom w:val="single" w:sz="4" w:space="0" w:color="auto"/>
              <w:right w:val="single" w:sz="4" w:space="0" w:color="auto"/>
            </w:tcBorders>
            <w:shd w:val="clear" w:color="000000" w:fill="FFFFFF"/>
            <w:vAlign w:val="center"/>
            <w:hideMark/>
          </w:tcPr>
          <w:p w14:paraId="02B5EDD6"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Për përcaktimin e rregullave dhe procedurës së mbrojtjes së personaliteteve apo banesës së tyre, pas përfundimit të detyrës, në rast të rrezikut për shkak të detyrës</w:t>
            </w:r>
          </w:p>
        </w:tc>
        <w:tc>
          <w:tcPr>
            <w:tcW w:w="992" w:type="dxa"/>
            <w:tcBorders>
              <w:top w:val="nil"/>
              <w:left w:val="nil"/>
              <w:bottom w:val="single" w:sz="4" w:space="0" w:color="auto"/>
              <w:right w:val="single" w:sz="4" w:space="0" w:color="auto"/>
            </w:tcBorders>
            <w:shd w:val="clear" w:color="000000" w:fill="FFFFFF"/>
            <w:vAlign w:val="center"/>
            <w:hideMark/>
          </w:tcPr>
          <w:p w14:paraId="1871E484"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64585127"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000000" w:fill="FFFFFF"/>
            <w:vAlign w:val="center"/>
            <w:hideMark/>
          </w:tcPr>
          <w:p w14:paraId="2B2E34AA"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067" w:type="dxa"/>
            <w:tcBorders>
              <w:top w:val="nil"/>
              <w:left w:val="nil"/>
              <w:bottom w:val="single" w:sz="4" w:space="0" w:color="auto"/>
              <w:right w:val="single" w:sz="4" w:space="0" w:color="auto"/>
            </w:tcBorders>
            <w:shd w:val="clear" w:color="000000" w:fill="FFFFFF"/>
            <w:vAlign w:val="center"/>
            <w:hideMark/>
          </w:tcPr>
          <w:p w14:paraId="26A71C06"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 xml:space="preserve">Neni 13, pika 4, neni 14, pika 3, të ligjit nr. 33/2021, datë 16.03.2021 “Për Gardën e Republikës së Shqipërisë”, </w:t>
            </w:r>
          </w:p>
        </w:tc>
        <w:tc>
          <w:tcPr>
            <w:tcW w:w="2211" w:type="dxa"/>
            <w:tcBorders>
              <w:top w:val="nil"/>
              <w:left w:val="nil"/>
              <w:bottom w:val="single" w:sz="4" w:space="0" w:color="auto"/>
              <w:right w:val="single" w:sz="4" w:space="0" w:color="auto"/>
            </w:tcBorders>
            <w:shd w:val="clear" w:color="000000" w:fill="FFFFFF"/>
            <w:vAlign w:val="center"/>
            <w:hideMark/>
          </w:tcPr>
          <w:p w14:paraId="73EAE9D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Projektvendimi, synon të përcaktojë rregullat, procedurën dhe kohëzgjatjen e mbrojtjes së personaliteteve të tjera shtetërore pas përfundimit të detyrës, në rast të rrezikut të jetës, shëndetit apo banesës, për shkak të detyrës që kanë kryer</w:t>
            </w:r>
          </w:p>
        </w:tc>
        <w:tc>
          <w:tcPr>
            <w:tcW w:w="850" w:type="dxa"/>
            <w:tcBorders>
              <w:top w:val="nil"/>
              <w:left w:val="nil"/>
              <w:bottom w:val="single" w:sz="4" w:space="0" w:color="auto"/>
              <w:right w:val="single" w:sz="4" w:space="0" w:color="auto"/>
            </w:tcBorders>
            <w:shd w:val="clear" w:color="000000" w:fill="FFFFFF"/>
            <w:vAlign w:val="center"/>
            <w:hideMark/>
          </w:tcPr>
          <w:p w14:paraId="1619F13E"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7C488F0B"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vAlign w:val="center"/>
            <w:hideMark/>
          </w:tcPr>
          <w:p w14:paraId="06A489B1"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714305F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w:t>
            </w:r>
          </w:p>
        </w:tc>
      </w:tr>
      <w:tr w:rsidR="00B90AA2" w:rsidRPr="00727111" w14:paraId="7930F7A1"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0D6837C7"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14</w:t>
            </w:r>
          </w:p>
        </w:tc>
        <w:tc>
          <w:tcPr>
            <w:tcW w:w="2303" w:type="dxa"/>
            <w:tcBorders>
              <w:top w:val="nil"/>
              <w:left w:val="nil"/>
              <w:bottom w:val="single" w:sz="4" w:space="0" w:color="auto"/>
              <w:right w:val="single" w:sz="4" w:space="0" w:color="auto"/>
            </w:tcBorders>
            <w:shd w:val="clear" w:color="000000" w:fill="FFFFFF"/>
            <w:vAlign w:val="center"/>
            <w:hideMark/>
          </w:tcPr>
          <w:p w14:paraId="723080B1" w14:textId="77777777" w:rsidR="00B90AA2" w:rsidRPr="00727111" w:rsidRDefault="00B90AA2" w:rsidP="00B90AA2">
            <w:pPr>
              <w:rPr>
                <w:rFonts w:ascii="Garamond" w:hAnsi="Garamond"/>
                <w:sz w:val="12"/>
                <w:szCs w:val="12"/>
                <w:lang w:eastAsia="sq-AL"/>
              </w:rPr>
            </w:pPr>
            <w:r w:rsidRPr="00727111">
              <w:rPr>
                <w:rFonts w:ascii="Garamond" w:hAnsi="Garamond"/>
                <w:sz w:val="12"/>
                <w:szCs w:val="12"/>
                <w:lang w:eastAsia="sq-AL"/>
              </w:rPr>
              <w:t>Për mbrojtjen e veçantë të punonjësve të Agjencisë së Mbikëqyrjes Policore</w:t>
            </w:r>
          </w:p>
        </w:tc>
        <w:tc>
          <w:tcPr>
            <w:tcW w:w="992" w:type="dxa"/>
            <w:tcBorders>
              <w:top w:val="nil"/>
              <w:left w:val="nil"/>
              <w:bottom w:val="single" w:sz="4" w:space="0" w:color="auto"/>
              <w:right w:val="single" w:sz="4" w:space="0" w:color="auto"/>
            </w:tcBorders>
            <w:shd w:val="clear" w:color="000000" w:fill="FFFFFF"/>
            <w:vAlign w:val="center"/>
            <w:hideMark/>
          </w:tcPr>
          <w:p w14:paraId="49C5F75E"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4AAFAEB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000000" w:fill="FFFFFF"/>
            <w:vAlign w:val="center"/>
            <w:hideMark/>
          </w:tcPr>
          <w:p w14:paraId="50CF371D"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067" w:type="dxa"/>
            <w:tcBorders>
              <w:top w:val="nil"/>
              <w:left w:val="nil"/>
              <w:bottom w:val="single" w:sz="4" w:space="0" w:color="auto"/>
              <w:right w:val="single" w:sz="4" w:space="0" w:color="auto"/>
            </w:tcBorders>
            <w:shd w:val="clear" w:color="000000" w:fill="FFFFFF"/>
            <w:vAlign w:val="center"/>
            <w:hideMark/>
          </w:tcPr>
          <w:p w14:paraId="3882450D"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Ligji nr. 128/2021 “Për Agjencinë e Mbikëqyrjes Policore”, neni  75 pika 2</w:t>
            </w:r>
          </w:p>
        </w:tc>
        <w:tc>
          <w:tcPr>
            <w:tcW w:w="2211" w:type="dxa"/>
            <w:tcBorders>
              <w:top w:val="nil"/>
              <w:left w:val="nil"/>
              <w:bottom w:val="single" w:sz="4" w:space="0" w:color="auto"/>
              <w:right w:val="single" w:sz="4" w:space="0" w:color="auto"/>
            </w:tcBorders>
            <w:shd w:val="clear" w:color="000000" w:fill="FFFFFF"/>
            <w:vAlign w:val="center"/>
            <w:hideMark/>
          </w:tcPr>
          <w:p w14:paraId="789FE4AD"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Ka si qëllim përcaktimin e kushteve për të përfituar mbrojtje të veçantë, si dhe mënyrën e realizimit të kësaj mbrojtje për punonjësin e policisë, të cilit i kërcënohet jeta, familja dhe prona për shkak të detyrës.</w:t>
            </w:r>
          </w:p>
        </w:tc>
        <w:tc>
          <w:tcPr>
            <w:tcW w:w="850" w:type="dxa"/>
            <w:tcBorders>
              <w:top w:val="nil"/>
              <w:left w:val="nil"/>
              <w:bottom w:val="single" w:sz="4" w:space="0" w:color="auto"/>
              <w:right w:val="single" w:sz="4" w:space="0" w:color="auto"/>
            </w:tcBorders>
            <w:shd w:val="clear" w:color="000000" w:fill="FFFFFF"/>
            <w:vAlign w:val="center"/>
            <w:hideMark/>
          </w:tcPr>
          <w:p w14:paraId="2914C2B3"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1C7E1EA0"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 shtylla</w:t>
            </w:r>
            <w:r w:rsidRPr="00727111">
              <w:rPr>
                <w:rFonts w:ascii="Garamond" w:hAnsi="Garamond"/>
                <w:sz w:val="12"/>
                <w:szCs w:val="12"/>
                <w:lang w:eastAsia="sq-AL"/>
              </w:rPr>
              <w:br/>
              <w:t>Shqipëria e</w:t>
            </w:r>
            <w:r w:rsidRPr="00727111">
              <w:rPr>
                <w:rFonts w:ascii="Garamond" w:hAnsi="Garamond"/>
                <w:sz w:val="12"/>
                <w:szCs w:val="12"/>
                <w:lang w:eastAsia="sq-AL"/>
              </w:rPr>
              <w:br/>
              <w:t>fortë, fusha</w:t>
            </w:r>
            <w:r w:rsidRPr="00727111">
              <w:rPr>
                <w:rFonts w:ascii="Garamond" w:hAnsi="Garamond"/>
                <w:sz w:val="12"/>
                <w:szCs w:val="12"/>
                <w:lang w:eastAsia="sq-AL"/>
              </w:rPr>
              <w:br/>
              <w:t>Shqipëria e</w:t>
            </w:r>
            <w:r w:rsidRPr="00727111">
              <w:rPr>
                <w:rFonts w:ascii="Garamond" w:hAnsi="Garamond"/>
                <w:sz w:val="12"/>
                <w:szCs w:val="12"/>
                <w:lang w:eastAsia="sq-AL"/>
              </w:rPr>
              <w:br/>
              <w:t>Sigurt</w:t>
            </w:r>
          </w:p>
        </w:tc>
        <w:tc>
          <w:tcPr>
            <w:tcW w:w="923" w:type="dxa"/>
            <w:tcBorders>
              <w:top w:val="nil"/>
              <w:left w:val="nil"/>
              <w:bottom w:val="single" w:sz="4" w:space="0" w:color="auto"/>
              <w:right w:val="single" w:sz="4" w:space="0" w:color="auto"/>
            </w:tcBorders>
            <w:shd w:val="clear" w:color="000000" w:fill="FFFFFF"/>
            <w:vAlign w:val="center"/>
            <w:hideMark/>
          </w:tcPr>
          <w:p w14:paraId="2D69B28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4AF37735"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w:t>
            </w:r>
          </w:p>
        </w:tc>
      </w:tr>
      <w:tr w:rsidR="00B90AA2" w:rsidRPr="00727111" w14:paraId="1C34984F"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6698D159"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15</w:t>
            </w:r>
          </w:p>
        </w:tc>
        <w:tc>
          <w:tcPr>
            <w:tcW w:w="2303" w:type="dxa"/>
            <w:tcBorders>
              <w:top w:val="nil"/>
              <w:left w:val="nil"/>
              <w:bottom w:val="single" w:sz="4" w:space="0" w:color="auto"/>
              <w:right w:val="single" w:sz="4" w:space="0" w:color="auto"/>
            </w:tcBorders>
            <w:shd w:val="clear" w:color="auto" w:fill="auto"/>
            <w:vAlign w:val="center"/>
            <w:hideMark/>
          </w:tcPr>
          <w:p w14:paraId="0FA438E6" w14:textId="77777777" w:rsidR="00B90AA2" w:rsidRPr="00727111" w:rsidRDefault="00B90AA2" w:rsidP="00B90AA2">
            <w:pPr>
              <w:rPr>
                <w:rFonts w:ascii="Garamond" w:hAnsi="Garamond"/>
                <w:color w:val="000000"/>
                <w:sz w:val="12"/>
                <w:szCs w:val="12"/>
                <w:lang w:eastAsia="sq-AL"/>
              </w:rPr>
            </w:pPr>
            <w:r w:rsidRPr="00727111">
              <w:rPr>
                <w:rFonts w:ascii="Garamond" w:hAnsi="Garamond"/>
                <w:color w:val="000000"/>
                <w:sz w:val="12"/>
                <w:szCs w:val="12"/>
                <w:lang w:eastAsia="sq-AL"/>
              </w:rPr>
              <w:t>Projektvendim për miratimin e modelit të pasaportës biometrike</w:t>
            </w:r>
          </w:p>
        </w:tc>
        <w:tc>
          <w:tcPr>
            <w:tcW w:w="992" w:type="dxa"/>
            <w:tcBorders>
              <w:top w:val="nil"/>
              <w:left w:val="nil"/>
              <w:bottom w:val="single" w:sz="4" w:space="0" w:color="auto"/>
              <w:right w:val="single" w:sz="4" w:space="0" w:color="auto"/>
            </w:tcBorders>
            <w:shd w:val="clear" w:color="000000" w:fill="FFFFFF"/>
            <w:vAlign w:val="center"/>
            <w:hideMark/>
          </w:tcPr>
          <w:p w14:paraId="2A2782CF"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48D1FBF7"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Ministri i Brendshëm</w:t>
            </w:r>
          </w:p>
        </w:tc>
        <w:tc>
          <w:tcPr>
            <w:tcW w:w="1052" w:type="dxa"/>
            <w:tcBorders>
              <w:top w:val="nil"/>
              <w:left w:val="nil"/>
              <w:bottom w:val="single" w:sz="4" w:space="0" w:color="auto"/>
              <w:right w:val="single" w:sz="4" w:space="0" w:color="auto"/>
            </w:tcBorders>
            <w:shd w:val="clear" w:color="000000" w:fill="FFFFFF"/>
            <w:vAlign w:val="center"/>
            <w:hideMark/>
          </w:tcPr>
          <w:p w14:paraId="3ABC187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067" w:type="dxa"/>
            <w:tcBorders>
              <w:top w:val="nil"/>
              <w:left w:val="nil"/>
              <w:bottom w:val="single" w:sz="4" w:space="0" w:color="auto"/>
              <w:right w:val="single" w:sz="4" w:space="0" w:color="auto"/>
            </w:tcBorders>
            <w:shd w:val="clear" w:color="000000" w:fill="FFFFFF"/>
            <w:vAlign w:val="center"/>
            <w:hideMark/>
          </w:tcPr>
          <w:p w14:paraId="5D041A26"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Përcaktim i ligjit nr. 8668, datë 23.10.2000, "Për pajisjen e shtetasve shqiptarë me pasaportë për jashtë shtetit", i ndryshuar", neni 13, ku parashikohet se: "Modeli i pasaportës miratohen me vendim të Këshillit të Ministrave."</w:t>
            </w:r>
          </w:p>
        </w:tc>
        <w:tc>
          <w:tcPr>
            <w:tcW w:w="2211" w:type="dxa"/>
            <w:tcBorders>
              <w:top w:val="nil"/>
              <w:left w:val="nil"/>
              <w:bottom w:val="single" w:sz="4" w:space="0" w:color="auto"/>
              <w:right w:val="single" w:sz="4" w:space="0" w:color="auto"/>
            </w:tcBorders>
            <w:shd w:val="clear" w:color="000000" w:fill="FFFFFF"/>
            <w:vAlign w:val="center"/>
            <w:hideMark/>
          </w:tcPr>
          <w:p w14:paraId="016BFA20"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Saktësimi i specifikikmeve teknike sipas standardeve ICAO/BE</w:t>
            </w:r>
          </w:p>
        </w:tc>
        <w:tc>
          <w:tcPr>
            <w:tcW w:w="850" w:type="dxa"/>
            <w:tcBorders>
              <w:top w:val="nil"/>
              <w:left w:val="nil"/>
              <w:bottom w:val="single" w:sz="4" w:space="0" w:color="auto"/>
              <w:right w:val="single" w:sz="4" w:space="0" w:color="auto"/>
            </w:tcBorders>
            <w:shd w:val="clear" w:color="000000" w:fill="FFFFFF"/>
            <w:vAlign w:val="center"/>
            <w:hideMark/>
          </w:tcPr>
          <w:p w14:paraId="26675AB2"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660F1390"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23" w:type="dxa"/>
            <w:tcBorders>
              <w:top w:val="nil"/>
              <w:left w:val="nil"/>
              <w:bottom w:val="single" w:sz="4" w:space="0" w:color="auto"/>
              <w:right w:val="single" w:sz="4" w:space="0" w:color="auto"/>
            </w:tcBorders>
            <w:shd w:val="clear" w:color="000000" w:fill="FFFFFF"/>
            <w:vAlign w:val="center"/>
            <w:hideMark/>
          </w:tcPr>
          <w:p w14:paraId="6B6E69CB"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38" w:type="dxa"/>
            <w:tcBorders>
              <w:top w:val="nil"/>
              <w:left w:val="nil"/>
              <w:bottom w:val="single" w:sz="4" w:space="0" w:color="auto"/>
              <w:right w:val="single" w:sz="4" w:space="0" w:color="auto"/>
            </w:tcBorders>
            <w:shd w:val="clear" w:color="000000" w:fill="FFFFFF"/>
            <w:vAlign w:val="center"/>
            <w:hideMark/>
          </w:tcPr>
          <w:p w14:paraId="05DD7740"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B90AA2" w:rsidRPr="00727111" w14:paraId="05E7CD55"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28C3E22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16</w:t>
            </w:r>
          </w:p>
        </w:tc>
        <w:tc>
          <w:tcPr>
            <w:tcW w:w="2303" w:type="dxa"/>
            <w:tcBorders>
              <w:top w:val="nil"/>
              <w:left w:val="nil"/>
              <w:bottom w:val="single" w:sz="4" w:space="0" w:color="auto"/>
              <w:right w:val="single" w:sz="4" w:space="0" w:color="auto"/>
            </w:tcBorders>
            <w:shd w:val="clear" w:color="auto" w:fill="auto"/>
            <w:vAlign w:val="center"/>
            <w:hideMark/>
          </w:tcPr>
          <w:p w14:paraId="7DC872CB" w14:textId="77777777" w:rsidR="00B90AA2" w:rsidRPr="00727111" w:rsidRDefault="00B90AA2" w:rsidP="00B90AA2">
            <w:pP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ligjin nr. 8668, datë 23.10.2000, "Për pajisjen e shtetasve shqiptarë me pasaportë për jashtë shtetit", i ndryshuar"</w:t>
            </w:r>
          </w:p>
        </w:tc>
        <w:tc>
          <w:tcPr>
            <w:tcW w:w="992" w:type="dxa"/>
            <w:tcBorders>
              <w:top w:val="nil"/>
              <w:left w:val="nil"/>
              <w:bottom w:val="single" w:sz="4" w:space="0" w:color="auto"/>
              <w:right w:val="single" w:sz="4" w:space="0" w:color="auto"/>
            </w:tcBorders>
            <w:shd w:val="clear" w:color="000000" w:fill="FFFFFF"/>
            <w:vAlign w:val="center"/>
            <w:hideMark/>
          </w:tcPr>
          <w:p w14:paraId="0DE8DA86"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Projektligj</w:t>
            </w:r>
          </w:p>
        </w:tc>
        <w:tc>
          <w:tcPr>
            <w:tcW w:w="992" w:type="dxa"/>
            <w:tcBorders>
              <w:top w:val="nil"/>
              <w:left w:val="nil"/>
              <w:bottom w:val="single" w:sz="4" w:space="0" w:color="auto"/>
              <w:right w:val="single" w:sz="4" w:space="0" w:color="auto"/>
            </w:tcBorders>
            <w:shd w:val="clear" w:color="auto" w:fill="auto"/>
            <w:vAlign w:val="center"/>
            <w:hideMark/>
          </w:tcPr>
          <w:p w14:paraId="3913F510"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4DAD2AFF"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67" w:type="dxa"/>
            <w:tcBorders>
              <w:top w:val="nil"/>
              <w:left w:val="nil"/>
              <w:bottom w:val="single" w:sz="4" w:space="0" w:color="auto"/>
              <w:right w:val="single" w:sz="4" w:space="0" w:color="auto"/>
            </w:tcBorders>
            <w:shd w:val="clear" w:color="auto" w:fill="auto"/>
            <w:vAlign w:val="center"/>
            <w:hideMark/>
          </w:tcPr>
          <w:p w14:paraId="07575DB8"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Ligji aktual është i miratuar në vitin 2000 dhe nuk ka pësuar ndryshime ne thelb. Zhvillimet teknologjike të mëpasshme dhe legjislacioni komunitar që ka pasuar këto ndryshime nuk reflektohen në aktin aktual. Në kuadër të marrjes së vendimit për hapjen e grup kapitujve të I-rë "Thelbësorët" ku përfshihet kapitulli 24 "Drejtësia, Liria dhe Siguria" do të përafrohet me legjislacionin komunitar dhe standardet ndërkombetare në këtë fushë </w:t>
            </w:r>
          </w:p>
        </w:tc>
        <w:tc>
          <w:tcPr>
            <w:tcW w:w="2211" w:type="dxa"/>
            <w:tcBorders>
              <w:top w:val="nil"/>
              <w:left w:val="nil"/>
              <w:bottom w:val="single" w:sz="4" w:space="0" w:color="auto"/>
              <w:right w:val="single" w:sz="4" w:space="0" w:color="auto"/>
            </w:tcBorders>
            <w:shd w:val="clear" w:color="auto" w:fill="auto"/>
            <w:vAlign w:val="center"/>
            <w:hideMark/>
          </w:tcPr>
          <w:p w14:paraId="3DB31098"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Projektakti synon te rregulloje në tërësi të gjitha cështjet qe lidhen me krijimin, shperndarjen dhe administrimin e pasaportes biometrike per shtetasit shqiptar. Duhet te percaktohen qarte objektiva dhe qellimi i projektligjit. Dispozita mbi "perkufizimet" e domosdoshme per këtë akt te cilat lidhen edhe me zhvillimet teknologjike ne kete fushe. Duhet te percaktohen qarte kompetencat e Keshillit te Ministrave ne lidhje me aktet normative qe duhet te pasojne miratimin e ligjit, si dhe fushat e kompetencës se Ministrise se Brendshme. Nje masë e madhe rregullash ne kete fushe jane percaktuar ne aktet ligjore qe kane ratifikuar kontraten e koncesionit (ligji 9972/2008 e vijues), por qe aktualisht kane perfunduar efektet me date 01/08/2023 me mbarimin e saj. </w:t>
            </w:r>
          </w:p>
        </w:tc>
        <w:tc>
          <w:tcPr>
            <w:tcW w:w="850" w:type="dxa"/>
            <w:tcBorders>
              <w:top w:val="nil"/>
              <w:left w:val="nil"/>
              <w:bottom w:val="single" w:sz="4" w:space="0" w:color="auto"/>
              <w:right w:val="single" w:sz="4" w:space="0" w:color="auto"/>
            </w:tcBorders>
            <w:shd w:val="clear" w:color="000000" w:fill="FFFFFF"/>
            <w:vAlign w:val="center"/>
            <w:hideMark/>
          </w:tcPr>
          <w:p w14:paraId="19906C44"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50" w:type="dxa"/>
            <w:tcBorders>
              <w:top w:val="nil"/>
              <w:left w:val="nil"/>
              <w:bottom w:val="single" w:sz="4" w:space="0" w:color="auto"/>
              <w:right w:val="single" w:sz="4" w:space="0" w:color="auto"/>
            </w:tcBorders>
            <w:shd w:val="clear" w:color="000000" w:fill="FFFFFF"/>
            <w:vAlign w:val="center"/>
            <w:hideMark/>
          </w:tcPr>
          <w:p w14:paraId="54962666"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Kapitulli 24 "Drejtesia, Liria dhe Siguria"</w:t>
            </w:r>
          </w:p>
        </w:tc>
        <w:tc>
          <w:tcPr>
            <w:tcW w:w="923" w:type="dxa"/>
            <w:tcBorders>
              <w:top w:val="nil"/>
              <w:left w:val="nil"/>
              <w:bottom w:val="single" w:sz="4" w:space="0" w:color="auto"/>
              <w:right w:val="single" w:sz="4" w:space="0" w:color="auto"/>
            </w:tcBorders>
            <w:shd w:val="clear" w:color="000000" w:fill="FFFFFF"/>
            <w:vAlign w:val="center"/>
            <w:hideMark/>
          </w:tcPr>
          <w:p w14:paraId="1F4BEBA7"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Kapitulli 24 "Drejtesia, Liria dhe Siguria"</w:t>
            </w:r>
          </w:p>
        </w:tc>
        <w:tc>
          <w:tcPr>
            <w:tcW w:w="1238" w:type="dxa"/>
            <w:tcBorders>
              <w:top w:val="nil"/>
              <w:left w:val="nil"/>
              <w:bottom w:val="single" w:sz="4" w:space="0" w:color="auto"/>
              <w:right w:val="single" w:sz="4" w:space="0" w:color="auto"/>
            </w:tcBorders>
            <w:shd w:val="clear" w:color="000000" w:fill="FFFFFF"/>
            <w:vAlign w:val="center"/>
            <w:hideMark/>
          </w:tcPr>
          <w:p w14:paraId="3E9C1BEB"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w:t>
            </w:r>
          </w:p>
        </w:tc>
      </w:tr>
      <w:tr w:rsidR="00B90AA2" w:rsidRPr="00727111" w14:paraId="67DBC9A7"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28BCE9E2"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17</w:t>
            </w:r>
          </w:p>
        </w:tc>
        <w:tc>
          <w:tcPr>
            <w:tcW w:w="2303" w:type="dxa"/>
            <w:tcBorders>
              <w:top w:val="nil"/>
              <w:left w:val="nil"/>
              <w:bottom w:val="single" w:sz="4" w:space="0" w:color="auto"/>
              <w:right w:val="single" w:sz="4" w:space="0" w:color="auto"/>
            </w:tcBorders>
            <w:shd w:val="clear" w:color="auto" w:fill="auto"/>
            <w:vAlign w:val="center"/>
            <w:hideMark/>
          </w:tcPr>
          <w:p w14:paraId="726538D3" w14:textId="77777777" w:rsidR="00B90AA2" w:rsidRPr="00727111" w:rsidRDefault="00B90AA2" w:rsidP="00B90AA2">
            <w:pPr>
              <w:rPr>
                <w:rFonts w:ascii="Garamond" w:hAnsi="Garamond"/>
                <w:color w:val="000000"/>
                <w:sz w:val="12"/>
                <w:szCs w:val="12"/>
                <w:lang w:eastAsia="sq-AL"/>
              </w:rPr>
            </w:pPr>
            <w:r w:rsidRPr="00727111">
              <w:rPr>
                <w:rFonts w:ascii="Garamond" w:hAnsi="Garamond"/>
                <w:color w:val="000000"/>
                <w:sz w:val="12"/>
                <w:szCs w:val="12"/>
                <w:lang w:eastAsia="sq-AL"/>
              </w:rPr>
              <w:t>Për ngritjen dhe funksionimin e Qendrës Kombëtare të Koordinimit të Integruar të Kufirit</w:t>
            </w:r>
          </w:p>
        </w:tc>
        <w:tc>
          <w:tcPr>
            <w:tcW w:w="992" w:type="dxa"/>
            <w:tcBorders>
              <w:top w:val="nil"/>
              <w:left w:val="nil"/>
              <w:bottom w:val="single" w:sz="4" w:space="0" w:color="auto"/>
              <w:right w:val="single" w:sz="4" w:space="0" w:color="auto"/>
            </w:tcBorders>
            <w:shd w:val="clear" w:color="000000" w:fill="FFFFFF"/>
            <w:vAlign w:val="center"/>
            <w:hideMark/>
          </w:tcPr>
          <w:p w14:paraId="3041D98F"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auto" w:fill="auto"/>
            <w:vAlign w:val="center"/>
            <w:hideMark/>
          </w:tcPr>
          <w:p w14:paraId="694413CB"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73B85292"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67" w:type="dxa"/>
            <w:tcBorders>
              <w:top w:val="nil"/>
              <w:left w:val="nil"/>
              <w:bottom w:val="single" w:sz="4" w:space="0" w:color="auto"/>
              <w:right w:val="single" w:sz="4" w:space="0" w:color="auto"/>
            </w:tcBorders>
            <w:shd w:val="clear" w:color="auto" w:fill="auto"/>
            <w:vAlign w:val="center"/>
            <w:hideMark/>
          </w:tcPr>
          <w:p w14:paraId="0144A69A"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Ngritja e Qendrës Kombëtare të Koordinimit të Integruar të Kufirit është masë prioritare e planifikuar në Strategjinë Ndërsektoriale të Menaxhimit të Integruar të Kufirit 2021-2027 dhe në Planin e Veprimit 2024-2025, e konceptuar për të përmirësuar koordinimin dhe bashkëpunimin ndërmjet agjencive dhe institucioneve që operojnë  në këtë fushë</w:t>
            </w:r>
          </w:p>
        </w:tc>
        <w:tc>
          <w:tcPr>
            <w:tcW w:w="2211" w:type="dxa"/>
            <w:tcBorders>
              <w:top w:val="nil"/>
              <w:left w:val="nil"/>
              <w:bottom w:val="single" w:sz="4" w:space="0" w:color="auto"/>
              <w:right w:val="single" w:sz="4" w:space="0" w:color="auto"/>
            </w:tcBorders>
            <w:shd w:val="clear" w:color="auto" w:fill="auto"/>
            <w:vAlign w:val="center"/>
            <w:hideMark/>
          </w:tcPr>
          <w:p w14:paraId="41B8034A"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Projektakti përcakton modalitet e funksionimit të qendrës si strukturë kombëtare ndërinstitucionale në fushën e menaxhimit të integruar të kufirit, mënyrat e bashkëpunimit, koordinimit ndërinstitucional dhe shkëmbimit të informacionit ndërmjet agjencive vendase dhe atyre partnere rajonale dhe evropiane që operojnë në këtë fushë </w:t>
            </w:r>
          </w:p>
        </w:tc>
        <w:tc>
          <w:tcPr>
            <w:tcW w:w="850" w:type="dxa"/>
            <w:tcBorders>
              <w:top w:val="nil"/>
              <w:left w:val="nil"/>
              <w:bottom w:val="single" w:sz="4" w:space="0" w:color="auto"/>
              <w:right w:val="single" w:sz="4" w:space="0" w:color="auto"/>
            </w:tcBorders>
            <w:shd w:val="clear" w:color="auto" w:fill="auto"/>
            <w:vAlign w:val="center"/>
            <w:hideMark/>
          </w:tcPr>
          <w:p w14:paraId="4B630134"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50" w:type="dxa"/>
            <w:tcBorders>
              <w:top w:val="nil"/>
              <w:left w:val="nil"/>
              <w:bottom w:val="single" w:sz="4" w:space="0" w:color="auto"/>
              <w:right w:val="single" w:sz="4" w:space="0" w:color="auto"/>
            </w:tcBorders>
            <w:shd w:val="clear" w:color="auto" w:fill="auto"/>
            <w:vAlign w:val="center"/>
            <w:hideMark/>
          </w:tcPr>
          <w:p w14:paraId="30320C98"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mbështet programin politik të qeverisë 2021-2025 për një Shqipëri më të sigurtë</w:t>
            </w:r>
          </w:p>
        </w:tc>
        <w:tc>
          <w:tcPr>
            <w:tcW w:w="923" w:type="dxa"/>
            <w:tcBorders>
              <w:top w:val="nil"/>
              <w:left w:val="nil"/>
              <w:bottom w:val="single" w:sz="4" w:space="0" w:color="auto"/>
              <w:right w:val="single" w:sz="4" w:space="0" w:color="auto"/>
            </w:tcBorders>
            <w:shd w:val="clear" w:color="auto" w:fill="auto"/>
            <w:vAlign w:val="center"/>
            <w:hideMark/>
          </w:tcPr>
          <w:p w14:paraId="0B1A01DB"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 projektakti është i parashikuar në Strategjinë Ndërsektoriale të Menaxhimit të Integruar të Kufirit 2021-2027 dhe në Planin e Veprimit 2024-2025 </w:t>
            </w:r>
          </w:p>
        </w:tc>
        <w:tc>
          <w:tcPr>
            <w:tcW w:w="1238" w:type="dxa"/>
            <w:tcBorders>
              <w:top w:val="nil"/>
              <w:left w:val="nil"/>
              <w:bottom w:val="single" w:sz="4" w:space="0" w:color="auto"/>
              <w:right w:val="single" w:sz="4" w:space="0" w:color="auto"/>
            </w:tcBorders>
            <w:shd w:val="clear" w:color="auto" w:fill="auto"/>
            <w:vAlign w:val="center"/>
            <w:hideMark/>
          </w:tcPr>
          <w:p w14:paraId="7FC5F1D7"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Ndikimet financiare për ngritjen dhe funksionimin e Qendrës Kombëtare të Koordinimit të Integruar të Kufirit janë në proces vlerësimi nga strukturat teknike </w:t>
            </w:r>
          </w:p>
        </w:tc>
      </w:tr>
      <w:tr w:rsidR="00B90AA2" w:rsidRPr="00727111" w14:paraId="64BB2D00"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75D3F1F1"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18</w:t>
            </w:r>
          </w:p>
        </w:tc>
        <w:tc>
          <w:tcPr>
            <w:tcW w:w="2303" w:type="dxa"/>
            <w:tcBorders>
              <w:top w:val="nil"/>
              <w:left w:val="nil"/>
              <w:bottom w:val="single" w:sz="4" w:space="0" w:color="auto"/>
              <w:right w:val="single" w:sz="4" w:space="0" w:color="auto"/>
            </w:tcBorders>
            <w:shd w:val="clear" w:color="auto" w:fill="auto"/>
            <w:vAlign w:val="center"/>
            <w:hideMark/>
          </w:tcPr>
          <w:p w14:paraId="5EF5A86E" w14:textId="77777777" w:rsidR="00B90AA2" w:rsidRPr="00727111" w:rsidRDefault="00B90AA2" w:rsidP="00B90AA2">
            <w:pPr>
              <w:rPr>
                <w:rFonts w:ascii="Garamond" w:hAnsi="Garamond"/>
                <w:color w:val="000000"/>
                <w:sz w:val="12"/>
                <w:szCs w:val="12"/>
                <w:lang w:eastAsia="sq-AL"/>
              </w:rPr>
            </w:pPr>
            <w:r w:rsidRPr="00727111">
              <w:rPr>
                <w:rFonts w:ascii="Garamond" w:hAnsi="Garamond"/>
                <w:color w:val="000000"/>
                <w:sz w:val="12"/>
                <w:szCs w:val="12"/>
                <w:lang w:eastAsia="sq-AL"/>
              </w:rPr>
              <w:t>Strategjia për Kontrollin e Armëve të Vogla dhe të Lehta, Municioneve dhe Eksplozivëve dhe Plani i Veprimit:</w:t>
            </w:r>
          </w:p>
        </w:tc>
        <w:tc>
          <w:tcPr>
            <w:tcW w:w="992" w:type="dxa"/>
            <w:tcBorders>
              <w:top w:val="nil"/>
              <w:left w:val="nil"/>
              <w:bottom w:val="single" w:sz="4" w:space="0" w:color="auto"/>
              <w:right w:val="single" w:sz="4" w:space="0" w:color="auto"/>
            </w:tcBorders>
            <w:shd w:val="clear" w:color="000000" w:fill="FFFFFF"/>
            <w:vAlign w:val="center"/>
            <w:hideMark/>
          </w:tcPr>
          <w:p w14:paraId="114B63CC"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auto" w:fill="auto"/>
            <w:vAlign w:val="center"/>
            <w:hideMark/>
          </w:tcPr>
          <w:p w14:paraId="144048CD"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0135A317"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67" w:type="dxa"/>
            <w:tcBorders>
              <w:top w:val="nil"/>
              <w:left w:val="nil"/>
              <w:bottom w:val="single" w:sz="4" w:space="0" w:color="auto"/>
              <w:right w:val="single" w:sz="4" w:space="0" w:color="auto"/>
            </w:tcBorders>
            <w:shd w:val="clear" w:color="auto" w:fill="auto"/>
            <w:vAlign w:val="center"/>
            <w:hideMark/>
          </w:tcPr>
          <w:p w14:paraId="01BE48D4"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Përfundon periudha e shtrirjes së dokumentit strategjik dhe planit të veprimit në këtë fushë, konkretisht Strategjia për Kontrollin e Armëve të Vogla të Lehta, Municioneve dhe Eksplozivëve 2019-2025; Plani i Veprimit 2019-2025</w:t>
            </w:r>
          </w:p>
        </w:tc>
        <w:tc>
          <w:tcPr>
            <w:tcW w:w="2211" w:type="dxa"/>
            <w:tcBorders>
              <w:top w:val="nil"/>
              <w:left w:val="nil"/>
              <w:bottom w:val="single" w:sz="4" w:space="0" w:color="auto"/>
              <w:right w:val="single" w:sz="4" w:space="0" w:color="auto"/>
            </w:tcBorders>
            <w:shd w:val="clear" w:color="auto" w:fill="auto"/>
            <w:vAlign w:val="center"/>
            <w:hideMark/>
          </w:tcPr>
          <w:p w14:paraId="7BFCAB94"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Dokument strategjik përcakton vizionin e Qeverisë së Shqipërisë për kontrollin e armëve, municionit dhe eksplozivëve, qëllimet politike dhe objektivat kryesorë  që do të udhëheqin veprimtarinë e institucioneve dhe agjencive përgjegjëse në këtë fushë, për sa i takon aspekteve të parandalimit, kontrollit, bashkëpunimit ndërkombëtar etj., duke iu përafruar standardeve të Bashkimit Europian . </w:t>
            </w:r>
          </w:p>
        </w:tc>
        <w:tc>
          <w:tcPr>
            <w:tcW w:w="850" w:type="dxa"/>
            <w:tcBorders>
              <w:top w:val="nil"/>
              <w:left w:val="nil"/>
              <w:bottom w:val="single" w:sz="4" w:space="0" w:color="auto"/>
              <w:right w:val="single" w:sz="4" w:space="0" w:color="auto"/>
            </w:tcBorders>
            <w:shd w:val="clear" w:color="000000" w:fill="FFFFFF"/>
            <w:vAlign w:val="center"/>
            <w:hideMark/>
          </w:tcPr>
          <w:p w14:paraId="274F4BCE"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w:t>
            </w:r>
            <w:r w:rsidRPr="00727111">
              <w:rPr>
                <w:rFonts w:ascii="Garamond" w:hAnsi="Garamond"/>
                <w:sz w:val="12"/>
                <w:szCs w:val="12"/>
                <w:lang w:eastAsia="sq-AL"/>
              </w:rPr>
              <w:br/>
              <w:t>Kapitulli 24 "Drejtësia, Liria dhe Siguria"</w:t>
            </w:r>
          </w:p>
        </w:tc>
        <w:tc>
          <w:tcPr>
            <w:tcW w:w="1050" w:type="dxa"/>
            <w:tcBorders>
              <w:top w:val="nil"/>
              <w:left w:val="nil"/>
              <w:bottom w:val="single" w:sz="4" w:space="0" w:color="auto"/>
              <w:right w:val="single" w:sz="4" w:space="0" w:color="auto"/>
            </w:tcBorders>
            <w:shd w:val="clear" w:color="auto" w:fill="auto"/>
            <w:vAlign w:val="center"/>
            <w:hideMark/>
          </w:tcPr>
          <w:p w14:paraId="281BF2E2"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mbështet programin politik të qeverisë 2021-2025 për një Shqipëri më të sigurtë</w:t>
            </w:r>
          </w:p>
        </w:tc>
        <w:tc>
          <w:tcPr>
            <w:tcW w:w="923" w:type="dxa"/>
            <w:tcBorders>
              <w:top w:val="nil"/>
              <w:left w:val="nil"/>
              <w:bottom w:val="single" w:sz="4" w:space="0" w:color="auto"/>
              <w:right w:val="single" w:sz="4" w:space="0" w:color="auto"/>
            </w:tcBorders>
            <w:shd w:val="clear" w:color="000000" w:fill="FFFFFF"/>
            <w:vAlign w:val="center"/>
            <w:hideMark/>
          </w:tcPr>
          <w:p w14:paraId="534181CC"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Strategjia Kombëtare për Zhvillim dhe Integrim (SKZHI) 2015-2020 </w:t>
            </w:r>
            <w:r w:rsidRPr="00727111">
              <w:rPr>
                <w:rFonts w:ascii="Garamond" w:hAnsi="Garamond"/>
                <w:color w:val="000000"/>
                <w:sz w:val="12"/>
                <w:szCs w:val="12"/>
                <w:lang w:eastAsia="sq-AL"/>
              </w:rPr>
              <w:br/>
              <w:t xml:space="preserve"> Shtylla 8.4 "Lufta kundër krimit të organizuar, terrorizmit dhe trafikimit",  Objektivi Strategjik 2 "Ulja e trafikimit të paligjshëm dhe, në veçanti, e trafikimit të qenieve njerëzore nga/përmes</w:t>
            </w:r>
            <w:r w:rsidRPr="00727111">
              <w:rPr>
                <w:rFonts w:ascii="Garamond" w:hAnsi="Garamond"/>
                <w:color w:val="000000"/>
                <w:sz w:val="12"/>
                <w:szCs w:val="12"/>
                <w:lang w:eastAsia="sq-AL"/>
              </w:rPr>
              <w:br/>
              <w:t>Shqipërisë deri në 2020"</w:t>
            </w:r>
          </w:p>
        </w:tc>
        <w:tc>
          <w:tcPr>
            <w:tcW w:w="1238" w:type="dxa"/>
            <w:tcBorders>
              <w:top w:val="nil"/>
              <w:left w:val="nil"/>
              <w:bottom w:val="single" w:sz="4" w:space="0" w:color="auto"/>
              <w:right w:val="single" w:sz="4" w:space="0" w:color="auto"/>
            </w:tcBorders>
            <w:shd w:val="clear" w:color="auto" w:fill="auto"/>
            <w:vAlign w:val="center"/>
            <w:hideMark/>
          </w:tcPr>
          <w:p w14:paraId="131D43B5"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Në Planin e ri të Veprimit do të përcaktohen kostot financiare për çdo qëllim politik/objektiv/masë </w:t>
            </w:r>
          </w:p>
        </w:tc>
      </w:tr>
      <w:tr w:rsidR="00B90AA2" w:rsidRPr="00727111" w14:paraId="2C39E0DE" w14:textId="77777777" w:rsidTr="00B90AA2">
        <w:trPr>
          <w:trHeight w:val="180"/>
          <w:jc w:val="center"/>
        </w:trPr>
        <w:tc>
          <w:tcPr>
            <w:tcW w:w="386" w:type="dxa"/>
            <w:tcBorders>
              <w:top w:val="nil"/>
              <w:left w:val="single" w:sz="4" w:space="0" w:color="auto"/>
              <w:bottom w:val="single" w:sz="4" w:space="0" w:color="auto"/>
              <w:right w:val="single" w:sz="4" w:space="0" w:color="auto"/>
            </w:tcBorders>
            <w:shd w:val="clear" w:color="000000" w:fill="FFFFFF"/>
            <w:vAlign w:val="center"/>
            <w:hideMark/>
          </w:tcPr>
          <w:p w14:paraId="7BBA4651"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19</w:t>
            </w:r>
          </w:p>
        </w:tc>
        <w:tc>
          <w:tcPr>
            <w:tcW w:w="2303" w:type="dxa"/>
            <w:tcBorders>
              <w:top w:val="nil"/>
              <w:left w:val="nil"/>
              <w:bottom w:val="single" w:sz="4" w:space="0" w:color="auto"/>
              <w:right w:val="single" w:sz="4" w:space="0" w:color="auto"/>
            </w:tcBorders>
            <w:shd w:val="clear" w:color="000000" w:fill="FFFFFF"/>
            <w:vAlign w:val="center"/>
            <w:hideMark/>
          </w:tcPr>
          <w:p w14:paraId="34289227" w14:textId="77777777" w:rsidR="00B90AA2" w:rsidRPr="00727111" w:rsidRDefault="00B90AA2" w:rsidP="00B90AA2">
            <w:pPr>
              <w:rPr>
                <w:rFonts w:ascii="Garamond" w:hAnsi="Garamond"/>
                <w:color w:val="000000"/>
                <w:sz w:val="12"/>
                <w:szCs w:val="12"/>
                <w:lang w:eastAsia="sq-AL"/>
              </w:rPr>
            </w:pPr>
            <w:r w:rsidRPr="00727111">
              <w:rPr>
                <w:rFonts w:ascii="Garamond" w:hAnsi="Garamond"/>
                <w:color w:val="000000"/>
                <w:sz w:val="12"/>
                <w:szCs w:val="12"/>
                <w:lang w:eastAsia="sq-AL"/>
              </w:rPr>
              <w:t>Per disa shtesa dhe ndryshime ne  VKM nr.499, datë 29.08.2018 "Për miratimin e Procedurave Standarde të Veprimit për Mbrojtjen e Viktimave dhe Viktimave të Mundshme të Trafikimit"</w:t>
            </w:r>
          </w:p>
        </w:tc>
        <w:tc>
          <w:tcPr>
            <w:tcW w:w="992" w:type="dxa"/>
            <w:tcBorders>
              <w:top w:val="nil"/>
              <w:left w:val="nil"/>
              <w:bottom w:val="single" w:sz="4" w:space="0" w:color="auto"/>
              <w:right w:val="single" w:sz="4" w:space="0" w:color="auto"/>
            </w:tcBorders>
            <w:shd w:val="clear" w:color="000000" w:fill="FFFFFF"/>
            <w:vAlign w:val="center"/>
            <w:hideMark/>
          </w:tcPr>
          <w:p w14:paraId="137BBE68"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Projektvendim</w:t>
            </w:r>
          </w:p>
        </w:tc>
        <w:tc>
          <w:tcPr>
            <w:tcW w:w="992" w:type="dxa"/>
            <w:tcBorders>
              <w:top w:val="nil"/>
              <w:left w:val="nil"/>
              <w:bottom w:val="single" w:sz="4" w:space="0" w:color="auto"/>
              <w:right w:val="single" w:sz="4" w:space="0" w:color="auto"/>
            </w:tcBorders>
            <w:shd w:val="clear" w:color="000000" w:fill="FFFFFF"/>
            <w:vAlign w:val="center"/>
            <w:hideMark/>
          </w:tcPr>
          <w:p w14:paraId="0D446643"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Brendshëm</w:t>
            </w:r>
          </w:p>
        </w:tc>
        <w:tc>
          <w:tcPr>
            <w:tcW w:w="1052" w:type="dxa"/>
            <w:tcBorders>
              <w:top w:val="nil"/>
              <w:left w:val="nil"/>
              <w:bottom w:val="single" w:sz="4" w:space="0" w:color="auto"/>
              <w:right w:val="single" w:sz="4" w:space="0" w:color="auto"/>
            </w:tcBorders>
            <w:shd w:val="clear" w:color="auto" w:fill="auto"/>
            <w:vAlign w:val="center"/>
            <w:hideMark/>
          </w:tcPr>
          <w:p w14:paraId="1413E0F3"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67" w:type="dxa"/>
            <w:tcBorders>
              <w:top w:val="nil"/>
              <w:left w:val="nil"/>
              <w:bottom w:val="single" w:sz="4" w:space="0" w:color="auto"/>
              <w:right w:val="single" w:sz="4" w:space="0" w:color="auto"/>
            </w:tcBorders>
            <w:shd w:val="clear" w:color="000000" w:fill="FFFFFF"/>
            <w:vAlign w:val="center"/>
            <w:hideMark/>
          </w:tcPr>
          <w:p w14:paraId="59A97E20"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Ne zbatim të ligjit nr. 8920, datë 11.7.2002, “Për ratifikimin e “Konventës së Kombeve të Bashkuara kundër krimit të organizuar ndërkombëtar” dhe dy protokolleve shtesë të saj”, si dhe të ligjit nr. 9642, datë 20.11.2006, “Për ratifikimin e Konventës së Këshillit të Evropës ‘Për masat kundër trafikimit të qenieve njerëzore’”</w:t>
            </w:r>
          </w:p>
        </w:tc>
        <w:tc>
          <w:tcPr>
            <w:tcW w:w="2211" w:type="dxa"/>
            <w:tcBorders>
              <w:top w:val="nil"/>
              <w:left w:val="nil"/>
              <w:bottom w:val="single" w:sz="4" w:space="0" w:color="auto"/>
              <w:right w:val="single" w:sz="4" w:space="0" w:color="auto"/>
            </w:tcBorders>
            <w:shd w:val="clear" w:color="000000" w:fill="FFFFFF"/>
            <w:vAlign w:val="bottom"/>
            <w:hideMark/>
          </w:tcPr>
          <w:p w14:paraId="56588623" w14:textId="77777777" w:rsidR="00B90AA2" w:rsidRPr="00727111" w:rsidRDefault="00B90AA2" w:rsidP="00B90AA2">
            <w:pPr>
              <w:rPr>
                <w:rFonts w:ascii="Garamond" w:hAnsi="Garamond"/>
                <w:color w:val="000000"/>
                <w:sz w:val="12"/>
                <w:szCs w:val="12"/>
                <w:lang w:eastAsia="sq-AL"/>
              </w:rPr>
            </w:pPr>
            <w:r w:rsidRPr="00727111">
              <w:rPr>
                <w:rFonts w:ascii="Garamond" w:hAnsi="Garamond"/>
                <w:color w:val="000000"/>
                <w:sz w:val="12"/>
                <w:szCs w:val="12"/>
                <w:lang w:eastAsia="sq-AL"/>
              </w:rPr>
              <w:t>Rritja e strukturave shteterore dhe jo shteterore per te realizuar kryerjen e identifikimit te VT/VMT. Marrja e masave me qellim adresimin e formave te reja te trafikimit. Synohet te rritet bashkepunimi me qellim minimizimin e ketij fenomeni. Percaktimi i treguesve dhe hapave per identifikimin, referimin dhe asistencen e dhene VT/VMT.</w:t>
            </w:r>
          </w:p>
        </w:tc>
        <w:tc>
          <w:tcPr>
            <w:tcW w:w="850" w:type="dxa"/>
            <w:tcBorders>
              <w:top w:val="nil"/>
              <w:left w:val="nil"/>
              <w:bottom w:val="single" w:sz="4" w:space="0" w:color="auto"/>
              <w:right w:val="single" w:sz="4" w:space="0" w:color="auto"/>
            </w:tcBorders>
            <w:shd w:val="clear" w:color="000000" w:fill="FFFFFF"/>
            <w:vAlign w:val="center"/>
            <w:hideMark/>
          </w:tcPr>
          <w:p w14:paraId="1D1ED7DD" w14:textId="77777777" w:rsidR="00B90AA2" w:rsidRPr="00727111" w:rsidRDefault="00B90AA2" w:rsidP="00B90AA2">
            <w:pPr>
              <w:jc w:val="center"/>
              <w:rPr>
                <w:rFonts w:ascii="Garamond" w:hAnsi="Garamond"/>
                <w:sz w:val="12"/>
                <w:szCs w:val="12"/>
                <w:lang w:eastAsia="sq-AL"/>
              </w:rPr>
            </w:pPr>
            <w:r w:rsidRPr="00727111">
              <w:rPr>
                <w:rFonts w:ascii="Garamond" w:hAnsi="Garamond"/>
                <w:sz w:val="12"/>
                <w:szCs w:val="12"/>
                <w:lang w:eastAsia="sq-AL"/>
              </w:rPr>
              <w:t>Po</w:t>
            </w:r>
            <w:r w:rsidRPr="00727111">
              <w:rPr>
                <w:rFonts w:ascii="Garamond" w:hAnsi="Garamond"/>
                <w:sz w:val="12"/>
                <w:szCs w:val="12"/>
                <w:lang w:eastAsia="sq-AL"/>
              </w:rPr>
              <w:br/>
              <w:t>Kapitulli 24 "Drejtësia, Liria dhe Siguria"</w:t>
            </w:r>
          </w:p>
        </w:tc>
        <w:tc>
          <w:tcPr>
            <w:tcW w:w="1050" w:type="dxa"/>
            <w:tcBorders>
              <w:top w:val="nil"/>
              <w:left w:val="nil"/>
              <w:bottom w:val="single" w:sz="4" w:space="0" w:color="auto"/>
              <w:right w:val="single" w:sz="4" w:space="0" w:color="auto"/>
            </w:tcBorders>
            <w:shd w:val="clear" w:color="000000" w:fill="FFFFFF"/>
            <w:vAlign w:val="center"/>
            <w:hideMark/>
          </w:tcPr>
          <w:p w14:paraId="434C0962"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Lufta kunder krimit te organizuar dhe trafikimit te personave.</w:t>
            </w:r>
          </w:p>
        </w:tc>
        <w:tc>
          <w:tcPr>
            <w:tcW w:w="923" w:type="dxa"/>
            <w:tcBorders>
              <w:top w:val="nil"/>
              <w:left w:val="nil"/>
              <w:bottom w:val="single" w:sz="4" w:space="0" w:color="auto"/>
              <w:right w:val="single" w:sz="4" w:space="0" w:color="auto"/>
            </w:tcBorders>
            <w:shd w:val="clear" w:color="000000" w:fill="FFFFFF"/>
            <w:vAlign w:val="center"/>
            <w:hideMark/>
          </w:tcPr>
          <w:p w14:paraId="5710D51C"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kunder krimit te organizuar dhe krimeve te renda 2021-2025</w:t>
            </w:r>
          </w:p>
        </w:tc>
        <w:tc>
          <w:tcPr>
            <w:tcW w:w="1238" w:type="dxa"/>
            <w:tcBorders>
              <w:top w:val="nil"/>
              <w:left w:val="nil"/>
              <w:bottom w:val="single" w:sz="4" w:space="0" w:color="auto"/>
              <w:right w:val="single" w:sz="4" w:space="0" w:color="auto"/>
            </w:tcBorders>
            <w:shd w:val="clear" w:color="000000" w:fill="FFFFFF"/>
            <w:vAlign w:val="center"/>
            <w:hideMark/>
          </w:tcPr>
          <w:p w14:paraId="3BCC6B37" w14:textId="77777777" w:rsidR="00B90AA2" w:rsidRPr="00727111" w:rsidRDefault="00B90AA2" w:rsidP="00B90AA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bl>
    <w:p w14:paraId="41338685" w14:textId="70BC704F" w:rsidR="000A7DFC" w:rsidRPr="00727111" w:rsidRDefault="000A7DFC" w:rsidP="00593BF4">
      <w:pPr>
        <w:ind w:firstLine="284"/>
        <w:jc w:val="both"/>
        <w:rPr>
          <w:rFonts w:ascii="Garamond" w:hAnsi="Garamond"/>
          <w:b/>
          <w:sz w:val="24"/>
        </w:rPr>
      </w:pPr>
    </w:p>
    <w:p w14:paraId="082D784B" w14:textId="33BD3108" w:rsidR="000A7DFC" w:rsidRPr="00727111" w:rsidRDefault="000A7DFC" w:rsidP="00593BF4">
      <w:pPr>
        <w:ind w:firstLine="284"/>
        <w:jc w:val="both"/>
        <w:rPr>
          <w:rFonts w:ascii="Garamond" w:hAnsi="Garamond"/>
          <w:b/>
          <w:sz w:val="24"/>
        </w:rPr>
      </w:pPr>
    </w:p>
    <w:p w14:paraId="7C0ED745" w14:textId="60656A53" w:rsidR="00B90AA2" w:rsidRPr="00727111" w:rsidRDefault="00B90AA2" w:rsidP="00593BF4">
      <w:pPr>
        <w:ind w:firstLine="284"/>
        <w:jc w:val="both"/>
        <w:rPr>
          <w:rFonts w:ascii="Garamond" w:hAnsi="Garamond"/>
          <w:b/>
          <w:sz w:val="24"/>
        </w:rPr>
      </w:pPr>
    </w:p>
    <w:p w14:paraId="2DACE086" w14:textId="5C2E3D82" w:rsidR="00B90AA2" w:rsidRPr="00727111" w:rsidRDefault="00B90AA2" w:rsidP="00593BF4">
      <w:pPr>
        <w:ind w:firstLine="284"/>
        <w:jc w:val="both"/>
        <w:rPr>
          <w:rFonts w:ascii="Garamond" w:hAnsi="Garamond"/>
          <w:b/>
          <w:sz w:val="24"/>
        </w:rPr>
      </w:pPr>
    </w:p>
    <w:p w14:paraId="0329D228" w14:textId="76700093" w:rsidR="00B90AA2" w:rsidRPr="00727111" w:rsidRDefault="00B90AA2" w:rsidP="00593BF4">
      <w:pPr>
        <w:ind w:firstLine="284"/>
        <w:jc w:val="both"/>
        <w:rPr>
          <w:rFonts w:ascii="Garamond" w:hAnsi="Garamond"/>
          <w:b/>
          <w:sz w:val="24"/>
        </w:rPr>
      </w:pPr>
    </w:p>
    <w:tbl>
      <w:tblPr>
        <w:tblW w:w="15028" w:type="dxa"/>
        <w:jc w:val="center"/>
        <w:tblLayout w:type="fixed"/>
        <w:tblLook w:val="04A0" w:firstRow="1" w:lastRow="0" w:firstColumn="1" w:lastColumn="0" w:noHBand="0" w:noVBand="1"/>
      </w:tblPr>
      <w:tblGrid>
        <w:gridCol w:w="473"/>
        <w:gridCol w:w="894"/>
        <w:gridCol w:w="901"/>
        <w:gridCol w:w="744"/>
        <w:gridCol w:w="999"/>
        <w:gridCol w:w="1595"/>
        <w:gridCol w:w="2705"/>
        <w:gridCol w:w="1985"/>
        <w:gridCol w:w="2149"/>
        <w:gridCol w:w="1245"/>
        <w:gridCol w:w="1316"/>
        <w:gridCol w:w="22"/>
      </w:tblGrid>
      <w:tr w:rsidR="00622842" w:rsidRPr="00727111" w14:paraId="1FF55E9A" w14:textId="77777777" w:rsidTr="00373419">
        <w:trPr>
          <w:trHeight w:val="180"/>
          <w:jc w:val="center"/>
        </w:trPr>
        <w:tc>
          <w:tcPr>
            <w:tcW w:w="15028" w:type="dxa"/>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4ED6C2A0" w14:textId="77777777" w:rsidR="00622842" w:rsidRPr="00727111" w:rsidRDefault="00622842" w:rsidP="00622842">
            <w:pPr>
              <w:jc w:val="center"/>
              <w:rPr>
                <w:rFonts w:ascii="Garamond" w:hAnsi="Garamond" w:cs="Calibri"/>
                <w:b/>
                <w:bCs/>
                <w:color w:val="000000"/>
                <w:sz w:val="12"/>
                <w:szCs w:val="12"/>
                <w:lang w:eastAsia="sq-AL"/>
              </w:rPr>
            </w:pPr>
            <w:bookmarkStart w:id="7" w:name="RANGE!A1:K13"/>
            <w:r w:rsidRPr="00727111">
              <w:rPr>
                <w:rFonts w:ascii="Garamond" w:hAnsi="Garamond" w:cs="Calibri"/>
                <w:b/>
                <w:bCs/>
                <w:color w:val="000000"/>
                <w:sz w:val="12"/>
                <w:szCs w:val="12"/>
                <w:lang w:eastAsia="sq-AL"/>
              </w:rPr>
              <w:t>Programi i Përgjithshëm Analitik i Projektakteve për vitin 2025</w:t>
            </w:r>
            <w:bookmarkEnd w:id="7"/>
          </w:p>
        </w:tc>
      </w:tr>
      <w:tr w:rsidR="00622842" w:rsidRPr="00727111" w14:paraId="2756F289" w14:textId="77777777" w:rsidTr="00373419">
        <w:trPr>
          <w:trHeight w:val="180"/>
          <w:jc w:val="center"/>
        </w:trPr>
        <w:tc>
          <w:tcPr>
            <w:tcW w:w="15028" w:type="dxa"/>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233AF1B2" w14:textId="77777777" w:rsidR="00622842" w:rsidRPr="00727111" w:rsidRDefault="00622842" w:rsidP="00622842">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Ministria e Bujqësisë dhe Zhvillimit Rural</w:t>
            </w:r>
          </w:p>
        </w:tc>
      </w:tr>
      <w:tr w:rsidR="00622842" w:rsidRPr="00727111" w14:paraId="54B76A01" w14:textId="77777777" w:rsidTr="00373419">
        <w:trPr>
          <w:gridAfter w:val="1"/>
          <w:wAfter w:w="22" w:type="dxa"/>
          <w:trHeight w:val="180"/>
          <w:jc w:val="center"/>
        </w:trPr>
        <w:tc>
          <w:tcPr>
            <w:tcW w:w="473" w:type="dxa"/>
            <w:tcBorders>
              <w:top w:val="nil"/>
              <w:left w:val="single" w:sz="4" w:space="0" w:color="auto"/>
              <w:bottom w:val="single" w:sz="4" w:space="0" w:color="auto"/>
              <w:right w:val="single" w:sz="4" w:space="0" w:color="auto"/>
            </w:tcBorders>
            <w:shd w:val="clear" w:color="000000" w:fill="C00000"/>
            <w:vAlign w:val="center"/>
            <w:hideMark/>
          </w:tcPr>
          <w:p w14:paraId="4DA34670"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Nr.</w:t>
            </w:r>
          </w:p>
        </w:tc>
        <w:tc>
          <w:tcPr>
            <w:tcW w:w="894" w:type="dxa"/>
            <w:tcBorders>
              <w:top w:val="nil"/>
              <w:left w:val="nil"/>
              <w:bottom w:val="single" w:sz="4" w:space="0" w:color="auto"/>
              <w:right w:val="single" w:sz="4" w:space="0" w:color="auto"/>
            </w:tcBorders>
            <w:shd w:val="clear" w:color="000000" w:fill="C00000"/>
            <w:vAlign w:val="center"/>
            <w:hideMark/>
          </w:tcPr>
          <w:p w14:paraId="0BD21A45"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Titulli i projektaktit</w:t>
            </w:r>
          </w:p>
        </w:tc>
        <w:tc>
          <w:tcPr>
            <w:tcW w:w="901" w:type="dxa"/>
            <w:tcBorders>
              <w:top w:val="nil"/>
              <w:left w:val="nil"/>
              <w:bottom w:val="single" w:sz="4" w:space="0" w:color="auto"/>
              <w:right w:val="single" w:sz="4" w:space="0" w:color="auto"/>
            </w:tcBorders>
            <w:shd w:val="clear" w:color="000000" w:fill="C00000"/>
            <w:vAlign w:val="center"/>
            <w:hideMark/>
          </w:tcPr>
          <w:p w14:paraId="16468BE8"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Lloji i projektaktit</w:t>
            </w:r>
          </w:p>
        </w:tc>
        <w:tc>
          <w:tcPr>
            <w:tcW w:w="744" w:type="dxa"/>
            <w:tcBorders>
              <w:top w:val="nil"/>
              <w:left w:val="nil"/>
              <w:bottom w:val="single" w:sz="4" w:space="0" w:color="auto"/>
              <w:right w:val="single" w:sz="4" w:space="0" w:color="auto"/>
            </w:tcBorders>
            <w:shd w:val="clear" w:color="000000" w:fill="C00000"/>
            <w:vAlign w:val="center"/>
            <w:hideMark/>
          </w:tcPr>
          <w:p w14:paraId="2B71F7A8"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Ministri propozues</w:t>
            </w:r>
          </w:p>
        </w:tc>
        <w:tc>
          <w:tcPr>
            <w:tcW w:w="999" w:type="dxa"/>
            <w:tcBorders>
              <w:top w:val="nil"/>
              <w:left w:val="nil"/>
              <w:bottom w:val="single" w:sz="4" w:space="0" w:color="auto"/>
              <w:right w:val="single" w:sz="4" w:space="0" w:color="auto"/>
            </w:tcBorders>
            <w:shd w:val="clear" w:color="000000" w:fill="C00000"/>
            <w:vAlign w:val="center"/>
            <w:hideMark/>
          </w:tcPr>
          <w:p w14:paraId="4E36C099"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Katër mujori</w:t>
            </w:r>
          </w:p>
        </w:tc>
        <w:tc>
          <w:tcPr>
            <w:tcW w:w="1595" w:type="dxa"/>
            <w:tcBorders>
              <w:top w:val="nil"/>
              <w:left w:val="nil"/>
              <w:bottom w:val="single" w:sz="4" w:space="0" w:color="auto"/>
              <w:right w:val="single" w:sz="4" w:space="0" w:color="auto"/>
            </w:tcBorders>
            <w:shd w:val="clear" w:color="000000" w:fill="C00000"/>
            <w:vAlign w:val="center"/>
            <w:hideMark/>
          </w:tcPr>
          <w:p w14:paraId="25877BE2"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Arsyet kryesore për propozimin e projektaktit</w:t>
            </w:r>
          </w:p>
        </w:tc>
        <w:tc>
          <w:tcPr>
            <w:tcW w:w="2705" w:type="dxa"/>
            <w:tcBorders>
              <w:top w:val="nil"/>
              <w:left w:val="nil"/>
              <w:bottom w:val="single" w:sz="4" w:space="0" w:color="auto"/>
              <w:right w:val="single" w:sz="4" w:space="0" w:color="auto"/>
            </w:tcBorders>
            <w:shd w:val="clear" w:color="000000" w:fill="C00000"/>
            <w:vAlign w:val="center"/>
            <w:hideMark/>
          </w:tcPr>
          <w:p w14:paraId="59A85FD2"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 xml:space="preserve">Çështjet kryesore që parashikon të rregullojë projektakti </w:t>
            </w:r>
          </w:p>
        </w:tc>
        <w:tc>
          <w:tcPr>
            <w:tcW w:w="1985" w:type="dxa"/>
            <w:tcBorders>
              <w:top w:val="nil"/>
              <w:left w:val="nil"/>
              <w:bottom w:val="single" w:sz="4" w:space="0" w:color="auto"/>
              <w:right w:val="single" w:sz="4" w:space="0" w:color="auto"/>
            </w:tcBorders>
            <w:shd w:val="clear" w:color="000000" w:fill="C00000"/>
            <w:vAlign w:val="center"/>
            <w:hideMark/>
          </w:tcPr>
          <w:p w14:paraId="2B70E983"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 është parashikuar projektakti në PKIE?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po, të specifikohet kapitulli përkatës</w:t>
            </w:r>
          </w:p>
        </w:tc>
        <w:tc>
          <w:tcPr>
            <w:tcW w:w="2149" w:type="dxa"/>
            <w:tcBorders>
              <w:top w:val="nil"/>
              <w:left w:val="nil"/>
              <w:bottom w:val="single" w:sz="4" w:space="0" w:color="auto"/>
              <w:right w:val="single" w:sz="4" w:space="0" w:color="auto"/>
            </w:tcBorders>
            <w:shd w:val="clear" w:color="000000" w:fill="C00000"/>
            <w:vAlign w:val="center"/>
            <w:hideMark/>
          </w:tcPr>
          <w:p w14:paraId="25BB017C"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Përputhshmëria e projektaktit me programin politik qeverisës 2021-2025</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përputhet, të jepet  referenca e saktë në progam</w:t>
            </w:r>
          </w:p>
        </w:tc>
        <w:tc>
          <w:tcPr>
            <w:tcW w:w="1245" w:type="dxa"/>
            <w:tcBorders>
              <w:top w:val="nil"/>
              <w:left w:val="nil"/>
              <w:bottom w:val="single" w:sz="4" w:space="0" w:color="auto"/>
              <w:right w:val="single" w:sz="4" w:space="0" w:color="auto"/>
            </w:tcBorders>
            <w:shd w:val="clear" w:color="000000" w:fill="C00000"/>
            <w:vAlign w:val="center"/>
            <w:hideMark/>
          </w:tcPr>
          <w:p w14:paraId="1234C30C"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Lidhja e projektaktit me strategjitë kombëtare dhe sektoriale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lidhet, të specifikohen strategjitë</w:t>
            </w:r>
          </w:p>
        </w:tc>
        <w:tc>
          <w:tcPr>
            <w:tcW w:w="1316" w:type="dxa"/>
            <w:tcBorders>
              <w:top w:val="nil"/>
              <w:left w:val="nil"/>
              <w:bottom w:val="single" w:sz="4" w:space="0" w:color="auto"/>
              <w:right w:val="single" w:sz="4" w:space="0" w:color="auto"/>
            </w:tcBorders>
            <w:shd w:val="clear" w:color="000000" w:fill="C00000"/>
            <w:vAlign w:val="center"/>
            <w:hideMark/>
          </w:tcPr>
          <w:p w14:paraId="0D2B6467" w14:textId="77777777" w:rsidR="00622842" w:rsidRPr="00727111" w:rsidRDefault="00622842" w:rsidP="00622842">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Ndikimet e mundshme ekonomike, financiare, sociale dhe mjedisore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 xml:space="preserve">Përgjigjuni me Po/Jo për ndikimet përkatëse </w:t>
            </w:r>
          </w:p>
        </w:tc>
      </w:tr>
      <w:tr w:rsidR="00622842" w:rsidRPr="00727111" w14:paraId="213120B2" w14:textId="77777777" w:rsidTr="00373419">
        <w:trPr>
          <w:gridAfter w:val="1"/>
          <w:wAfter w:w="22" w:type="dxa"/>
          <w:trHeight w:val="180"/>
          <w:jc w:val="center"/>
        </w:trPr>
        <w:tc>
          <w:tcPr>
            <w:tcW w:w="473" w:type="dxa"/>
            <w:tcBorders>
              <w:top w:val="nil"/>
              <w:left w:val="single" w:sz="4" w:space="0" w:color="auto"/>
              <w:bottom w:val="nil"/>
              <w:right w:val="single" w:sz="4" w:space="0" w:color="auto"/>
            </w:tcBorders>
            <w:shd w:val="clear" w:color="auto" w:fill="auto"/>
            <w:vAlign w:val="center"/>
            <w:hideMark/>
          </w:tcPr>
          <w:p w14:paraId="1B6A971C"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1</w:t>
            </w:r>
          </w:p>
        </w:tc>
        <w:tc>
          <w:tcPr>
            <w:tcW w:w="894" w:type="dxa"/>
            <w:tcBorders>
              <w:top w:val="nil"/>
              <w:left w:val="nil"/>
              <w:bottom w:val="single" w:sz="4" w:space="0" w:color="auto"/>
              <w:right w:val="single" w:sz="4" w:space="0" w:color="auto"/>
            </w:tcBorders>
            <w:shd w:val="clear" w:color="auto" w:fill="auto"/>
            <w:vAlign w:val="center"/>
            <w:hideMark/>
          </w:tcPr>
          <w:p w14:paraId="6333D27B"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Projektligj "Per nenproduktet me origjine shtazore</w:t>
            </w:r>
          </w:p>
        </w:tc>
        <w:tc>
          <w:tcPr>
            <w:tcW w:w="901" w:type="dxa"/>
            <w:tcBorders>
              <w:top w:val="nil"/>
              <w:left w:val="nil"/>
              <w:bottom w:val="single" w:sz="4" w:space="0" w:color="auto"/>
              <w:right w:val="single" w:sz="4" w:space="0" w:color="auto"/>
            </w:tcBorders>
            <w:shd w:val="clear" w:color="auto" w:fill="auto"/>
            <w:vAlign w:val="center"/>
            <w:hideMark/>
          </w:tcPr>
          <w:p w14:paraId="561E9332"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744" w:type="dxa"/>
            <w:tcBorders>
              <w:top w:val="nil"/>
              <w:left w:val="nil"/>
              <w:bottom w:val="single" w:sz="4" w:space="0" w:color="auto"/>
              <w:right w:val="single" w:sz="4" w:space="0" w:color="auto"/>
            </w:tcBorders>
            <w:shd w:val="clear" w:color="auto" w:fill="auto"/>
            <w:vAlign w:val="center"/>
            <w:hideMark/>
          </w:tcPr>
          <w:p w14:paraId="6E01CF2F"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56763F1A"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1595" w:type="dxa"/>
            <w:tcBorders>
              <w:top w:val="nil"/>
              <w:left w:val="nil"/>
              <w:bottom w:val="single" w:sz="4" w:space="0" w:color="auto"/>
              <w:right w:val="single" w:sz="4" w:space="0" w:color="auto"/>
            </w:tcBorders>
            <w:shd w:val="clear" w:color="auto" w:fill="auto"/>
            <w:vAlign w:val="center"/>
            <w:hideMark/>
          </w:tcPr>
          <w:p w14:paraId="115F9A32"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Krijimi i bazes se munguar ligjore per trajtimin e nenprodukteve me origjine shtazore qe nuk synohen te konsumohen nga njeriu. Perafrimi i Rregullores 1069/2009 "Percakton rregullat e shendetit ne lidhje me nenproduktet e kafsheve dhe produkteve derivate qe nuk jane te destinuara per konsum njerezor.</w:t>
            </w:r>
          </w:p>
        </w:tc>
        <w:tc>
          <w:tcPr>
            <w:tcW w:w="2705" w:type="dxa"/>
            <w:tcBorders>
              <w:top w:val="nil"/>
              <w:left w:val="nil"/>
              <w:bottom w:val="single" w:sz="4" w:space="0" w:color="auto"/>
              <w:right w:val="single" w:sz="4" w:space="0" w:color="auto"/>
            </w:tcBorders>
            <w:shd w:val="clear" w:color="auto" w:fill="auto"/>
            <w:vAlign w:val="center"/>
            <w:hideMark/>
          </w:tcPr>
          <w:p w14:paraId="1BAB2A29"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Percaktimi i rregullave per mbledhjen e nenprodukteve dhe kategorizimi i tyre, caktimi i destinacionit dhe perdorimit, caktimi i autoriteteve te kontrollit, masat administrative per shkeljet.</w:t>
            </w:r>
          </w:p>
        </w:tc>
        <w:tc>
          <w:tcPr>
            <w:tcW w:w="1985" w:type="dxa"/>
            <w:tcBorders>
              <w:top w:val="nil"/>
              <w:left w:val="nil"/>
              <w:bottom w:val="single" w:sz="4" w:space="0" w:color="auto"/>
              <w:right w:val="single" w:sz="4" w:space="0" w:color="auto"/>
            </w:tcBorders>
            <w:shd w:val="clear" w:color="auto" w:fill="auto"/>
            <w:vAlign w:val="center"/>
            <w:hideMark/>
          </w:tcPr>
          <w:p w14:paraId="107D3100"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12 “Politikat e Sigurisë Ushqimore, Veterinarisë dhe Mbrojtjes së Bimëve”</w:t>
            </w:r>
          </w:p>
        </w:tc>
        <w:tc>
          <w:tcPr>
            <w:tcW w:w="2149" w:type="dxa"/>
            <w:tcBorders>
              <w:top w:val="nil"/>
              <w:left w:val="nil"/>
              <w:bottom w:val="single" w:sz="4" w:space="0" w:color="auto"/>
              <w:right w:val="single" w:sz="4" w:space="0" w:color="auto"/>
            </w:tcBorders>
            <w:shd w:val="clear" w:color="auto" w:fill="auto"/>
            <w:vAlign w:val="center"/>
            <w:hideMark/>
          </w:tcPr>
          <w:p w14:paraId="2DCD992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45" w:type="dxa"/>
            <w:tcBorders>
              <w:top w:val="nil"/>
              <w:left w:val="nil"/>
              <w:bottom w:val="single" w:sz="4" w:space="0" w:color="auto"/>
              <w:right w:val="single" w:sz="4" w:space="0" w:color="auto"/>
            </w:tcBorders>
            <w:shd w:val="clear" w:color="auto" w:fill="auto"/>
            <w:vAlign w:val="center"/>
            <w:hideMark/>
          </w:tcPr>
          <w:p w14:paraId="43784F72"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316" w:type="dxa"/>
            <w:tcBorders>
              <w:top w:val="nil"/>
              <w:left w:val="nil"/>
              <w:bottom w:val="single" w:sz="4" w:space="0" w:color="auto"/>
              <w:right w:val="single" w:sz="4" w:space="0" w:color="auto"/>
            </w:tcBorders>
            <w:shd w:val="clear" w:color="auto" w:fill="auto"/>
            <w:vAlign w:val="center"/>
            <w:hideMark/>
          </w:tcPr>
          <w:p w14:paraId="798C94B0"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Po, mjedisore</w:t>
            </w:r>
          </w:p>
        </w:tc>
      </w:tr>
      <w:tr w:rsidR="00622842" w:rsidRPr="00727111" w14:paraId="1F08205C" w14:textId="77777777" w:rsidTr="00373419">
        <w:trPr>
          <w:gridAfter w:val="1"/>
          <w:wAfter w:w="22" w:type="dxa"/>
          <w:trHeight w:val="180"/>
          <w:jc w:val="center"/>
        </w:trPr>
        <w:tc>
          <w:tcPr>
            <w:tcW w:w="473" w:type="dxa"/>
            <w:tcBorders>
              <w:top w:val="single" w:sz="4" w:space="0" w:color="auto"/>
              <w:left w:val="single" w:sz="4" w:space="0" w:color="auto"/>
              <w:bottom w:val="nil"/>
              <w:right w:val="single" w:sz="4" w:space="0" w:color="auto"/>
            </w:tcBorders>
            <w:shd w:val="clear" w:color="auto" w:fill="auto"/>
            <w:vAlign w:val="center"/>
            <w:hideMark/>
          </w:tcPr>
          <w:p w14:paraId="74C010C5"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2</w:t>
            </w:r>
          </w:p>
        </w:tc>
        <w:tc>
          <w:tcPr>
            <w:tcW w:w="894" w:type="dxa"/>
            <w:tcBorders>
              <w:top w:val="nil"/>
              <w:left w:val="nil"/>
              <w:bottom w:val="single" w:sz="4" w:space="0" w:color="auto"/>
              <w:right w:val="single" w:sz="4" w:space="0" w:color="auto"/>
            </w:tcBorders>
            <w:shd w:val="clear" w:color="auto" w:fill="auto"/>
            <w:vAlign w:val="center"/>
            <w:hideMark/>
          </w:tcPr>
          <w:p w14:paraId="07505A0B"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"Për përcaktimin e kritereve bazë, të sektorëve që do të mbështeten dhe të masës së financimit nga fondi i Programit për Bujqësinë dhe Zhvillimin Rural, për vitin 2025"</w:t>
            </w:r>
          </w:p>
        </w:tc>
        <w:tc>
          <w:tcPr>
            <w:tcW w:w="901" w:type="dxa"/>
            <w:tcBorders>
              <w:top w:val="nil"/>
              <w:left w:val="nil"/>
              <w:bottom w:val="single" w:sz="4" w:space="0" w:color="auto"/>
              <w:right w:val="single" w:sz="4" w:space="0" w:color="auto"/>
            </w:tcBorders>
            <w:shd w:val="clear" w:color="auto" w:fill="auto"/>
            <w:noWrap/>
            <w:vAlign w:val="center"/>
            <w:hideMark/>
          </w:tcPr>
          <w:p w14:paraId="309B10DE"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744" w:type="dxa"/>
            <w:tcBorders>
              <w:top w:val="nil"/>
              <w:left w:val="nil"/>
              <w:bottom w:val="single" w:sz="4" w:space="0" w:color="auto"/>
              <w:right w:val="single" w:sz="4" w:space="0" w:color="auto"/>
            </w:tcBorders>
            <w:shd w:val="clear" w:color="auto" w:fill="auto"/>
            <w:vAlign w:val="center"/>
            <w:hideMark/>
          </w:tcPr>
          <w:p w14:paraId="47E2E95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671DAC0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1595" w:type="dxa"/>
            <w:tcBorders>
              <w:top w:val="nil"/>
              <w:left w:val="nil"/>
              <w:bottom w:val="single" w:sz="4" w:space="0" w:color="auto"/>
              <w:right w:val="single" w:sz="4" w:space="0" w:color="auto"/>
            </w:tcBorders>
            <w:shd w:val="clear" w:color="auto" w:fill="auto"/>
            <w:vAlign w:val="center"/>
            <w:hideMark/>
          </w:tcPr>
          <w:p w14:paraId="785C8B8F"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Mbështetje për fermerët dhe subjektet në fushën e bujqësisë dhe zhvillimit rural;  mbështetje me naftë për punimet e mekanizuara në bujqësi; skema e investimeve.                                </w:t>
            </w:r>
          </w:p>
        </w:tc>
        <w:tc>
          <w:tcPr>
            <w:tcW w:w="2705" w:type="dxa"/>
            <w:tcBorders>
              <w:top w:val="nil"/>
              <w:left w:val="nil"/>
              <w:bottom w:val="single" w:sz="4" w:space="0" w:color="auto"/>
              <w:right w:val="single" w:sz="4" w:space="0" w:color="auto"/>
            </w:tcBorders>
            <w:shd w:val="clear" w:color="auto" w:fill="auto"/>
            <w:vAlign w:val="center"/>
            <w:hideMark/>
          </w:tcPr>
          <w:p w14:paraId="1162EE0E"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masave të mbështetjes kombëtare për bujqësinë dhe zhvillimin rural për vitin 2025, kriteret bazë, masat e financimit.</w:t>
            </w:r>
          </w:p>
        </w:tc>
        <w:tc>
          <w:tcPr>
            <w:tcW w:w="1985" w:type="dxa"/>
            <w:tcBorders>
              <w:top w:val="nil"/>
              <w:left w:val="nil"/>
              <w:bottom w:val="single" w:sz="4" w:space="0" w:color="auto"/>
              <w:right w:val="single" w:sz="4" w:space="0" w:color="auto"/>
            </w:tcBorders>
            <w:shd w:val="clear" w:color="auto" w:fill="auto"/>
            <w:noWrap/>
            <w:vAlign w:val="center"/>
            <w:hideMark/>
          </w:tcPr>
          <w:p w14:paraId="1B53415E"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49" w:type="dxa"/>
            <w:tcBorders>
              <w:top w:val="nil"/>
              <w:left w:val="nil"/>
              <w:bottom w:val="single" w:sz="4" w:space="0" w:color="auto"/>
              <w:right w:val="single" w:sz="4" w:space="0" w:color="auto"/>
            </w:tcBorders>
            <w:shd w:val="clear" w:color="auto" w:fill="auto"/>
            <w:vAlign w:val="center"/>
            <w:hideMark/>
          </w:tcPr>
          <w:p w14:paraId="7DEA9DD0" w14:textId="77777777" w:rsidR="00373419"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Zhvillimi i Bujqësisë dhe Fshatit;              </w:t>
            </w:r>
          </w:p>
          <w:p w14:paraId="63FF620D" w14:textId="61365F15"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Rritja e mbështetjes në Bujqësi, Blegtori dhe Zhvillim Rural.</w:t>
            </w:r>
          </w:p>
        </w:tc>
        <w:tc>
          <w:tcPr>
            <w:tcW w:w="1245" w:type="dxa"/>
            <w:tcBorders>
              <w:top w:val="nil"/>
              <w:left w:val="nil"/>
              <w:bottom w:val="single" w:sz="4" w:space="0" w:color="auto"/>
              <w:right w:val="single" w:sz="4" w:space="0" w:color="auto"/>
            </w:tcBorders>
            <w:shd w:val="clear" w:color="auto" w:fill="auto"/>
            <w:vAlign w:val="center"/>
            <w:hideMark/>
          </w:tcPr>
          <w:p w14:paraId="576181AF"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Strategjia Ndërsektoriale për Bujqësinë, Zhvillimin Rural dhe Peshkimin 2021 - 2027, miratuar me Vendimin Nr. 460,  datë 29.6.2022</w:t>
            </w:r>
          </w:p>
        </w:tc>
        <w:tc>
          <w:tcPr>
            <w:tcW w:w="1316" w:type="dxa"/>
            <w:tcBorders>
              <w:top w:val="nil"/>
              <w:left w:val="nil"/>
              <w:bottom w:val="single" w:sz="4" w:space="0" w:color="auto"/>
              <w:right w:val="single" w:sz="4" w:space="0" w:color="auto"/>
            </w:tcBorders>
            <w:shd w:val="clear" w:color="auto" w:fill="auto"/>
            <w:noWrap/>
            <w:vAlign w:val="center"/>
            <w:hideMark/>
          </w:tcPr>
          <w:p w14:paraId="52B9052B"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 </w:t>
            </w:r>
          </w:p>
        </w:tc>
      </w:tr>
      <w:tr w:rsidR="00622842" w:rsidRPr="00727111" w14:paraId="3DAAAC6D" w14:textId="77777777" w:rsidTr="00373419">
        <w:trPr>
          <w:gridAfter w:val="1"/>
          <w:wAfter w:w="22" w:type="dxa"/>
          <w:trHeight w:val="180"/>
          <w:jc w:val="center"/>
        </w:trPr>
        <w:tc>
          <w:tcPr>
            <w:tcW w:w="473" w:type="dxa"/>
            <w:tcBorders>
              <w:top w:val="single" w:sz="4" w:space="0" w:color="auto"/>
              <w:left w:val="single" w:sz="4" w:space="0" w:color="auto"/>
              <w:bottom w:val="nil"/>
              <w:right w:val="single" w:sz="4" w:space="0" w:color="auto"/>
            </w:tcBorders>
            <w:shd w:val="clear" w:color="auto" w:fill="auto"/>
            <w:vAlign w:val="center"/>
            <w:hideMark/>
          </w:tcPr>
          <w:p w14:paraId="15CE25D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3</w:t>
            </w:r>
          </w:p>
        </w:tc>
        <w:tc>
          <w:tcPr>
            <w:tcW w:w="894" w:type="dxa"/>
            <w:tcBorders>
              <w:top w:val="nil"/>
              <w:left w:val="nil"/>
              <w:bottom w:val="single" w:sz="4" w:space="0" w:color="auto"/>
              <w:right w:val="single" w:sz="4" w:space="0" w:color="auto"/>
            </w:tcBorders>
            <w:shd w:val="clear" w:color="auto" w:fill="auto"/>
            <w:vAlign w:val="center"/>
            <w:hideMark/>
          </w:tcPr>
          <w:p w14:paraId="208D85D7"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"Për produktet mjekesore veterinare"</w:t>
            </w:r>
          </w:p>
        </w:tc>
        <w:tc>
          <w:tcPr>
            <w:tcW w:w="901" w:type="dxa"/>
            <w:tcBorders>
              <w:top w:val="nil"/>
              <w:left w:val="nil"/>
              <w:bottom w:val="single" w:sz="4" w:space="0" w:color="auto"/>
              <w:right w:val="single" w:sz="4" w:space="0" w:color="auto"/>
            </w:tcBorders>
            <w:shd w:val="clear" w:color="auto" w:fill="auto"/>
            <w:noWrap/>
            <w:vAlign w:val="center"/>
            <w:hideMark/>
          </w:tcPr>
          <w:p w14:paraId="70544472"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744" w:type="dxa"/>
            <w:tcBorders>
              <w:top w:val="nil"/>
              <w:left w:val="nil"/>
              <w:bottom w:val="single" w:sz="4" w:space="0" w:color="auto"/>
              <w:right w:val="single" w:sz="4" w:space="0" w:color="auto"/>
            </w:tcBorders>
            <w:shd w:val="clear" w:color="auto" w:fill="auto"/>
            <w:vAlign w:val="center"/>
            <w:hideMark/>
          </w:tcPr>
          <w:p w14:paraId="6BD2C438"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0FBE8D76"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595" w:type="dxa"/>
            <w:tcBorders>
              <w:top w:val="nil"/>
              <w:left w:val="nil"/>
              <w:bottom w:val="single" w:sz="4" w:space="0" w:color="auto"/>
              <w:right w:val="single" w:sz="4" w:space="0" w:color="auto"/>
            </w:tcBorders>
            <w:shd w:val="clear" w:color="auto" w:fill="auto"/>
            <w:vAlign w:val="center"/>
            <w:hideMark/>
          </w:tcPr>
          <w:p w14:paraId="1C4597C0"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Detyrim nga takimi  Bilateral Screening Meeting për Kapitullin 28 - Mbrojtja e Konsumatorit/Shendeti Publik,  zhvilluar Më 17 shkurt 2023, në të cilin Shqipëria mori angazhim përafrimin e Rreg. (BE) 2019/6 e Parlamentit Evropian dhe e Këshillit e datës 11 dhjetor 2018 "Për produktet mjekesore veterinare" që shfuqizon Direktivën 2001/82/EC, </w:t>
            </w:r>
          </w:p>
        </w:tc>
        <w:tc>
          <w:tcPr>
            <w:tcW w:w="2705" w:type="dxa"/>
            <w:tcBorders>
              <w:top w:val="nil"/>
              <w:left w:val="nil"/>
              <w:bottom w:val="single" w:sz="4" w:space="0" w:color="auto"/>
              <w:right w:val="single" w:sz="4" w:space="0" w:color="auto"/>
            </w:tcBorders>
            <w:shd w:val="clear" w:color="auto" w:fill="auto"/>
            <w:vAlign w:val="center"/>
            <w:hideMark/>
          </w:tcPr>
          <w:p w14:paraId="34DB56D9"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Projektakti përcakton rregullat për vendosjen në treg, prodhimin, importin, eksportin, furnizimin, shpërndarjen, farmakovigjilencën, kontrollin dhe përdorimin e produkteve mjekësore veterinare duke ndikuar në përmirësimin e shëndetit të kafshëve dhe njerëzve si edhe sjell;                                                                                              </w:t>
            </w:r>
            <w:r w:rsidRPr="00727111">
              <w:rPr>
                <w:rFonts w:ascii="Garamond" w:hAnsi="Garamond"/>
                <w:color w:val="000000"/>
                <w:sz w:val="12"/>
                <w:szCs w:val="12"/>
                <w:lang w:eastAsia="sq-AL"/>
              </w:rPr>
              <w:br/>
              <w:t>Një kuadër ligjor modern inovativ</w:t>
            </w:r>
            <w:r w:rsidRPr="00727111">
              <w:rPr>
                <w:rFonts w:ascii="Garamond" w:hAnsi="Garamond"/>
                <w:color w:val="000000"/>
                <w:sz w:val="12"/>
                <w:szCs w:val="12"/>
                <w:lang w:eastAsia="sq-AL"/>
              </w:rPr>
              <w:br/>
              <w:t>Promovimin i rritjes së disponueshmërisë së VMP-ve duke stimuluar inovacionin dhe konkurrencën</w:t>
            </w:r>
            <w:r w:rsidRPr="00727111">
              <w:rPr>
                <w:rFonts w:ascii="Garamond" w:hAnsi="Garamond"/>
                <w:color w:val="000000"/>
                <w:sz w:val="12"/>
                <w:szCs w:val="12"/>
                <w:lang w:eastAsia="sq-AL"/>
              </w:rPr>
              <w:br/>
              <w:t>Luftimi e rezistencës antimikrobike shqetësim global</w:t>
            </w:r>
          </w:p>
        </w:tc>
        <w:tc>
          <w:tcPr>
            <w:tcW w:w="1985" w:type="dxa"/>
            <w:tcBorders>
              <w:top w:val="nil"/>
              <w:left w:val="nil"/>
              <w:bottom w:val="single" w:sz="4" w:space="0" w:color="auto"/>
              <w:right w:val="single" w:sz="4" w:space="0" w:color="auto"/>
            </w:tcBorders>
            <w:shd w:val="clear" w:color="auto" w:fill="auto"/>
            <w:noWrap/>
            <w:vAlign w:val="center"/>
            <w:hideMark/>
          </w:tcPr>
          <w:p w14:paraId="5D9FA237"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49" w:type="dxa"/>
            <w:tcBorders>
              <w:top w:val="nil"/>
              <w:left w:val="nil"/>
              <w:bottom w:val="single" w:sz="4" w:space="0" w:color="auto"/>
              <w:right w:val="single" w:sz="4" w:space="0" w:color="auto"/>
            </w:tcBorders>
            <w:shd w:val="clear" w:color="auto" w:fill="auto"/>
            <w:vAlign w:val="center"/>
            <w:hideMark/>
          </w:tcPr>
          <w:p w14:paraId="501EFA96"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Zhvillimi i Bujqësisë dhe Fshatit;               Rritja e mbështetjes në Bujqësi, Blegtori dhe Zhvillim Rural.</w:t>
            </w:r>
          </w:p>
        </w:tc>
        <w:tc>
          <w:tcPr>
            <w:tcW w:w="1245" w:type="dxa"/>
            <w:tcBorders>
              <w:top w:val="nil"/>
              <w:left w:val="nil"/>
              <w:bottom w:val="single" w:sz="4" w:space="0" w:color="auto"/>
              <w:right w:val="single" w:sz="4" w:space="0" w:color="auto"/>
            </w:tcBorders>
            <w:shd w:val="clear" w:color="auto" w:fill="auto"/>
            <w:vAlign w:val="center"/>
            <w:hideMark/>
          </w:tcPr>
          <w:p w14:paraId="4F8027D4"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1. Strategjia Ndërsektoriale për Bujqësinë, Zhvillimin Rural dhe Peshkimin 2021 - 2027, miratuar me Vendimin Nr. 460,  datë 29.6.2022, në lidhje me objektivat strategjikë në fushën e sigurisë ushqimore,  për mbrojtjen e shëndetit të konsumatorëve dhe shëndetin/mirëqënien e kafshëve.                                2. Strategjia Kombëtare të Sigurisë Ushqimore 2023 - 2027 miratuar me Vendimin Nr. 366, datë 16.6.2023,  Politika e kësaj Strategjie miraton qasjen “Një shëndet”, e cila i lejon Qeverisë të zbulojë, parandalojë dhe reagojë ndaj sëmundjeve të reja në ndërfaqen njeri-kafshë-mjedis.</w:t>
            </w:r>
          </w:p>
        </w:tc>
        <w:tc>
          <w:tcPr>
            <w:tcW w:w="1316" w:type="dxa"/>
            <w:tcBorders>
              <w:top w:val="nil"/>
              <w:left w:val="nil"/>
              <w:bottom w:val="single" w:sz="4" w:space="0" w:color="auto"/>
              <w:right w:val="single" w:sz="4" w:space="0" w:color="auto"/>
            </w:tcBorders>
            <w:shd w:val="clear" w:color="auto" w:fill="auto"/>
            <w:noWrap/>
            <w:vAlign w:val="center"/>
            <w:hideMark/>
          </w:tcPr>
          <w:p w14:paraId="0284D9F8"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22842" w:rsidRPr="00727111" w14:paraId="7E486EF8" w14:textId="77777777" w:rsidTr="00373419">
        <w:trPr>
          <w:gridAfter w:val="1"/>
          <w:wAfter w:w="22" w:type="dxa"/>
          <w:trHeight w:val="180"/>
          <w:jc w:val="center"/>
        </w:trPr>
        <w:tc>
          <w:tcPr>
            <w:tcW w:w="473" w:type="dxa"/>
            <w:tcBorders>
              <w:top w:val="single" w:sz="4" w:space="0" w:color="auto"/>
              <w:left w:val="single" w:sz="4" w:space="0" w:color="auto"/>
              <w:bottom w:val="nil"/>
              <w:right w:val="single" w:sz="4" w:space="0" w:color="auto"/>
            </w:tcBorders>
            <w:shd w:val="clear" w:color="auto" w:fill="auto"/>
            <w:vAlign w:val="center"/>
            <w:hideMark/>
          </w:tcPr>
          <w:p w14:paraId="57A5A75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4</w:t>
            </w:r>
          </w:p>
        </w:tc>
        <w:tc>
          <w:tcPr>
            <w:tcW w:w="894" w:type="dxa"/>
            <w:tcBorders>
              <w:top w:val="nil"/>
              <w:left w:val="nil"/>
              <w:bottom w:val="single" w:sz="4" w:space="0" w:color="auto"/>
              <w:right w:val="single" w:sz="4" w:space="0" w:color="auto"/>
            </w:tcBorders>
            <w:shd w:val="clear" w:color="auto" w:fill="auto"/>
            <w:vAlign w:val="center"/>
            <w:hideMark/>
          </w:tcPr>
          <w:p w14:paraId="0910B77B"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“Për kontrollet zyrtare dhe veprimtari</w:t>
            </w:r>
            <w:r w:rsidRPr="00727111">
              <w:rPr>
                <w:rFonts w:ascii="Garamond" w:hAnsi="Garamond"/>
                <w:color w:val="000000"/>
                <w:sz w:val="12"/>
                <w:szCs w:val="12"/>
                <w:lang w:eastAsia="sq-AL"/>
              </w:rPr>
              <w:br/>
              <w:t>të tjera zyrtare të kryera për të</w:t>
            </w:r>
            <w:r w:rsidRPr="00727111">
              <w:rPr>
                <w:rFonts w:ascii="Garamond" w:hAnsi="Garamond"/>
                <w:color w:val="000000"/>
                <w:sz w:val="12"/>
                <w:szCs w:val="12"/>
                <w:lang w:eastAsia="sq-AL"/>
              </w:rPr>
              <w:br/>
              <w:t>garantuar zbatimin e legjislacionit</w:t>
            </w:r>
            <w:r w:rsidRPr="00727111">
              <w:rPr>
                <w:rFonts w:ascii="Garamond" w:hAnsi="Garamond"/>
                <w:color w:val="000000"/>
                <w:sz w:val="12"/>
                <w:szCs w:val="12"/>
                <w:lang w:eastAsia="sq-AL"/>
              </w:rPr>
              <w:br/>
              <w:t>mbi ushqimin dhe ushqimin për</w:t>
            </w:r>
            <w:r w:rsidRPr="00727111">
              <w:rPr>
                <w:rFonts w:ascii="Garamond" w:hAnsi="Garamond"/>
                <w:color w:val="000000"/>
                <w:sz w:val="12"/>
                <w:szCs w:val="12"/>
                <w:lang w:eastAsia="sq-AL"/>
              </w:rPr>
              <w:br/>
              <w:t>kafshë, rregullimeve mbi shëndetin</w:t>
            </w:r>
            <w:r w:rsidRPr="00727111">
              <w:rPr>
                <w:rFonts w:ascii="Garamond" w:hAnsi="Garamond"/>
                <w:color w:val="000000"/>
                <w:sz w:val="12"/>
                <w:szCs w:val="12"/>
                <w:lang w:eastAsia="sq-AL"/>
              </w:rPr>
              <w:br/>
              <w:t>dhe mirëqenien e kafshëve si dhe</w:t>
            </w:r>
            <w:r w:rsidRPr="00727111">
              <w:rPr>
                <w:rFonts w:ascii="Garamond" w:hAnsi="Garamond"/>
                <w:color w:val="000000"/>
                <w:sz w:val="12"/>
                <w:szCs w:val="12"/>
                <w:lang w:eastAsia="sq-AL"/>
              </w:rPr>
              <w:br/>
              <w:t>mbi shëndetin e bimëve dhe</w:t>
            </w:r>
            <w:r w:rsidRPr="00727111">
              <w:rPr>
                <w:rFonts w:ascii="Garamond" w:hAnsi="Garamond"/>
                <w:color w:val="000000"/>
                <w:sz w:val="12"/>
                <w:szCs w:val="12"/>
                <w:lang w:eastAsia="sq-AL"/>
              </w:rPr>
              <w:br/>
              <w:t>produkteve për mbrojtjen e bimëve</w:t>
            </w:r>
            <w:r w:rsidRPr="00727111">
              <w:rPr>
                <w:rFonts w:ascii="Garamond" w:hAnsi="Garamond"/>
                <w:color w:val="000000"/>
                <w:sz w:val="12"/>
                <w:szCs w:val="12"/>
                <w:lang w:eastAsia="sq-AL"/>
              </w:rPr>
              <w:br/>
              <w:t>në Republikën e Shqipërisë”</w:t>
            </w:r>
          </w:p>
        </w:tc>
        <w:tc>
          <w:tcPr>
            <w:tcW w:w="901" w:type="dxa"/>
            <w:tcBorders>
              <w:top w:val="nil"/>
              <w:left w:val="nil"/>
              <w:bottom w:val="single" w:sz="4" w:space="0" w:color="auto"/>
              <w:right w:val="single" w:sz="4" w:space="0" w:color="auto"/>
            </w:tcBorders>
            <w:shd w:val="clear" w:color="auto" w:fill="auto"/>
            <w:vAlign w:val="center"/>
            <w:hideMark/>
          </w:tcPr>
          <w:p w14:paraId="615B901F"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744" w:type="dxa"/>
            <w:tcBorders>
              <w:top w:val="nil"/>
              <w:left w:val="nil"/>
              <w:bottom w:val="single" w:sz="4" w:space="0" w:color="auto"/>
              <w:right w:val="single" w:sz="4" w:space="0" w:color="auto"/>
            </w:tcBorders>
            <w:shd w:val="clear" w:color="auto" w:fill="auto"/>
            <w:vAlign w:val="center"/>
            <w:hideMark/>
          </w:tcPr>
          <w:p w14:paraId="10B4D613"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04853E18"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595" w:type="dxa"/>
            <w:tcBorders>
              <w:top w:val="nil"/>
              <w:left w:val="nil"/>
              <w:bottom w:val="single" w:sz="4" w:space="0" w:color="auto"/>
              <w:right w:val="single" w:sz="4" w:space="0" w:color="auto"/>
            </w:tcBorders>
            <w:shd w:val="clear" w:color="auto" w:fill="auto"/>
            <w:vAlign w:val="center"/>
            <w:hideMark/>
          </w:tcPr>
          <w:p w14:paraId="06ABD220"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Ky projekt ligj do të përafrohet</w:t>
            </w:r>
            <w:r w:rsidRPr="00727111">
              <w:rPr>
                <w:rFonts w:ascii="Garamond" w:hAnsi="Garamond"/>
                <w:color w:val="000000"/>
                <w:sz w:val="12"/>
                <w:szCs w:val="12"/>
                <w:lang w:eastAsia="sq-AL"/>
              </w:rPr>
              <w:br/>
              <w:t>pjesërisht me Rregulloren (BE)</w:t>
            </w:r>
            <w:r w:rsidRPr="00727111">
              <w:rPr>
                <w:rFonts w:ascii="Garamond" w:hAnsi="Garamond"/>
                <w:color w:val="000000"/>
                <w:sz w:val="12"/>
                <w:szCs w:val="12"/>
                <w:lang w:eastAsia="sq-AL"/>
              </w:rPr>
              <w:br/>
              <w:t>2017/625 të Parlamentit Evropian</w:t>
            </w:r>
            <w:r w:rsidRPr="00727111">
              <w:rPr>
                <w:rFonts w:ascii="Garamond" w:hAnsi="Garamond"/>
                <w:color w:val="000000"/>
                <w:sz w:val="12"/>
                <w:szCs w:val="12"/>
                <w:lang w:eastAsia="sq-AL"/>
              </w:rPr>
              <w:br/>
              <w:t>dhe Këshillit të datës 15 mars 2017.</w:t>
            </w:r>
            <w:r w:rsidRPr="00727111">
              <w:rPr>
                <w:rFonts w:ascii="Garamond" w:hAnsi="Garamond"/>
                <w:color w:val="000000"/>
                <w:sz w:val="12"/>
                <w:szCs w:val="12"/>
                <w:lang w:eastAsia="sq-AL"/>
              </w:rPr>
              <w:br/>
              <w:t>Ky projekt ligj përcakton rregullat e</w:t>
            </w:r>
            <w:r w:rsidRPr="00727111">
              <w:rPr>
                <w:rFonts w:ascii="Garamond" w:hAnsi="Garamond"/>
                <w:color w:val="000000"/>
                <w:sz w:val="12"/>
                <w:szCs w:val="12"/>
                <w:lang w:eastAsia="sq-AL"/>
              </w:rPr>
              <w:br/>
              <w:t>përgjithshme dhe të veçanta,</w:t>
            </w:r>
            <w:r w:rsidRPr="00727111">
              <w:rPr>
                <w:rFonts w:ascii="Garamond" w:hAnsi="Garamond"/>
                <w:color w:val="000000"/>
                <w:sz w:val="12"/>
                <w:szCs w:val="12"/>
                <w:lang w:eastAsia="sq-AL"/>
              </w:rPr>
              <w:br/>
              <w:t>parimet dhe kërkesat që lidhen me</w:t>
            </w:r>
            <w:r w:rsidRPr="00727111">
              <w:rPr>
                <w:rFonts w:ascii="Garamond" w:hAnsi="Garamond"/>
                <w:color w:val="000000"/>
                <w:sz w:val="12"/>
                <w:szCs w:val="12"/>
                <w:lang w:eastAsia="sq-AL"/>
              </w:rPr>
              <w:br/>
              <w:t>kontrollet zyrtare dhe veprimtaritë e</w:t>
            </w:r>
            <w:r w:rsidRPr="00727111">
              <w:rPr>
                <w:rFonts w:ascii="Garamond" w:hAnsi="Garamond"/>
                <w:color w:val="000000"/>
                <w:sz w:val="12"/>
                <w:szCs w:val="12"/>
                <w:lang w:eastAsia="sq-AL"/>
              </w:rPr>
              <w:br/>
              <w:t>tjera zyrtare, si dhe përcakton</w:t>
            </w:r>
            <w:r w:rsidRPr="00727111">
              <w:rPr>
                <w:rFonts w:ascii="Garamond" w:hAnsi="Garamond"/>
                <w:color w:val="000000"/>
                <w:sz w:val="12"/>
                <w:szCs w:val="12"/>
                <w:lang w:eastAsia="sq-AL"/>
              </w:rPr>
              <w:br/>
              <w:t>përgjegjësitë, financimin dhe</w:t>
            </w:r>
            <w:r w:rsidRPr="00727111">
              <w:rPr>
                <w:rFonts w:ascii="Garamond" w:hAnsi="Garamond"/>
                <w:color w:val="000000"/>
                <w:sz w:val="12"/>
                <w:szCs w:val="12"/>
                <w:lang w:eastAsia="sq-AL"/>
              </w:rPr>
              <w:br/>
              <w:t>procedurat për kryerjen e</w:t>
            </w:r>
            <w:r w:rsidRPr="00727111">
              <w:rPr>
                <w:rFonts w:ascii="Garamond" w:hAnsi="Garamond"/>
                <w:color w:val="000000"/>
                <w:sz w:val="12"/>
                <w:szCs w:val="12"/>
                <w:lang w:eastAsia="sq-AL"/>
              </w:rPr>
              <w:br/>
              <w:t>kontrolleve zyrtare me qëllim</w:t>
            </w:r>
            <w:r w:rsidRPr="00727111">
              <w:rPr>
                <w:rFonts w:ascii="Garamond" w:hAnsi="Garamond"/>
                <w:color w:val="000000"/>
                <w:sz w:val="12"/>
                <w:szCs w:val="12"/>
                <w:lang w:eastAsia="sq-AL"/>
              </w:rPr>
              <w:br/>
              <w:t>garantimin e një niveli të lartë të</w:t>
            </w:r>
            <w:r w:rsidRPr="00727111">
              <w:rPr>
                <w:rFonts w:ascii="Garamond" w:hAnsi="Garamond"/>
                <w:color w:val="000000"/>
                <w:sz w:val="12"/>
                <w:szCs w:val="12"/>
                <w:lang w:eastAsia="sq-AL"/>
              </w:rPr>
              <w:br/>
              <w:t>mbrojtjes së shëndetit të njerëzve,</w:t>
            </w:r>
            <w:r w:rsidRPr="00727111">
              <w:rPr>
                <w:rFonts w:ascii="Garamond" w:hAnsi="Garamond"/>
                <w:color w:val="000000"/>
                <w:sz w:val="12"/>
                <w:szCs w:val="12"/>
                <w:lang w:eastAsia="sq-AL"/>
              </w:rPr>
              <w:br/>
              <w:t>kafshëve dhe të mjedisit në</w:t>
            </w:r>
            <w:r w:rsidRPr="00727111">
              <w:rPr>
                <w:rFonts w:ascii="Garamond" w:hAnsi="Garamond"/>
                <w:color w:val="000000"/>
                <w:sz w:val="12"/>
                <w:szCs w:val="12"/>
                <w:lang w:eastAsia="sq-AL"/>
              </w:rPr>
              <w:br/>
              <w:t>Republikën e Shqipërisë. Hartimi i</w:t>
            </w:r>
            <w:r w:rsidRPr="00727111">
              <w:rPr>
                <w:rFonts w:ascii="Garamond" w:hAnsi="Garamond"/>
                <w:color w:val="000000"/>
                <w:sz w:val="12"/>
                <w:szCs w:val="12"/>
                <w:lang w:eastAsia="sq-AL"/>
              </w:rPr>
              <w:br/>
              <w:t>ketij projekt ligji ka per qellimin</w:t>
            </w:r>
            <w:r w:rsidRPr="00727111">
              <w:rPr>
                <w:rFonts w:ascii="Garamond" w:hAnsi="Garamond"/>
                <w:color w:val="000000"/>
                <w:sz w:val="12"/>
                <w:szCs w:val="12"/>
                <w:lang w:eastAsia="sq-AL"/>
              </w:rPr>
              <w:br/>
              <w:t>unifikim e kontrolleve zyrtare sipas</w:t>
            </w:r>
            <w:r w:rsidRPr="00727111">
              <w:rPr>
                <w:rFonts w:ascii="Garamond" w:hAnsi="Garamond"/>
                <w:color w:val="000000"/>
                <w:sz w:val="12"/>
                <w:szCs w:val="12"/>
                <w:lang w:eastAsia="sq-AL"/>
              </w:rPr>
              <w:br/>
              <w:t>legjislacionit te BE-së, si dhe</w:t>
            </w:r>
            <w:r w:rsidRPr="00727111">
              <w:rPr>
                <w:rFonts w:ascii="Garamond" w:hAnsi="Garamond"/>
                <w:color w:val="000000"/>
                <w:sz w:val="12"/>
                <w:szCs w:val="12"/>
                <w:lang w:eastAsia="sq-AL"/>
              </w:rPr>
              <w:br/>
              <w:t>plotësimin e rekomandimeve te Raport-progreseve.</w:t>
            </w:r>
          </w:p>
        </w:tc>
        <w:tc>
          <w:tcPr>
            <w:tcW w:w="2705" w:type="dxa"/>
            <w:tcBorders>
              <w:top w:val="nil"/>
              <w:left w:val="nil"/>
              <w:bottom w:val="single" w:sz="4" w:space="0" w:color="auto"/>
              <w:right w:val="single" w:sz="4" w:space="0" w:color="auto"/>
            </w:tcBorders>
            <w:shd w:val="clear" w:color="auto" w:fill="auto"/>
            <w:vAlign w:val="center"/>
            <w:hideMark/>
          </w:tcPr>
          <w:p w14:paraId="08A8B9F8"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Ky projekt ligj parashikon të</w:t>
            </w:r>
            <w:r w:rsidRPr="00727111">
              <w:rPr>
                <w:rFonts w:ascii="Garamond" w:hAnsi="Garamond"/>
                <w:color w:val="000000"/>
                <w:sz w:val="12"/>
                <w:szCs w:val="12"/>
                <w:lang w:eastAsia="sq-AL"/>
              </w:rPr>
              <w:br/>
              <w:t>përcaktoje rregullat për:</w:t>
            </w:r>
            <w:r w:rsidRPr="00727111">
              <w:rPr>
                <w:rFonts w:ascii="Garamond" w:hAnsi="Garamond"/>
                <w:color w:val="000000"/>
                <w:sz w:val="12"/>
                <w:szCs w:val="12"/>
                <w:lang w:eastAsia="sq-AL"/>
              </w:rPr>
              <w:br/>
              <w:t>a) kryerjen e kontrolleve</w:t>
            </w:r>
            <w:r w:rsidRPr="00727111">
              <w:rPr>
                <w:rFonts w:ascii="Garamond" w:hAnsi="Garamond"/>
                <w:color w:val="000000"/>
                <w:sz w:val="12"/>
                <w:szCs w:val="12"/>
                <w:lang w:eastAsia="sq-AL"/>
              </w:rPr>
              <w:br/>
              <w:t>zyrtare dhe veprimtari të tjera</w:t>
            </w:r>
            <w:r w:rsidRPr="00727111">
              <w:rPr>
                <w:rFonts w:ascii="Garamond" w:hAnsi="Garamond"/>
                <w:color w:val="000000"/>
                <w:sz w:val="12"/>
                <w:szCs w:val="12"/>
                <w:lang w:eastAsia="sq-AL"/>
              </w:rPr>
              <w:br/>
              <w:t>zyrtare nga institucionet</w:t>
            </w:r>
            <w:r w:rsidRPr="00727111">
              <w:rPr>
                <w:rFonts w:ascii="Garamond" w:hAnsi="Garamond"/>
                <w:color w:val="000000"/>
                <w:sz w:val="12"/>
                <w:szCs w:val="12"/>
                <w:lang w:eastAsia="sq-AL"/>
              </w:rPr>
              <w:br/>
              <w:t>përgjegjëse;</w:t>
            </w:r>
            <w:r w:rsidRPr="00727111">
              <w:rPr>
                <w:rFonts w:ascii="Garamond" w:hAnsi="Garamond"/>
                <w:color w:val="000000"/>
                <w:sz w:val="12"/>
                <w:szCs w:val="12"/>
                <w:lang w:eastAsia="sq-AL"/>
              </w:rPr>
              <w:br/>
              <w:t>b) financimin e kontrolleve</w:t>
            </w:r>
            <w:r w:rsidRPr="00727111">
              <w:rPr>
                <w:rFonts w:ascii="Garamond" w:hAnsi="Garamond"/>
                <w:color w:val="000000"/>
                <w:sz w:val="12"/>
                <w:szCs w:val="12"/>
                <w:lang w:eastAsia="sq-AL"/>
              </w:rPr>
              <w:br/>
              <w:t>zyrtare;</w:t>
            </w:r>
            <w:r w:rsidRPr="00727111">
              <w:rPr>
                <w:rFonts w:ascii="Garamond" w:hAnsi="Garamond"/>
                <w:color w:val="000000"/>
                <w:sz w:val="12"/>
                <w:szCs w:val="12"/>
                <w:lang w:eastAsia="sq-AL"/>
              </w:rPr>
              <w:br/>
              <w:t>c) miratimin dhe zbatimin e</w:t>
            </w:r>
            <w:r w:rsidRPr="00727111">
              <w:rPr>
                <w:rFonts w:ascii="Garamond" w:hAnsi="Garamond"/>
                <w:color w:val="000000"/>
                <w:sz w:val="12"/>
                <w:szCs w:val="12"/>
                <w:lang w:eastAsia="sq-AL"/>
              </w:rPr>
              <w:br/>
              <w:t>kushteve që duhet të</w:t>
            </w:r>
            <w:r w:rsidRPr="00727111">
              <w:rPr>
                <w:rFonts w:ascii="Garamond" w:hAnsi="Garamond"/>
                <w:color w:val="000000"/>
                <w:sz w:val="12"/>
                <w:szCs w:val="12"/>
                <w:lang w:eastAsia="sq-AL"/>
              </w:rPr>
              <w:br/>
              <w:t>përmbushin kafshët dhe</w:t>
            </w:r>
            <w:r w:rsidRPr="00727111">
              <w:rPr>
                <w:rFonts w:ascii="Garamond" w:hAnsi="Garamond"/>
                <w:color w:val="000000"/>
                <w:sz w:val="12"/>
                <w:szCs w:val="12"/>
                <w:lang w:eastAsia="sq-AL"/>
              </w:rPr>
              <w:br/>
              <w:t>mallrat që hyjnë në territorin e</w:t>
            </w:r>
            <w:r w:rsidRPr="00727111">
              <w:rPr>
                <w:rFonts w:ascii="Garamond" w:hAnsi="Garamond"/>
                <w:color w:val="000000"/>
                <w:sz w:val="12"/>
                <w:szCs w:val="12"/>
                <w:lang w:eastAsia="sq-AL"/>
              </w:rPr>
              <w:br/>
              <w:t>Republikës së Shqipërisë nga</w:t>
            </w:r>
            <w:r w:rsidRPr="00727111">
              <w:rPr>
                <w:rFonts w:ascii="Garamond" w:hAnsi="Garamond"/>
                <w:color w:val="000000"/>
                <w:sz w:val="12"/>
                <w:szCs w:val="12"/>
                <w:lang w:eastAsia="sq-AL"/>
              </w:rPr>
              <w:br/>
              <w:t>shtete që nuk janë shtete</w:t>
            </w:r>
            <w:r w:rsidRPr="00727111">
              <w:rPr>
                <w:rFonts w:ascii="Garamond" w:hAnsi="Garamond"/>
                <w:color w:val="000000"/>
                <w:sz w:val="12"/>
                <w:szCs w:val="12"/>
                <w:lang w:eastAsia="sq-AL"/>
              </w:rPr>
              <w:br/>
              <w:t>anëtare të BE-së;</w:t>
            </w:r>
            <w:r w:rsidRPr="00727111">
              <w:rPr>
                <w:rFonts w:ascii="Garamond" w:hAnsi="Garamond"/>
                <w:color w:val="000000"/>
                <w:sz w:val="12"/>
                <w:szCs w:val="12"/>
                <w:lang w:eastAsia="sq-AL"/>
              </w:rPr>
              <w:br/>
              <w:t>d) ngritjen e një sistemi</w:t>
            </w:r>
            <w:r w:rsidRPr="00727111">
              <w:rPr>
                <w:rFonts w:ascii="Garamond" w:hAnsi="Garamond"/>
                <w:color w:val="000000"/>
                <w:sz w:val="12"/>
                <w:szCs w:val="12"/>
                <w:lang w:eastAsia="sq-AL"/>
              </w:rPr>
              <w:br/>
              <w:t>informacioni të kompjuterizuar</w:t>
            </w:r>
            <w:r w:rsidRPr="00727111">
              <w:rPr>
                <w:rFonts w:ascii="Garamond" w:hAnsi="Garamond"/>
                <w:color w:val="000000"/>
                <w:sz w:val="12"/>
                <w:szCs w:val="12"/>
                <w:lang w:eastAsia="sq-AL"/>
              </w:rPr>
              <w:br/>
              <w:t>për të menaxhuar</w:t>
            </w:r>
            <w:r w:rsidRPr="00727111">
              <w:rPr>
                <w:rFonts w:ascii="Garamond" w:hAnsi="Garamond"/>
                <w:color w:val="000000"/>
                <w:sz w:val="12"/>
                <w:szCs w:val="12"/>
                <w:lang w:eastAsia="sq-AL"/>
              </w:rPr>
              <w:br/>
              <w:t>informacionin dhe të dhënat që</w:t>
            </w:r>
            <w:r w:rsidRPr="00727111">
              <w:rPr>
                <w:rFonts w:ascii="Garamond" w:hAnsi="Garamond"/>
                <w:color w:val="000000"/>
                <w:sz w:val="12"/>
                <w:szCs w:val="12"/>
                <w:lang w:eastAsia="sq-AL"/>
              </w:rPr>
              <w:br/>
              <w:t>i përkasin kontrolleve zyrtare;</w:t>
            </w:r>
          </w:p>
        </w:tc>
        <w:tc>
          <w:tcPr>
            <w:tcW w:w="1985" w:type="dxa"/>
            <w:tcBorders>
              <w:top w:val="nil"/>
              <w:left w:val="nil"/>
              <w:bottom w:val="single" w:sz="4" w:space="0" w:color="auto"/>
              <w:right w:val="single" w:sz="4" w:space="0" w:color="auto"/>
            </w:tcBorders>
            <w:shd w:val="clear" w:color="auto" w:fill="auto"/>
            <w:vAlign w:val="center"/>
            <w:hideMark/>
          </w:tcPr>
          <w:p w14:paraId="4BF3163E"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Po kapitujt 11- 12, "Bujqësia dhe Zhvillimi Rural"; “Politikat e Sigurisë Ushqimore, Veterinarisë dhe Mbrojtjes së Bimëve”</w:t>
            </w:r>
          </w:p>
        </w:tc>
        <w:tc>
          <w:tcPr>
            <w:tcW w:w="2149" w:type="dxa"/>
            <w:tcBorders>
              <w:top w:val="nil"/>
              <w:left w:val="nil"/>
              <w:bottom w:val="single" w:sz="4" w:space="0" w:color="auto"/>
              <w:right w:val="single" w:sz="4" w:space="0" w:color="auto"/>
            </w:tcBorders>
            <w:shd w:val="clear" w:color="auto" w:fill="auto"/>
            <w:vAlign w:val="center"/>
            <w:hideMark/>
          </w:tcPr>
          <w:p w14:paraId="47A91660"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45" w:type="dxa"/>
            <w:tcBorders>
              <w:top w:val="nil"/>
              <w:left w:val="nil"/>
              <w:bottom w:val="single" w:sz="4" w:space="0" w:color="auto"/>
              <w:right w:val="single" w:sz="4" w:space="0" w:color="auto"/>
            </w:tcBorders>
            <w:shd w:val="clear" w:color="auto" w:fill="auto"/>
            <w:vAlign w:val="center"/>
            <w:hideMark/>
          </w:tcPr>
          <w:p w14:paraId="3CCC3026"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.Strategjia Kombëtare e Sigurisë Ushqimore 2023 - 2027 miratuar me Vendimin Nr. 366, datë 16.6.2023.  </w:t>
            </w:r>
          </w:p>
        </w:tc>
        <w:tc>
          <w:tcPr>
            <w:tcW w:w="1316" w:type="dxa"/>
            <w:tcBorders>
              <w:top w:val="nil"/>
              <w:left w:val="nil"/>
              <w:bottom w:val="single" w:sz="4" w:space="0" w:color="auto"/>
              <w:right w:val="single" w:sz="4" w:space="0" w:color="auto"/>
            </w:tcBorders>
            <w:shd w:val="clear" w:color="auto" w:fill="auto"/>
            <w:vAlign w:val="center"/>
            <w:hideMark/>
          </w:tcPr>
          <w:p w14:paraId="00600264"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22842" w:rsidRPr="00727111" w14:paraId="704D948D" w14:textId="77777777" w:rsidTr="00373419">
        <w:trPr>
          <w:gridAfter w:val="1"/>
          <w:wAfter w:w="22" w:type="dxa"/>
          <w:trHeight w:val="180"/>
          <w:jc w:val="center"/>
        </w:trPr>
        <w:tc>
          <w:tcPr>
            <w:tcW w:w="473" w:type="dxa"/>
            <w:tcBorders>
              <w:top w:val="single" w:sz="4" w:space="0" w:color="auto"/>
              <w:left w:val="single" w:sz="4" w:space="0" w:color="auto"/>
              <w:bottom w:val="nil"/>
              <w:right w:val="single" w:sz="4" w:space="0" w:color="auto"/>
            </w:tcBorders>
            <w:shd w:val="clear" w:color="auto" w:fill="auto"/>
            <w:vAlign w:val="center"/>
            <w:hideMark/>
          </w:tcPr>
          <w:p w14:paraId="3BD62C96"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5</w:t>
            </w:r>
          </w:p>
        </w:tc>
        <w:tc>
          <w:tcPr>
            <w:tcW w:w="894" w:type="dxa"/>
            <w:tcBorders>
              <w:top w:val="nil"/>
              <w:left w:val="nil"/>
              <w:bottom w:val="single" w:sz="4" w:space="0" w:color="auto"/>
              <w:right w:val="single" w:sz="4" w:space="0" w:color="auto"/>
            </w:tcBorders>
            <w:shd w:val="clear" w:color="auto" w:fill="auto"/>
            <w:vAlign w:val="center"/>
            <w:hideMark/>
          </w:tcPr>
          <w:p w14:paraId="22794E89"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"Për Censin e Bujqësisë"</w:t>
            </w:r>
          </w:p>
        </w:tc>
        <w:tc>
          <w:tcPr>
            <w:tcW w:w="901" w:type="dxa"/>
            <w:tcBorders>
              <w:top w:val="nil"/>
              <w:left w:val="nil"/>
              <w:bottom w:val="single" w:sz="4" w:space="0" w:color="auto"/>
              <w:right w:val="single" w:sz="4" w:space="0" w:color="auto"/>
            </w:tcBorders>
            <w:shd w:val="clear" w:color="auto" w:fill="auto"/>
            <w:vAlign w:val="center"/>
            <w:hideMark/>
          </w:tcPr>
          <w:p w14:paraId="22C6A1A8"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744" w:type="dxa"/>
            <w:tcBorders>
              <w:top w:val="nil"/>
              <w:left w:val="nil"/>
              <w:bottom w:val="single" w:sz="4" w:space="0" w:color="auto"/>
              <w:right w:val="single" w:sz="4" w:space="0" w:color="auto"/>
            </w:tcBorders>
            <w:shd w:val="clear" w:color="auto" w:fill="auto"/>
            <w:vAlign w:val="center"/>
            <w:hideMark/>
          </w:tcPr>
          <w:p w14:paraId="3934733D"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2C35B065"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595" w:type="dxa"/>
            <w:tcBorders>
              <w:top w:val="nil"/>
              <w:left w:val="nil"/>
              <w:bottom w:val="single" w:sz="4" w:space="0" w:color="auto"/>
              <w:right w:val="single" w:sz="4" w:space="0" w:color="auto"/>
            </w:tcBorders>
            <w:shd w:val="clear" w:color="auto" w:fill="auto"/>
            <w:vAlign w:val="center"/>
            <w:hideMark/>
          </w:tcPr>
          <w:p w14:paraId="22BCE63D"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Censi i Bujqësisë do të kontribuojë në sigurimin e të dhënave bazë të</w:t>
            </w:r>
            <w:r w:rsidRPr="00727111">
              <w:rPr>
                <w:rFonts w:ascii="Garamond" w:hAnsi="Garamond"/>
                <w:color w:val="000000"/>
                <w:sz w:val="12"/>
                <w:szCs w:val="12"/>
                <w:lang w:eastAsia="sq-AL"/>
              </w:rPr>
              <w:br/>
              <w:t>qëndrueshme në kohë, në përcaktimin e tipologjisë së fermës dhe madhësisë</w:t>
            </w:r>
            <w:r w:rsidRPr="00727111">
              <w:rPr>
                <w:rFonts w:ascii="Garamond" w:hAnsi="Garamond"/>
                <w:color w:val="000000"/>
                <w:sz w:val="12"/>
                <w:szCs w:val="12"/>
                <w:lang w:eastAsia="sq-AL"/>
              </w:rPr>
              <w:br/>
              <w:t>ekonomike të saj, krijimin e regjistrit statistikor të njësive ekonomike bujqësore</w:t>
            </w:r>
            <w:r w:rsidRPr="00727111">
              <w:rPr>
                <w:rFonts w:ascii="Garamond" w:hAnsi="Garamond"/>
                <w:color w:val="000000"/>
                <w:sz w:val="12"/>
                <w:szCs w:val="12"/>
                <w:lang w:eastAsia="sq-AL"/>
              </w:rPr>
              <w:br/>
              <w:t>dhe përgjithësimin e rezultateve të arritura në nivel rajonal dhe kombëtar bazuar</w:t>
            </w:r>
            <w:r w:rsidRPr="00727111">
              <w:rPr>
                <w:rFonts w:ascii="Garamond" w:hAnsi="Garamond"/>
                <w:color w:val="000000"/>
                <w:sz w:val="12"/>
                <w:szCs w:val="12"/>
                <w:lang w:eastAsia="sq-AL"/>
              </w:rPr>
              <w:br/>
              <w:t>në kriteret metodike të rekomanduara nga Eurostat.                                                                                         Projektligji ka si synim edhe harmonizimin me acquis të BE-së dhe zbatimin e</w:t>
            </w:r>
            <w:r w:rsidRPr="00727111">
              <w:rPr>
                <w:rFonts w:ascii="Garamond" w:hAnsi="Garamond"/>
                <w:color w:val="000000"/>
                <w:sz w:val="12"/>
                <w:szCs w:val="12"/>
                <w:lang w:eastAsia="sq-AL"/>
              </w:rPr>
              <w:br/>
              <w:t>standardeve të BE-së, duke përcaktuar terminologjinë statistikore në linjë me ato</w:t>
            </w:r>
            <w:r w:rsidRPr="00727111">
              <w:rPr>
                <w:rFonts w:ascii="Garamond" w:hAnsi="Garamond"/>
                <w:color w:val="000000"/>
                <w:sz w:val="12"/>
                <w:szCs w:val="12"/>
                <w:lang w:eastAsia="sq-AL"/>
              </w:rPr>
              <w:br/>
              <w:t>të përdorura nga Eurostat.</w:t>
            </w:r>
          </w:p>
        </w:tc>
        <w:tc>
          <w:tcPr>
            <w:tcW w:w="2705" w:type="dxa"/>
            <w:tcBorders>
              <w:top w:val="nil"/>
              <w:left w:val="nil"/>
              <w:bottom w:val="single" w:sz="4" w:space="0" w:color="auto"/>
              <w:right w:val="single" w:sz="4" w:space="0" w:color="auto"/>
            </w:tcBorders>
            <w:shd w:val="clear" w:color="auto" w:fill="auto"/>
            <w:vAlign w:val="center"/>
            <w:hideMark/>
          </w:tcPr>
          <w:p w14:paraId="43D979F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Objektivat që synohen të arrihen nëpërmjet këtij projektligji janë: </w:t>
            </w:r>
            <w:r w:rsidRPr="00727111">
              <w:rPr>
                <w:rFonts w:ascii="Garamond" w:hAnsi="Garamond"/>
                <w:color w:val="000000"/>
                <w:sz w:val="12"/>
                <w:szCs w:val="12"/>
                <w:lang w:eastAsia="sq-AL"/>
              </w:rPr>
              <w:br/>
              <w:t>a) të sigurohet informacion i përgjithshëm dhe i hollësishëm për të gjitha</w:t>
            </w:r>
            <w:r w:rsidRPr="00727111">
              <w:rPr>
                <w:rFonts w:ascii="Garamond" w:hAnsi="Garamond"/>
                <w:color w:val="000000"/>
                <w:sz w:val="12"/>
                <w:szCs w:val="12"/>
                <w:lang w:eastAsia="sq-AL"/>
              </w:rPr>
              <w:br/>
              <w:t>njësitë ekonomike bujqësore, brenda territorit të Republikës së Shqipërisë;</w:t>
            </w:r>
            <w:r w:rsidRPr="00727111">
              <w:rPr>
                <w:rFonts w:ascii="Garamond" w:hAnsi="Garamond"/>
                <w:color w:val="000000"/>
                <w:sz w:val="12"/>
                <w:szCs w:val="12"/>
                <w:lang w:eastAsia="sq-AL"/>
              </w:rPr>
              <w:br/>
              <w:t>b) të ofrohen të dhëna të besueshme statistikore, të nevojshme për</w:t>
            </w:r>
            <w:r w:rsidRPr="00727111">
              <w:rPr>
                <w:rFonts w:ascii="Garamond" w:hAnsi="Garamond"/>
                <w:color w:val="000000"/>
                <w:sz w:val="12"/>
                <w:szCs w:val="12"/>
                <w:lang w:eastAsia="sq-AL"/>
              </w:rPr>
              <w:br/>
              <w:t>planifikimin dhe vënien në zbatim të politikave të përgjithshme të zhvillimit</w:t>
            </w:r>
            <w:r w:rsidRPr="00727111">
              <w:rPr>
                <w:rFonts w:ascii="Garamond" w:hAnsi="Garamond"/>
                <w:color w:val="000000"/>
                <w:sz w:val="12"/>
                <w:szCs w:val="12"/>
                <w:lang w:eastAsia="sq-AL"/>
              </w:rPr>
              <w:br/>
              <w:t>ekonomik bujqësor në Republikën e Shqipërisë;</w:t>
            </w:r>
            <w:r w:rsidRPr="00727111">
              <w:rPr>
                <w:rFonts w:ascii="Garamond" w:hAnsi="Garamond"/>
                <w:color w:val="000000"/>
                <w:sz w:val="12"/>
                <w:szCs w:val="12"/>
                <w:lang w:eastAsia="sq-AL"/>
              </w:rPr>
              <w:br/>
              <w:t>c) të krijohet regjistri statistikor i njësive ekonomike bujqësor</w:t>
            </w:r>
          </w:p>
        </w:tc>
        <w:tc>
          <w:tcPr>
            <w:tcW w:w="1985" w:type="dxa"/>
            <w:tcBorders>
              <w:top w:val="nil"/>
              <w:left w:val="nil"/>
              <w:bottom w:val="single" w:sz="4" w:space="0" w:color="auto"/>
              <w:right w:val="single" w:sz="4" w:space="0" w:color="auto"/>
            </w:tcBorders>
            <w:shd w:val="clear" w:color="auto" w:fill="auto"/>
            <w:vAlign w:val="center"/>
            <w:hideMark/>
          </w:tcPr>
          <w:p w14:paraId="0927ECD8"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18 "Statistikat"</w:t>
            </w:r>
          </w:p>
        </w:tc>
        <w:tc>
          <w:tcPr>
            <w:tcW w:w="2149" w:type="dxa"/>
            <w:tcBorders>
              <w:top w:val="nil"/>
              <w:left w:val="nil"/>
              <w:bottom w:val="single" w:sz="4" w:space="0" w:color="auto"/>
              <w:right w:val="single" w:sz="4" w:space="0" w:color="auto"/>
            </w:tcBorders>
            <w:shd w:val="clear" w:color="auto" w:fill="auto"/>
            <w:vAlign w:val="center"/>
            <w:hideMark/>
          </w:tcPr>
          <w:p w14:paraId="5BB5C939"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Zhvillimi i Bujqësisë dhe Fshatit;                       Zhvillimi i fshatit drejt turizmit rural;                    modernizimi për zhvillim</w:t>
            </w:r>
          </w:p>
        </w:tc>
        <w:tc>
          <w:tcPr>
            <w:tcW w:w="1245" w:type="dxa"/>
            <w:tcBorders>
              <w:top w:val="nil"/>
              <w:left w:val="nil"/>
              <w:bottom w:val="single" w:sz="4" w:space="0" w:color="auto"/>
              <w:right w:val="single" w:sz="4" w:space="0" w:color="auto"/>
            </w:tcBorders>
            <w:shd w:val="clear" w:color="auto" w:fill="auto"/>
            <w:vAlign w:val="center"/>
            <w:hideMark/>
          </w:tcPr>
          <w:p w14:paraId="67F576BB"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316" w:type="dxa"/>
            <w:tcBorders>
              <w:top w:val="nil"/>
              <w:left w:val="nil"/>
              <w:bottom w:val="single" w:sz="4" w:space="0" w:color="auto"/>
              <w:right w:val="single" w:sz="4" w:space="0" w:color="auto"/>
            </w:tcBorders>
            <w:shd w:val="clear" w:color="auto" w:fill="auto"/>
            <w:vAlign w:val="center"/>
            <w:hideMark/>
          </w:tcPr>
          <w:p w14:paraId="4ED8DAC5"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Po, ekonomike</w:t>
            </w:r>
          </w:p>
        </w:tc>
      </w:tr>
      <w:tr w:rsidR="00622842" w:rsidRPr="00727111" w14:paraId="6AD7BF9B" w14:textId="77777777" w:rsidTr="00373419">
        <w:trPr>
          <w:gridAfter w:val="1"/>
          <w:wAfter w:w="22" w:type="dxa"/>
          <w:trHeight w:val="180"/>
          <w:jc w:val="center"/>
        </w:trPr>
        <w:tc>
          <w:tcPr>
            <w:tcW w:w="473" w:type="dxa"/>
            <w:tcBorders>
              <w:top w:val="single" w:sz="4" w:space="0" w:color="auto"/>
              <w:left w:val="single" w:sz="4" w:space="0" w:color="auto"/>
              <w:bottom w:val="nil"/>
              <w:right w:val="single" w:sz="4" w:space="0" w:color="auto"/>
            </w:tcBorders>
            <w:shd w:val="clear" w:color="auto" w:fill="auto"/>
            <w:vAlign w:val="center"/>
            <w:hideMark/>
          </w:tcPr>
          <w:p w14:paraId="6B48CF05"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6</w:t>
            </w:r>
          </w:p>
        </w:tc>
        <w:tc>
          <w:tcPr>
            <w:tcW w:w="894" w:type="dxa"/>
            <w:tcBorders>
              <w:top w:val="nil"/>
              <w:left w:val="nil"/>
              <w:bottom w:val="single" w:sz="4" w:space="0" w:color="auto"/>
              <w:right w:val="single" w:sz="4" w:space="0" w:color="auto"/>
            </w:tcBorders>
            <w:shd w:val="clear" w:color="auto" w:fill="auto"/>
            <w:vAlign w:val="center"/>
            <w:hideMark/>
          </w:tcPr>
          <w:p w14:paraId="633ADEF0"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Projektligj “Për disa shtesa dhe ndryshime në ligjin nr. 8337, datë 30.4.1998, “Për kalimin në pronësi të tokës bujqësore, pyjore, livadheve dhe kullotave”</w:t>
            </w:r>
          </w:p>
        </w:tc>
        <w:tc>
          <w:tcPr>
            <w:tcW w:w="901" w:type="dxa"/>
            <w:tcBorders>
              <w:top w:val="nil"/>
              <w:left w:val="nil"/>
              <w:bottom w:val="single" w:sz="4" w:space="0" w:color="auto"/>
              <w:right w:val="single" w:sz="4" w:space="0" w:color="auto"/>
            </w:tcBorders>
            <w:shd w:val="clear" w:color="auto" w:fill="auto"/>
            <w:noWrap/>
            <w:vAlign w:val="center"/>
            <w:hideMark/>
          </w:tcPr>
          <w:p w14:paraId="64877B38"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744" w:type="dxa"/>
            <w:tcBorders>
              <w:top w:val="nil"/>
              <w:left w:val="nil"/>
              <w:bottom w:val="single" w:sz="4" w:space="0" w:color="auto"/>
              <w:right w:val="single" w:sz="4" w:space="0" w:color="auto"/>
            </w:tcBorders>
            <w:shd w:val="clear" w:color="auto" w:fill="auto"/>
            <w:vAlign w:val="center"/>
            <w:hideMark/>
          </w:tcPr>
          <w:p w14:paraId="3C8F11F9"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57B1563F"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595" w:type="dxa"/>
            <w:tcBorders>
              <w:top w:val="nil"/>
              <w:left w:val="nil"/>
              <w:bottom w:val="single" w:sz="4" w:space="0" w:color="auto"/>
              <w:right w:val="single" w:sz="4" w:space="0" w:color="auto"/>
            </w:tcBorders>
            <w:shd w:val="clear" w:color="auto" w:fill="auto"/>
            <w:vAlign w:val="center"/>
            <w:hideMark/>
          </w:tcPr>
          <w:p w14:paraId="49469217"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Detyrim nga takimi  Bilateral Screening Meeting për Kapitullin 4 - levizja e lire e kapitalit, dge takimeve te nenkomitetit Ekonomi financae, detyrim nga Marreveshja e Stabilizim Asocimit.</w:t>
            </w:r>
          </w:p>
        </w:tc>
        <w:tc>
          <w:tcPr>
            <w:tcW w:w="2705" w:type="dxa"/>
            <w:tcBorders>
              <w:top w:val="nil"/>
              <w:left w:val="nil"/>
              <w:bottom w:val="single" w:sz="4" w:space="0" w:color="auto"/>
              <w:right w:val="single" w:sz="4" w:space="0" w:color="auto"/>
            </w:tcBorders>
            <w:shd w:val="clear" w:color="auto" w:fill="auto"/>
            <w:vAlign w:val="center"/>
            <w:hideMark/>
          </w:tcPr>
          <w:p w14:paraId="335F6914"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Amendimi i ligjit për heqjen e kufizimit të nenit 4, të ligjit nr.8337/1998 që nuk ju njeh personave fizikë dhe jurdikë të huaj të drejtën e  pronësisë të tokës bujqësore, pyjore, livadheve dhe kullotave por vetëm të drejtën e marrjes me qira për 99 vjet.  </w:t>
            </w:r>
          </w:p>
        </w:tc>
        <w:tc>
          <w:tcPr>
            <w:tcW w:w="1985" w:type="dxa"/>
            <w:tcBorders>
              <w:top w:val="nil"/>
              <w:left w:val="nil"/>
              <w:bottom w:val="single" w:sz="4" w:space="0" w:color="auto"/>
              <w:right w:val="single" w:sz="4" w:space="0" w:color="auto"/>
            </w:tcBorders>
            <w:shd w:val="clear" w:color="auto" w:fill="auto"/>
            <w:vAlign w:val="center"/>
            <w:hideMark/>
          </w:tcPr>
          <w:p w14:paraId="6E4EED3E"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4 "Lëvizja e lirë e kapitalit"</w:t>
            </w:r>
          </w:p>
        </w:tc>
        <w:tc>
          <w:tcPr>
            <w:tcW w:w="2149" w:type="dxa"/>
            <w:tcBorders>
              <w:top w:val="nil"/>
              <w:left w:val="nil"/>
              <w:bottom w:val="single" w:sz="4" w:space="0" w:color="auto"/>
              <w:right w:val="single" w:sz="4" w:space="0" w:color="auto"/>
            </w:tcBorders>
            <w:shd w:val="clear" w:color="auto" w:fill="auto"/>
            <w:vAlign w:val="center"/>
            <w:hideMark/>
          </w:tcPr>
          <w:p w14:paraId="64F06094"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Jo</w:t>
            </w:r>
          </w:p>
        </w:tc>
        <w:tc>
          <w:tcPr>
            <w:tcW w:w="1245" w:type="dxa"/>
            <w:tcBorders>
              <w:top w:val="nil"/>
              <w:left w:val="nil"/>
              <w:bottom w:val="single" w:sz="4" w:space="0" w:color="auto"/>
              <w:right w:val="single" w:sz="4" w:space="0" w:color="auto"/>
            </w:tcBorders>
            <w:shd w:val="clear" w:color="auto" w:fill="auto"/>
            <w:noWrap/>
            <w:vAlign w:val="center"/>
            <w:hideMark/>
          </w:tcPr>
          <w:p w14:paraId="74B5EDBF"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316" w:type="dxa"/>
            <w:tcBorders>
              <w:top w:val="nil"/>
              <w:left w:val="nil"/>
              <w:bottom w:val="single" w:sz="4" w:space="0" w:color="auto"/>
              <w:right w:val="single" w:sz="4" w:space="0" w:color="auto"/>
            </w:tcBorders>
            <w:shd w:val="clear" w:color="auto" w:fill="auto"/>
            <w:noWrap/>
            <w:vAlign w:val="center"/>
            <w:hideMark/>
          </w:tcPr>
          <w:p w14:paraId="026EAC6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Po. Ekonomike</w:t>
            </w:r>
          </w:p>
        </w:tc>
      </w:tr>
      <w:tr w:rsidR="00622842" w:rsidRPr="00727111" w14:paraId="02382646" w14:textId="77777777" w:rsidTr="00373419">
        <w:trPr>
          <w:gridAfter w:val="1"/>
          <w:wAfter w:w="22" w:type="dxa"/>
          <w:trHeight w:val="180"/>
          <w:jc w:val="center"/>
        </w:trPr>
        <w:tc>
          <w:tcPr>
            <w:tcW w:w="473" w:type="dxa"/>
            <w:tcBorders>
              <w:top w:val="single" w:sz="4" w:space="0" w:color="auto"/>
              <w:left w:val="single" w:sz="4" w:space="0" w:color="auto"/>
              <w:bottom w:val="nil"/>
              <w:right w:val="single" w:sz="4" w:space="0" w:color="auto"/>
            </w:tcBorders>
            <w:shd w:val="clear" w:color="auto" w:fill="auto"/>
            <w:vAlign w:val="center"/>
            <w:hideMark/>
          </w:tcPr>
          <w:p w14:paraId="71DE8A4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7</w:t>
            </w:r>
          </w:p>
        </w:tc>
        <w:tc>
          <w:tcPr>
            <w:tcW w:w="894" w:type="dxa"/>
            <w:tcBorders>
              <w:top w:val="nil"/>
              <w:left w:val="nil"/>
              <w:bottom w:val="single" w:sz="4" w:space="0" w:color="auto"/>
              <w:right w:val="single" w:sz="4" w:space="0" w:color="auto"/>
            </w:tcBorders>
            <w:shd w:val="clear" w:color="auto" w:fill="auto"/>
            <w:vAlign w:val="center"/>
            <w:hideMark/>
          </w:tcPr>
          <w:p w14:paraId="016AD495"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"Për përcaktimin e zonave të prodhimit të rrushit për verë, bazuar në të dhënat e studimit, për “Zonat e kultivimit të vreshtave për verë”.</w:t>
            </w:r>
          </w:p>
        </w:tc>
        <w:tc>
          <w:tcPr>
            <w:tcW w:w="901" w:type="dxa"/>
            <w:tcBorders>
              <w:top w:val="nil"/>
              <w:left w:val="nil"/>
              <w:bottom w:val="nil"/>
              <w:right w:val="single" w:sz="4" w:space="0" w:color="auto"/>
            </w:tcBorders>
            <w:shd w:val="clear" w:color="auto" w:fill="auto"/>
            <w:noWrap/>
            <w:vAlign w:val="center"/>
            <w:hideMark/>
          </w:tcPr>
          <w:p w14:paraId="7A69FA1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744" w:type="dxa"/>
            <w:tcBorders>
              <w:top w:val="nil"/>
              <w:left w:val="nil"/>
              <w:bottom w:val="single" w:sz="4" w:space="0" w:color="auto"/>
              <w:right w:val="single" w:sz="4" w:space="0" w:color="auto"/>
            </w:tcBorders>
            <w:shd w:val="clear" w:color="auto" w:fill="auto"/>
            <w:vAlign w:val="center"/>
            <w:hideMark/>
          </w:tcPr>
          <w:p w14:paraId="4EAB693E"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20F159B3"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595" w:type="dxa"/>
            <w:tcBorders>
              <w:top w:val="nil"/>
              <w:left w:val="nil"/>
              <w:bottom w:val="single" w:sz="4" w:space="0" w:color="auto"/>
              <w:right w:val="single" w:sz="4" w:space="0" w:color="auto"/>
            </w:tcBorders>
            <w:shd w:val="clear" w:color="auto" w:fill="auto"/>
            <w:vAlign w:val="center"/>
            <w:hideMark/>
          </w:tcPr>
          <w:p w14:paraId="660AEA43"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Detyrim pika 6, neni 10, Ligjit Nr. 86/2022;  Baza për përcaktimin e varieteteve të rrushit për verë, sipas karakteristikave përkatëse të zonave të Shqipërisë; rritja e prodhimit dhe cilësisë së verës dhe rritja e të ardhurave.</w:t>
            </w:r>
          </w:p>
        </w:tc>
        <w:tc>
          <w:tcPr>
            <w:tcW w:w="2705" w:type="dxa"/>
            <w:tcBorders>
              <w:top w:val="nil"/>
              <w:left w:val="nil"/>
              <w:bottom w:val="single" w:sz="4" w:space="0" w:color="auto"/>
              <w:right w:val="single" w:sz="4" w:space="0" w:color="auto"/>
            </w:tcBorders>
            <w:shd w:val="clear" w:color="auto" w:fill="auto"/>
            <w:vAlign w:val="center"/>
            <w:hideMark/>
          </w:tcPr>
          <w:p w14:paraId="4BC9FC0F"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zonave të kultivimit të vreshtave për verë, bazuar në treguesit e tokës, klimës, etj</w:t>
            </w:r>
          </w:p>
        </w:tc>
        <w:tc>
          <w:tcPr>
            <w:tcW w:w="1985" w:type="dxa"/>
            <w:tcBorders>
              <w:top w:val="nil"/>
              <w:left w:val="nil"/>
              <w:bottom w:val="single" w:sz="4" w:space="0" w:color="auto"/>
              <w:right w:val="single" w:sz="4" w:space="0" w:color="auto"/>
            </w:tcBorders>
            <w:shd w:val="clear" w:color="auto" w:fill="auto"/>
            <w:noWrap/>
            <w:vAlign w:val="center"/>
            <w:hideMark/>
          </w:tcPr>
          <w:p w14:paraId="1ED79E9F"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2149" w:type="dxa"/>
            <w:tcBorders>
              <w:top w:val="nil"/>
              <w:left w:val="nil"/>
              <w:bottom w:val="single" w:sz="4" w:space="0" w:color="auto"/>
              <w:right w:val="single" w:sz="4" w:space="0" w:color="auto"/>
            </w:tcBorders>
            <w:shd w:val="clear" w:color="auto" w:fill="auto"/>
            <w:vAlign w:val="center"/>
            <w:hideMark/>
          </w:tcPr>
          <w:p w14:paraId="131B9E8F" w14:textId="77777777" w:rsidR="00373419"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Zhvillimi i Bujqësisë dhe Fshatit;                       </w:t>
            </w:r>
          </w:p>
          <w:p w14:paraId="4EE924D2" w14:textId="77777777" w:rsidR="00373419"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Zhvillimi i fshatit drejt turizmit rural;                   </w:t>
            </w:r>
          </w:p>
          <w:p w14:paraId="50ED0510" w14:textId="259E8F38"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modernizimi për zhvillim</w:t>
            </w:r>
          </w:p>
        </w:tc>
        <w:tc>
          <w:tcPr>
            <w:tcW w:w="1245" w:type="dxa"/>
            <w:tcBorders>
              <w:top w:val="nil"/>
              <w:left w:val="nil"/>
              <w:bottom w:val="single" w:sz="4" w:space="0" w:color="auto"/>
              <w:right w:val="single" w:sz="4" w:space="0" w:color="auto"/>
            </w:tcBorders>
            <w:shd w:val="clear" w:color="auto" w:fill="auto"/>
            <w:vAlign w:val="center"/>
            <w:hideMark/>
          </w:tcPr>
          <w:p w14:paraId="2FE825B5"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Strategjia Ndërsektoriale për Bujqësinë, Zhvillimin Rural dhe Peshkimin 2021 - 2027, miratuar me Vendimin Nr. 460,  datë 29.6.2022</w:t>
            </w:r>
          </w:p>
        </w:tc>
        <w:tc>
          <w:tcPr>
            <w:tcW w:w="1316" w:type="dxa"/>
            <w:tcBorders>
              <w:top w:val="nil"/>
              <w:left w:val="nil"/>
              <w:bottom w:val="single" w:sz="4" w:space="0" w:color="auto"/>
              <w:right w:val="single" w:sz="4" w:space="0" w:color="auto"/>
            </w:tcBorders>
            <w:shd w:val="clear" w:color="auto" w:fill="auto"/>
            <w:noWrap/>
            <w:vAlign w:val="center"/>
            <w:hideMark/>
          </w:tcPr>
          <w:p w14:paraId="77FB63FF"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 </w:t>
            </w:r>
          </w:p>
        </w:tc>
      </w:tr>
      <w:tr w:rsidR="00622842" w:rsidRPr="00727111" w14:paraId="4207B8D3" w14:textId="77777777" w:rsidTr="00373419">
        <w:trPr>
          <w:gridAfter w:val="1"/>
          <w:wAfter w:w="22" w:type="dxa"/>
          <w:trHeight w:val="180"/>
          <w:jc w:val="center"/>
        </w:trPr>
        <w:tc>
          <w:tcPr>
            <w:tcW w:w="473" w:type="dxa"/>
            <w:tcBorders>
              <w:top w:val="single" w:sz="4" w:space="0" w:color="auto"/>
              <w:left w:val="single" w:sz="4" w:space="0" w:color="auto"/>
              <w:bottom w:val="nil"/>
              <w:right w:val="single" w:sz="4" w:space="0" w:color="auto"/>
            </w:tcBorders>
            <w:shd w:val="clear" w:color="auto" w:fill="auto"/>
            <w:vAlign w:val="center"/>
            <w:hideMark/>
          </w:tcPr>
          <w:p w14:paraId="3F210FFD"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8</w:t>
            </w:r>
          </w:p>
        </w:tc>
        <w:tc>
          <w:tcPr>
            <w:tcW w:w="894" w:type="dxa"/>
            <w:tcBorders>
              <w:top w:val="nil"/>
              <w:left w:val="nil"/>
              <w:bottom w:val="single" w:sz="4" w:space="0" w:color="auto"/>
              <w:right w:val="single" w:sz="4" w:space="0" w:color="auto"/>
            </w:tcBorders>
            <w:shd w:val="clear" w:color="auto" w:fill="auto"/>
            <w:vAlign w:val="center"/>
            <w:hideMark/>
          </w:tcPr>
          <w:p w14:paraId="726F3E77"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 xml:space="preserve"> "Për miratimin e rregullave të hollësishme lidhur me kushtet, masat dhe kontrollet e ngarkesave të produkteve organike ose në kalim të importuara"</w:t>
            </w:r>
          </w:p>
        </w:tc>
        <w:tc>
          <w:tcPr>
            <w:tcW w:w="901" w:type="dxa"/>
            <w:tcBorders>
              <w:top w:val="single" w:sz="4" w:space="0" w:color="auto"/>
              <w:left w:val="nil"/>
              <w:bottom w:val="nil"/>
              <w:right w:val="single" w:sz="4" w:space="0" w:color="auto"/>
            </w:tcBorders>
            <w:shd w:val="clear" w:color="auto" w:fill="auto"/>
            <w:noWrap/>
            <w:vAlign w:val="center"/>
            <w:hideMark/>
          </w:tcPr>
          <w:p w14:paraId="30BC5F1B"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744" w:type="dxa"/>
            <w:tcBorders>
              <w:top w:val="nil"/>
              <w:left w:val="nil"/>
              <w:bottom w:val="single" w:sz="4" w:space="0" w:color="auto"/>
              <w:right w:val="single" w:sz="4" w:space="0" w:color="auto"/>
            </w:tcBorders>
            <w:shd w:val="clear" w:color="auto" w:fill="auto"/>
            <w:vAlign w:val="center"/>
            <w:hideMark/>
          </w:tcPr>
          <w:p w14:paraId="45995CA9"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27848EAC"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595" w:type="dxa"/>
            <w:tcBorders>
              <w:top w:val="nil"/>
              <w:left w:val="nil"/>
              <w:bottom w:val="single" w:sz="4" w:space="0" w:color="auto"/>
              <w:right w:val="single" w:sz="4" w:space="0" w:color="auto"/>
            </w:tcBorders>
            <w:shd w:val="clear" w:color="auto" w:fill="auto"/>
            <w:vAlign w:val="center"/>
            <w:hideMark/>
          </w:tcPr>
          <w:p w14:paraId="236216B5"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Në zbatim të pikës 4, neni 56, të  ligjit 104/2024 "Për prodhimin organik, etiketimin e produkteve organike dhe kontrollin e tyre". Boshllëk ligjor lidhur me rregullat e importit të produkteve organike.</w:t>
            </w:r>
          </w:p>
        </w:tc>
        <w:tc>
          <w:tcPr>
            <w:tcW w:w="2705" w:type="dxa"/>
            <w:tcBorders>
              <w:top w:val="nil"/>
              <w:left w:val="nil"/>
              <w:bottom w:val="nil"/>
              <w:right w:val="nil"/>
            </w:tcBorders>
            <w:shd w:val="clear" w:color="auto" w:fill="auto"/>
            <w:vAlign w:val="center"/>
            <w:hideMark/>
          </w:tcPr>
          <w:p w14:paraId="050DD667"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Ky projektvendim do të përcaktojë rregullat e hollësishme për verifikimin e kushteve për importin e produkteve organike dhe në kalim, të përcaktuara në  ligjin nr.104/2024 ”Për prodhimin organik, etiketimin e produkteve organike dhe kontrollin e tyre”  kontrollin dhe masat  e marra gjatë kontrollit të produkteve të importuara  organike dhe në kalim. </w:t>
            </w:r>
          </w:p>
        </w:tc>
        <w:tc>
          <w:tcPr>
            <w:tcW w:w="1985" w:type="dxa"/>
            <w:tcBorders>
              <w:top w:val="nil"/>
              <w:left w:val="single" w:sz="4" w:space="0" w:color="auto"/>
              <w:bottom w:val="nil"/>
              <w:right w:val="nil"/>
            </w:tcBorders>
            <w:shd w:val="clear" w:color="auto" w:fill="auto"/>
            <w:vAlign w:val="center"/>
            <w:hideMark/>
          </w:tcPr>
          <w:p w14:paraId="7EE6ED2E"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Po                                             Kapitulli 11 "Bujqësia dhe Zhvillimi Rural"</w:t>
            </w:r>
          </w:p>
        </w:tc>
        <w:tc>
          <w:tcPr>
            <w:tcW w:w="2149" w:type="dxa"/>
            <w:tcBorders>
              <w:top w:val="nil"/>
              <w:left w:val="single" w:sz="4" w:space="0" w:color="auto"/>
              <w:bottom w:val="single" w:sz="4" w:space="0" w:color="auto"/>
              <w:right w:val="single" w:sz="4" w:space="0" w:color="auto"/>
            </w:tcBorders>
            <w:shd w:val="clear" w:color="auto" w:fill="auto"/>
            <w:vAlign w:val="center"/>
            <w:hideMark/>
          </w:tcPr>
          <w:p w14:paraId="7C25EDA7"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Jo</w:t>
            </w:r>
          </w:p>
        </w:tc>
        <w:tc>
          <w:tcPr>
            <w:tcW w:w="1245" w:type="dxa"/>
            <w:tcBorders>
              <w:top w:val="nil"/>
              <w:left w:val="nil"/>
              <w:bottom w:val="single" w:sz="4" w:space="0" w:color="auto"/>
              <w:right w:val="single" w:sz="4" w:space="0" w:color="auto"/>
            </w:tcBorders>
            <w:shd w:val="clear" w:color="auto" w:fill="auto"/>
            <w:vAlign w:val="center"/>
            <w:hideMark/>
          </w:tcPr>
          <w:p w14:paraId="561B07E4"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Strategjia Ndërsektoriale për Bujqësinë, Zhvillimin Rural dhe Peshkimin 2021 - 2027, miratuar me Vendimin Nr. 460,  datë 29.6.2022.</w:t>
            </w:r>
          </w:p>
        </w:tc>
        <w:tc>
          <w:tcPr>
            <w:tcW w:w="1316" w:type="dxa"/>
            <w:tcBorders>
              <w:top w:val="nil"/>
              <w:left w:val="nil"/>
              <w:bottom w:val="single" w:sz="4" w:space="0" w:color="auto"/>
              <w:right w:val="single" w:sz="4" w:space="0" w:color="auto"/>
            </w:tcBorders>
            <w:shd w:val="clear" w:color="auto" w:fill="auto"/>
            <w:vAlign w:val="center"/>
            <w:hideMark/>
          </w:tcPr>
          <w:p w14:paraId="660AA924"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 xml:space="preserve">Po          </w:t>
            </w:r>
          </w:p>
        </w:tc>
      </w:tr>
      <w:tr w:rsidR="00622842" w:rsidRPr="00727111" w14:paraId="00A066A2" w14:textId="77777777" w:rsidTr="00373419">
        <w:trPr>
          <w:gridAfter w:val="1"/>
          <w:wAfter w:w="22" w:type="dxa"/>
          <w:trHeight w:val="180"/>
          <w:jc w:val="center"/>
        </w:trPr>
        <w:tc>
          <w:tcPr>
            <w:tcW w:w="473" w:type="dxa"/>
            <w:tcBorders>
              <w:top w:val="single" w:sz="4" w:space="0" w:color="auto"/>
              <w:left w:val="single" w:sz="4" w:space="0" w:color="auto"/>
              <w:bottom w:val="nil"/>
              <w:right w:val="single" w:sz="4" w:space="0" w:color="auto"/>
            </w:tcBorders>
            <w:shd w:val="clear" w:color="auto" w:fill="auto"/>
            <w:vAlign w:val="center"/>
            <w:hideMark/>
          </w:tcPr>
          <w:p w14:paraId="3D4A3BF6"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9</w:t>
            </w:r>
          </w:p>
        </w:tc>
        <w:tc>
          <w:tcPr>
            <w:tcW w:w="894" w:type="dxa"/>
            <w:tcBorders>
              <w:top w:val="nil"/>
              <w:left w:val="nil"/>
              <w:bottom w:val="single" w:sz="4" w:space="0" w:color="auto"/>
              <w:right w:val="single" w:sz="4" w:space="0" w:color="auto"/>
            </w:tcBorders>
            <w:shd w:val="clear" w:color="auto" w:fill="auto"/>
            <w:vAlign w:val="center"/>
            <w:hideMark/>
          </w:tcPr>
          <w:p w14:paraId="63EB26E1"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“Për organizimin e tregjeve të produkteve të peshkimit dhe akuakulturës”</w:t>
            </w:r>
          </w:p>
        </w:tc>
        <w:tc>
          <w:tcPr>
            <w:tcW w:w="901" w:type="dxa"/>
            <w:tcBorders>
              <w:top w:val="single" w:sz="4" w:space="0" w:color="auto"/>
              <w:left w:val="nil"/>
              <w:bottom w:val="single" w:sz="4" w:space="0" w:color="auto"/>
              <w:right w:val="single" w:sz="4" w:space="0" w:color="auto"/>
            </w:tcBorders>
            <w:shd w:val="clear" w:color="auto" w:fill="auto"/>
            <w:vAlign w:val="center"/>
            <w:hideMark/>
          </w:tcPr>
          <w:p w14:paraId="4F3F6FC3"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Projektvendim</w:t>
            </w:r>
          </w:p>
        </w:tc>
        <w:tc>
          <w:tcPr>
            <w:tcW w:w="744" w:type="dxa"/>
            <w:tcBorders>
              <w:top w:val="nil"/>
              <w:left w:val="nil"/>
              <w:bottom w:val="single" w:sz="4" w:space="0" w:color="auto"/>
              <w:right w:val="single" w:sz="4" w:space="0" w:color="auto"/>
            </w:tcBorders>
            <w:shd w:val="clear" w:color="auto" w:fill="auto"/>
            <w:vAlign w:val="center"/>
            <w:hideMark/>
          </w:tcPr>
          <w:p w14:paraId="4FAF6681"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16FC3477"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595" w:type="dxa"/>
            <w:tcBorders>
              <w:top w:val="nil"/>
              <w:left w:val="nil"/>
              <w:bottom w:val="single" w:sz="4" w:space="0" w:color="auto"/>
              <w:right w:val="single" w:sz="4" w:space="0" w:color="auto"/>
            </w:tcBorders>
            <w:shd w:val="clear" w:color="auto" w:fill="auto"/>
            <w:vAlign w:val="center"/>
            <w:hideMark/>
          </w:tcPr>
          <w:p w14:paraId="64756549"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Detyrim nga takimi  Bilateral Screening Meeting për Kapitullin 13 - Peshkimi, ne te cilin Shqiperia mori angazhim perafrimin e Rregullores (BE) Nr. 1379/2013 e Parlamentit Evropian dhe të Këshillit, datë 11 dhjetor 2013, për organizatën e përbashkët të tregjeve në produkte peshkimi dhe akvakulturë, duke ndryshuar Rregulloret e Këshillit (CE) Nr. 1184/2006 dhe (CE) Nr. 1224/2009 dhe duke anuluar Rregullore (CE) Nr. 104/2000.</w:t>
            </w:r>
          </w:p>
        </w:tc>
        <w:tc>
          <w:tcPr>
            <w:tcW w:w="2705" w:type="dxa"/>
            <w:tcBorders>
              <w:top w:val="single" w:sz="4" w:space="0" w:color="auto"/>
              <w:left w:val="nil"/>
              <w:bottom w:val="single" w:sz="4" w:space="0" w:color="auto"/>
              <w:right w:val="single" w:sz="4" w:space="0" w:color="auto"/>
            </w:tcBorders>
            <w:shd w:val="clear" w:color="auto" w:fill="auto"/>
            <w:vAlign w:val="center"/>
            <w:hideMark/>
          </w:tcPr>
          <w:p w14:paraId="06BB9A3C"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 xml:space="preserve">Projektvendimi percakton rregullat per organizimindhe rregullimin  e tregjeve te produkteve te peshkimit dhe akuakultures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61894CF"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Po, Kapitulli 13 "Peshkimi"</w:t>
            </w:r>
          </w:p>
        </w:tc>
        <w:tc>
          <w:tcPr>
            <w:tcW w:w="2149" w:type="dxa"/>
            <w:tcBorders>
              <w:top w:val="nil"/>
              <w:left w:val="nil"/>
              <w:bottom w:val="single" w:sz="4" w:space="0" w:color="auto"/>
              <w:right w:val="single" w:sz="4" w:space="0" w:color="auto"/>
            </w:tcBorders>
            <w:shd w:val="clear" w:color="auto" w:fill="auto"/>
            <w:vAlign w:val="center"/>
            <w:hideMark/>
          </w:tcPr>
          <w:p w14:paraId="500DF33F" w14:textId="77777777" w:rsidR="00373419"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 xml:space="preserve">Zhvillimi i Bujqësisë dhe Fshatit;                       </w:t>
            </w:r>
          </w:p>
          <w:p w14:paraId="3547E1DD" w14:textId="77777777" w:rsidR="00373419"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 xml:space="preserve">Zhvillimi i fshatit drejt turizmit rural;                    </w:t>
            </w:r>
          </w:p>
          <w:p w14:paraId="5811BF0F" w14:textId="42398FA1"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modernizimi për zhvillim</w:t>
            </w:r>
          </w:p>
        </w:tc>
        <w:tc>
          <w:tcPr>
            <w:tcW w:w="1245" w:type="dxa"/>
            <w:tcBorders>
              <w:top w:val="nil"/>
              <w:left w:val="nil"/>
              <w:bottom w:val="single" w:sz="4" w:space="0" w:color="auto"/>
              <w:right w:val="single" w:sz="4" w:space="0" w:color="auto"/>
            </w:tcBorders>
            <w:shd w:val="clear" w:color="auto" w:fill="auto"/>
            <w:vAlign w:val="center"/>
            <w:hideMark/>
          </w:tcPr>
          <w:p w14:paraId="3BDB97F0"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Strategjia Ndërsektoriale për Bujqësinë, Zhvillimin Rural dhe Peshkimin 2021 - 2027, miratuar me Vendimin Nr. 460,  datë 29.6.2022</w:t>
            </w:r>
          </w:p>
        </w:tc>
        <w:tc>
          <w:tcPr>
            <w:tcW w:w="1316" w:type="dxa"/>
            <w:tcBorders>
              <w:top w:val="nil"/>
              <w:left w:val="nil"/>
              <w:bottom w:val="single" w:sz="4" w:space="0" w:color="auto"/>
              <w:right w:val="single" w:sz="4" w:space="0" w:color="auto"/>
            </w:tcBorders>
            <w:shd w:val="clear" w:color="auto" w:fill="auto"/>
            <w:vAlign w:val="center"/>
            <w:hideMark/>
          </w:tcPr>
          <w:p w14:paraId="7260A4D5"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Po</w:t>
            </w:r>
          </w:p>
        </w:tc>
      </w:tr>
      <w:tr w:rsidR="00622842" w:rsidRPr="00727111" w14:paraId="04394FFE" w14:textId="77777777" w:rsidTr="00373419">
        <w:trPr>
          <w:gridAfter w:val="1"/>
          <w:wAfter w:w="22" w:type="dxa"/>
          <w:trHeight w:val="180"/>
          <w:jc w:val="center"/>
        </w:trPr>
        <w:tc>
          <w:tcPr>
            <w:tcW w:w="473" w:type="dxa"/>
            <w:tcBorders>
              <w:top w:val="single" w:sz="4" w:space="0" w:color="auto"/>
              <w:left w:val="single" w:sz="4" w:space="0" w:color="auto"/>
              <w:bottom w:val="nil"/>
              <w:right w:val="single" w:sz="4" w:space="0" w:color="auto"/>
            </w:tcBorders>
            <w:shd w:val="clear" w:color="auto" w:fill="auto"/>
            <w:vAlign w:val="center"/>
            <w:hideMark/>
          </w:tcPr>
          <w:p w14:paraId="248E1405"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10</w:t>
            </w:r>
          </w:p>
        </w:tc>
        <w:tc>
          <w:tcPr>
            <w:tcW w:w="894" w:type="dxa"/>
            <w:tcBorders>
              <w:top w:val="nil"/>
              <w:left w:val="nil"/>
              <w:bottom w:val="single" w:sz="4" w:space="0" w:color="auto"/>
              <w:right w:val="single" w:sz="4" w:space="0" w:color="auto"/>
            </w:tcBorders>
            <w:shd w:val="clear" w:color="auto" w:fill="auto"/>
            <w:vAlign w:val="center"/>
            <w:hideMark/>
          </w:tcPr>
          <w:p w14:paraId="79A2BC03"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"Për përcaktimin e kritereve, procedura, mënyra e transferimit të menaxhimit të infrastrukturës së</w:t>
            </w:r>
            <w:r w:rsidRPr="00727111">
              <w:rPr>
                <w:rFonts w:ascii="Garamond" w:hAnsi="Garamond"/>
                <w:sz w:val="12"/>
                <w:szCs w:val="12"/>
                <w:lang w:eastAsia="sq-AL"/>
              </w:rPr>
              <w:br/>
              <w:t>peshkimit dhe infrastrukturës së lidhur me peshkimin dhe formati tip i kontratës"</w:t>
            </w:r>
          </w:p>
        </w:tc>
        <w:tc>
          <w:tcPr>
            <w:tcW w:w="901" w:type="dxa"/>
            <w:tcBorders>
              <w:top w:val="nil"/>
              <w:left w:val="nil"/>
              <w:bottom w:val="single" w:sz="4" w:space="0" w:color="auto"/>
              <w:right w:val="single" w:sz="4" w:space="0" w:color="auto"/>
            </w:tcBorders>
            <w:shd w:val="clear" w:color="auto" w:fill="auto"/>
            <w:vAlign w:val="center"/>
            <w:hideMark/>
          </w:tcPr>
          <w:p w14:paraId="7313AD45"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Projektvendim</w:t>
            </w:r>
          </w:p>
        </w:tc>
        <w:tc>
          <w:tcPr>
            <w:tcW w:w="744" w:type="dxa"/>
            <w:tcBorders>
              <w:top w:val="nil"/>
              <w:left w:val="nil"/>
              <w:bottom w:val="single" w:sz="4" w:space="0" w:color="auto"/>
              <w:right w:val="single" w:sz="4" w:space="0" w:color="auto"/>
            </w:tcBorders>
            <w:shd w:val="clear" w:color="auto" w:fill="auto"/>
            <w:vAlign w:val="center"/>
            <w:hideMark/>
          </w:tcPr>
          <w:p w14:paraId="54EB2122"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Ministri i Bujqësisë dhe Zhvillimit Rural</w:t>
            </w:r>
          </w:p>
        </w:tc>
        <w:tc>
          <w:tcPr>
            <w:tcW w:w="999" w:type="dxa"/>
            <w:tcBorders>
              <w:top w:val="nil"/>
              <w:left w:val="nil"/>
              <w:bottom w:val="single" w:sz="4" w:space="0" w:color="auto"/>
              <w:right w:val="single" w:sz="4" w:space="0" w:color="auto"/>
            </w:tcBorders>
            <w:shd w:val="clear" w:color="auto" w:fill="auto"/>
            <w:vAlign w:val="center"/>
            <w:hideMark/>
          </w:tcPr>
          <w:p w14:paraId="5B62F2F0" w14:textId="77777777" w:rsidR="00622842" w:rsidRPr="00727111" w:rsidRDefault="00622842" w:rsidP="00622842">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595" w:type="dxa"/>
            <w:tcBorders>
              <w:top w:val="nil"/>
              <w:left w:val="nil"/>
              <w:bottom w:val="single" w:sz="4" w:space="0" w:color="auto"/>
              <w:right w:val="single" w:sz="4" w:space="0" w:color="auto"/>
            </w:tcBorders>
            <w:shd w:val="clear" w:color="auto" w:fill="auto"/>
            <w:vAlign w:val="center"/>
            <w:hideMark/>
          </w:tcPr>
          <w:p w14:paraId="7E0EB601"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Me hyrjen ne fuqi te ndryshimeve te ligjit 64/2012 “Për peshkimin”, nevojitet hartimin e vendimit per përcaktimin e kritereve, procedura, mënyra e transferimit të menaxhimit të infrastrukturës së peshkimit dhe infrastrukturës së lidhur me peshkimin dhe formati tip i kontratës, me qellim menaxhimin optimal te infrastrukturës se peshkimit.</w:t>
            </w:r>
          </w:p>
        </w:tc>
        <w:tc>
          <w:tcPr>
            <w:tcW w:w="2705" w:type="dxa"/>
            <w:tcBorders>
              <w:top w:val="nil"/>
              <w:left w:val="nil"/>
              <w:bottom w:val="single" w:sz="4" w:space="0" w:color="auto"/>
              <w:right w:val="single" w:sz="4" w:space="0" w:color="auto"/>
            </w:tcBorders>
            <w:shd w:val="clear" w:color="auto" w:fill="auto"/>
            <w:vAlign w:val="center"/>
            <w:hideMark/>
          </w:tcPr>
          <w:p w14:paraId="156935E2"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Projektvendimi percakton kriteret, procedurat, mënyren e transferimit të menaxhimit të infrastrukturës së peshkimit dhe infrastrukturës së lidhur me peshkimin dhe formati tip i kontratës</w:t>
            </w:r>
          </w:p>
        </w:tc>
        <w:tc>
          <w:tcPr>
            <w:tcW w:w="1985" w:type="dxa"/>
            <w:tcBorders>
              <w:top w:val="nil"/>
              <w:left w:val="nil"/>
              <w:bottom w:val="single" w:sz="4" w:space="0" w:color="auto"/>
              <w:right w:val="single" w:sz="4" w:space="0" w:color="auto"/>
            </w:tcBorders>
            <w:shd w:val="clear" w:color="auto" w:fill="auto"/>
            <w:vAlign w:val="center"/>
            <w:hideMark/>
          </w:tcPr>
          <w:p w14:paraId="0044D9C6"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Jo</w:t>
            </w:r>
          </w:p>
        </w:tc>
        <w:tc>
          <w:tcPr>
            <w:tcW w:w="2149" w:type="dxa"/>
            <w:tcBorders>
              <w:top w:val="nil"/>
              <w:left w:val="nil"/>
              <w:bottom w:val="single" w:sz="4" w:space="0" w:color="auto"/>
              <w:right w:val="single" w:sz="4" w:space="0" w:color="auto"/>
            </w:tcBorders>
            <w:shd w:val="clear" w:color="auto" w:fill="auto"/>
            <w:vAlign w:val="center"/>
            <w:hideMark/>
          </w:tcPr>
          <w:p w14:paraId="6C633D05"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Jo</w:t>
            </w:r>
          </w:p>
        </w:tc>
        <w:tc>
          <w:tcPr>
            <w:tcW w:w="1245" w:type="dxa"/>
            <w:tcBorders>
              <w:top w:val="nil"/>
              <w:left w:val="nil"/>
              <w:bottom w:val="single" w:sz="4" w:space="0" w:color="auto"/>
              <w:right w:val="single" w:sz="4" w:space="0" w:color="auto"/>
            </w:tcBorders>
            <w:shd w:val="clear" w:color="auto" w:fill="auto"/>
            <w:vAlign w:val="center"/>
            <w:hideMark/>
          </w:tcPr>
          <w:p w14:paraId="3628DC95"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Strategjia Ndërsektoriale për Bujqësinë, Zhvillimin Rural dhe Peshkimin 2021 - 2027, miratuar me Vendimin Nr. 460,  datë 29.6.2022</w:t>
            </w:r>
          </w:p>
        </w:tc>
        <w:tc>
          <w:tcPr>
            <w:tcW w:w="1316" w:type="dxa"/>
            <w:tcBorders>
              <w:top w:val="nil"/>
              <w:left w:val="nil"/>
              <w:bottom w:val="single" w:sz="4" w:space="0" w:color="auto"/>
              <w:right w:val="single" w:sz="4" w:space="0" w:color="auto"/>
            </w:tcBorders>
            <w:shd w:val="clear" w:color="auto" w:fill="auto"/>
            <w:vAlign w:val="center"/>
            <w:hideMark/>
          </w:tcPr>
          <w:p w14:paraId="58A31A6B" w14:textId="77777777" w:rsidR="00622842" w:rsidRPr="00727111" w:rsidRDefault="00622842" w:rsidP="00622842">
            <w:pPr>
              <w:jc w:val="center"/>
              <w:rPr>
                <w:rFonts w:ascii="Garamond" w:hAnsi="Garamond"/>
                <w:sz w:val="12"/>
                <w:szCs w:val="12"/>
                <w:lang w:eastAsia="sq-AL"/>
              </w:rPr>
            </w:pPr>
            <w:r w:rsidRPr="00727111">
              <w:rPr>
                <w:rFonts w:ascii="Garamond" w:hAnsi="Garamond"/>
                <w:sz w:val="12"/>
                <w:szCs w:val="12"/>
                <w:lang w:eastAsia="sq-AL"/>
              </w:rPr>
              <w:t>Po</w:t>
            </w:r>
          </w:p>
        </w:tc>
      </w:tr>
    </w:tbl>
    <w:p w14:paraId="41D30283" w14:textId="7088358F" w:rsidR="00B90AA2" w:rsidRPr="00727111" w:rsidRDefault="00B90AA2" w:rsidP="00593BF4">
      <w:pPr>
        <w:ind w:firstLine="284"/>
        <w:jc w:val="both"/>
        <w:rPr>
          <w:rFonts w:ascii="Garamond" w:hAnsi="Garamond"/>
          <w:b/>
          <w:sz w:val="24"/>
        </w:rPr>
      </w:pPr>
    </w:p>
    <w:p w14:paraId="347BA004" w14:textId="05B6970B" w:rsidR="00373419" w:rsidRPr="00727111" w:rsidRDefault="00373419" w:rsidP="00593BF4">
      <w:pPr>
        <w:ind w:firstLine="284"/>
        <w:jc w:val="both"/>
        <w:rPr>
          <w:rFonts w:ascii="Garamond" w:hAnsi="Garamond"/>
          <w:b/>
          <w:sz w:val="24"/>
        </w:rPr>
      </w:pPr>
    </w:p>
    <w:p w14:paraId="48CD2F74" w14:textId="69CB5A96" w:rsidR="00373419" w:rsidRPr="00727111" w:rsidRDefault="00373419" w:rsidP="00593BF4">
      <w:pPr>
        <w:ind w:firstLine="284"/>
        <w:jc w:val="both"/>
        <w:rPr>
          <w:rFonts w:ascii="Garamond" w:hAnsi="Garamond"/>
          <w:b/>
          <w:sz w:val="24"/>
        </w:rPr>
      </w:pPr>
    </w:p>
    <w:tbl>
      <w:tblPr>
        <w:tblW w:w="14318" w:type="dxa"/>
        <w:jc w:val="center"/>
        <w:tblLayout w:type="fixed"/>
        <w:tblLook w:val="04A0" w:firstRow="1" w:lastRow="0" w:firstColumn="1" w:lastColumn="0" w:noHBand="0" w:noVBand="1"/>
      </w:tblPr>
      <w:tblGrid>
        <w:gridCol w:w="390"/>
        <w:gridCol w:w="1199"/>
        <w:gridCol w:w="901"/>
        <w:gridCol w:w="1018"/>
        <w:gridCol w:w="1165"/>
        <w:gridCol w:w="2362"/>
        <w:gridCol w:w="3124"/>
        <w:gridCol w:w="835"/>
        <w:gridCol w:w="1030"/>
        <w:gridCol w:w="864"/>
        <w:gridCol w:w="1410"/>
        <w:gridCol w:w="20"/>
      </w:tblGrid>
      <w:tr w:rsidR="00660F04" w:rsidRPr="00727111" w14:paraId="700EC9EC" w14:textId="77777777" w:rsidTr="00660F04">
        <w:trPr>
          <w:trHeight w:val="180"/>
          <w:jc w:val="center"/>
        </w:trPr>
        <w:tc>
          <w:tcPr>
            <w:tcW w:w="14318" w:type="dxa"/>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3380D241" w14:textId="77777777" w:rsidR="00660F04" w:rsidRPr="00727111" w:rsidRDefault="00660F04" w:rsidP="00660F04">
            <w:pPr>
              <w:jc w:val="center"/>
              <w:rPr>
                <w:rFonts w:ascii="Garamond" w:hAnsi="Garamond"/>
                <w:b/>
                <w:bCs/>
                <w:color w:val="000000"/>
                <w:sz w:val="12"/>
                <w:szCs w:val="12"/>
                <w:lang w:eastAsia="sq-AL"/>
              </w:rPr>
            </w:pPr>
            <w:bookmarkStart w:id="8" w:name="RANGE!A1:K10"/>
            <w:r w:rsidRPr="00727111">
              <w:rPr>
                <w:rFonts w:ascii="Garamond" w:hAnsi="Garamond"/>
                <w:b/>
                <w:bCs/>
                <w:color w:val="000000"/>
                <w:sz w:val="12"/>
                <w:szCs w:val="12"/>
                <w:lang w:eastAsia="sq-AL"/>
              </w:rPr>
              <w:t>Programi i Përgjithshëm Analitik i Projektakteve për vitin 2025</w:t>
            </w:r>
            <w:bookmarkEnd w:id="8"/>
          </w:p>
        </w:tc>
      </w:tr>
      <w:tr w:rsidR="00660F04" w:rsidRPr="00727111" w14:paraId="0524534A" w14:textId="77777777" w:rsidTr="00660F04">
        <w:trPr>
          <w:trHeight w:val="180"/>
          <w:jc w:val="center"/>
        </w:trPr>
        <w:tc>
          <w:tcPr>
            <w:tcW w:w="14318" w:type="dxa"/>
            <w:gridSpan w:val="12"/>
            <w:tcBorders>
              <w:top w:val="single" w:sz="4" w:space="0" w:color="auto"/>
              <w:left w:val="single" w:sz="4" w:space="0" w:color="auto"/>
              <w:bottom w:val="single" w:sz="4" w:space="0" w:color="auto"/>
              <w:right w:val="single" w:sz="4" w:space="0" w:color="auto"/>
            </w:tcBorders>
            <w:shd w:val="clear" w:color="000000" w:fill="F2F2F2"/>
            <w:vAlign w:val="center"/>
            <w:hideMark/>
          </w:tcPr>
          <w:p w14:paraId="0265596D" w14:textId="77777777" w:rsidR="00660F04" w:rsidRPr="00727111" w:rsidRDefault="00660F04" w:rsidP="00660F04">
            <w:pPr>
              <w:jc w:val="center"/>
              <w:rPr>
                <w:rFonts w:ascii="Garamond" w:hAnsi="Garamond"/>
                <w:b/>
                <w:bCs/>
                <w:color w:val="000000"/>
                <w:sz w:val="12"/>
                <w:szCs w:val="12"/>
                <w:lang w:eastAsia="sq-AL"/>
              </w:rPr>
            </w:pPr>
            <w:r w:rsidRPr="00727111">
              <w:rPr>
                <w:rFonts w:ascii="Garamond" w:hAnsi="Garamond"/>
                <w:b/>
                <w:bCs/>
                <w:color w:val="000000"/>
                <w:sz w:val="12"/>
                <w:szCs w:val="12"/>
                <w:lang w:eastAsia="sq-AL"/>
              </w:rPr>
              <w:t>Ministria e Drejtësisë</w:t>
            </w:r>
          </w:p>
        </w:tc>
      </w:tr>
      <w:tr w:rsidR="00660F04" w:rsidRPr="00727111" w14:paraId="56AB7FC4" w14:textId="77777777" w:rsidTr="00660F04">
        <w:trPr>
          <w:gridAfter w:val="1"/>
          <w:wAfter w:w="20" w:type="dxa"/>
          <w:trHeight w:val="180"/>
          <w:jc w:val="center"/>
        </w:trPr>
        <w:tc>
          <w:tcPr>
            <w:tcW w:w="390" w:type="dxa"/>
            <w:tcBorders>
              <w:top w:val="nil"/>
              <w:left w:val="single" w:sz="4" w:space="0" w:color="auto"/>
              <w:bottom w:val="single" w:sz="4" w:space="0" w:color="auto"/>
              <w:right w:val="single" w:sz="4" w:space="0" w:color="auto"/>
            </w:tcBorders>
            <w:shd w:val="clear" w:color="000000" w:fill="C00000"/>
            <w:vAlign w:val="center"/>
            <w:hideMark/>
          </w:tcPr>
          <w:p w14:paraId="5D9BE333"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Nr.</w:t>
            </w:r>
          </w:p>
        </w:tc>
        <w:tc>
          <w:tcPr>
            <w:tcW w:w="1199" w:type="dxa"/>
            <w:tcBorders>
              <w:top w:val="nil"/>
              <w:left w:val="nil"/>
              <w:bottom w:val="single" w:sz="4" w:space="0" w:color="auto"/>
              <w:right w:val="single" w:sz="4" w:space="0" w:color="auto"/>
            </w:tcBorders>
            <w:shd w:val="clear" w:color="000000" w:fill="C00000"/>
            <w:vAlign w:val="center"/>
            <w:hideMark/>
          </w:tcPr>
          <w:p w14:paraId="4067F788"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Titulli i projektaktit</w:t>
            </w:r>
          </w:p>
        </w:tc>
        <w:tc>
          <w:tcPr>
            <w:tcW w:w="901" w:type="dxa"/>
            <w:tcBorders>
              <w:top w:val="nil"/>
              <w:left w:val="nil"/>
              <w:bottom w:val="single" w:sz="4" w:space="0" w:color="auto"/>
              <w:right w:val="single" w:sz="4" w:space="0" w:color="auto"/>
            </w:tcBorders>
            <w:shd w:val="clear" w:color="000000" w:fill="C00000"/>
            <w:vAlign w:val="center"/>
            <w:hideMark/>
          </w:tcPr>
          <w:p w14:paraId="6F8FE90E"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Lloji i projektaktit</w:t>
            </w:r>
          </w:p>
        </w:tc>
        <w:tc>
          <w:tcPr>
            <w:tcW w:w="1018" w:type="dxa"/>
            <w:tcBorders>
              <w:top w:val="nil"/>
              <w:left w:val="nil"/>
              <w:bottom w:val="single" w:sz="4" w:space="0" w:color="auto"/>
              <w:right w:val="single" w:sz="4" w:space="0" w:color="auto"/>
            </w:tcBorders>
            <w:shd w:val="clear" w:color="000000" w:fill="C00000"/>
            <w:vAlign w:val="center"/>
            <w:hideMark/>
          </w:tcPr>
          <w:p w14:paraId="7EECB751"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Ministri propozues</w:t>
            </w:r>
          </w:p>
        </w:tc>
        <w:tc>
          <w:tcPr>
            <w:tcW w:w="1165" w:type="dxa"/>
            <w:tcBorders>
              <w:top w:val="nil"/>
              <w:left w:val="nil"/>
              <w:bottom w:val="single" w:sz="4" w:space="0" w:color="auto"/>
              <w:right w:val="single" w:sz="4" w:space="0" w:color="auto"/>
            </w:tcBorders>
            <w:shd w:val="clear" w:color="000000" w:fill="C00000"/>
            <w:vAlign w:val="center"/>
            <w:hideMark/>
          </w:tcPr>
          <w:p w14:paraId="5A419ABB"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Katër mujori</w:t>
            </w:r>
          </w:p>
        </w:tc>
        <w:tc>
          <w:tcPr>
            <w:tcW w:w="2362" w:type="dxa"/>
            <w:tcBorders>
              <w:top w:val="nil"/>
              <w:left w:val="nil"/>
              <w:bottom w:val="single" w:sz="4" w:space="0" w:color="auto"/>
              <w:right w:val="single" w:sz="4" w:space="0" w:color="auto"/>
            </w:tcBorders>
            <w:shd w:val="clear" w:color="000000" w:fill="C00000"/>
            <w:vAlign w:val="center"/>
            <w:hideMark/>
          </w:tcPr>
          <w:p w14:paraId="21D9DEF6"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Arsyet kryesore për propozimin e projektaktit</w:t>
            </w:r>
          </w:p>
        </w:tc>
        <w:tc>
          <w:tcPr>
            <w:tcW w:w="3124" w:type="dxa"/>
            <w:tcBorders>
              <w:top w:val="nil"/>
              <w:left w:val="nil"/>
              <w:bottom w:val="single" w:sz="4" w:space="0" w:color="auto"/>
              <w:right w:val="single" w:sz="4" w:space="0" w:color="auto"/>
            </w:tcBorders>
            <w:shd w:val="clear" w:color="000000" w:fill="C00000"/>
            <w:vAlign w:val="center"/>
            <w:hideMark/>
          </w:tcPr>
          <w:p w14:paraId="3E4B53D7"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 xml:space="preserve">Çështjet kryesore që parashikon të rregullojë projektakti </w:t>
            </w:r>
          </w:p>
        </w:tc>
        <w:tc>
          <w:tcPr>
            <w:tcW w:w="835" w:type="dxa"/>
            <w:tcBorders>
              <w:top w:val="nil"/>
              <w:left w:val="nil"/>
              <w:bottom w:val="single" w:sz="4" w:space="0" w:color="auto"/>
              <w:right w:val="single" w:sz="4" w:space="0" w:color="auto"/>
            </w:tcBorders>
            <w:shd w:val="clear" w:color="000000" w:fill="C00000"/>
            <w:vAlign w:val="center"/>
            <w:hideMark/>
          </w:tcPr>
          <w:p w14:paraId="6ADC3C17"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 është parashikuar projektakti në PKIE?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po, të specifikohet kapitulli përkatës</w:t>
            </w:r>
          </w:p>
        </w:tc>
        <w:tc>
          <w:tcPr>
            <w:tcW w:w="1030" w:type="dxa"/>
            <w:tcBorders>
              <w:top w:val="nil"/>
              <w:left w:val="nil"/>
              <w:bottom w:val="single" w:sz="4" w:space="0" w:color="auto"/>
              <w:right w:val="single" w:sz="4" w:space="0" w:color="auto"/>
            </w:tcBorders>
            <w:shd w:val="clear" w:color="000000" w:fill="C00000"/>
            <w:vAlign w:val="center"/>
            <w:hideMark/>
          </w:tcPr>
          <w:p w14:paraId="1DFA2828"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Përputhshmëria e projektaktit me programin politik qeverisës 2021-2025</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përputhet, të jepet  referenca e saktë në progam</w:t>
            </w:r>
          </w:p>
        </w:tc>
        <w:tc>
          <w:tcPr>
            <w:tcW w:w="864" w:type="dxa"/>
            <w:tcBorders>
              <w:top w:val="nil"/>
              <w:left w:val="nil"/>
              <w:bottom w:val="single" w:sz="4" w:space="0" w:color="auto"/>
              <w:right w:val="single" w:sz="4" w:space="0" w:color="auto"/>
            </w:tcBorders>
            <w:shd w:val="clear" w:color="000000" w:fill="C00000"/>
            <w:vAlign w:val="center"/>
            <w:hideMark/>
          </w:tcPr>
          <w:p w14:paraId="20E34C4B"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Lidhja e projektaktit me strategjitë kombëtare dhe sektoriale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lidhet, të specifikohen strategjitë</w:t>
            </w:r>
          </w:p>
        </w:tc>
        <w:tc>
          <w:tcPr>
            <w:tcW w:w="1410" w:type="dxa"/>
            <w:tcBorders>
              <w:top w:val="nil"/>
              <w:left w:val="nil"/>
              <w:bottom w:val="single" w:sz="4" w:space="0" w:color="auto"/>
              <w:right w:val="single" w:sz="4" w:space="0" w:color="auto"/>
            </w:tcBorders>
            <w:shd w:val="clear" w:color="000000" w:fill="C00000"/>
            <w:vAlign w:val="center"/>
            <w:hideMark/>
          </w:tcPr>
          <w:p w14:paraId="4AF290D8" w14:textId="77777777" w:rsidR="00660F04" w:rsidRPr="00727111" w:rsidRDefault="00660F04" w:rsidP="00660F0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Ndikimet e mundshme ekonomike, financiare, sociale dhe mjedisore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 xml:space="preserve">Përgjigjuni me Po/Jo për ndikimet përkatëse </w:t>
            </w:r>
          </w:p>
        </w:tc>
      </w:tr>
      <w:tr w:rsidR="00660F04" w:rsidRPr="00727111" w14:paraId="09B536B1" w14:textId="77777777" w:rsidTr="00660F04">
        <w:trPr>
          <w:gridAfter w:val="1"/>
          <w:wAfter w:w="20"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C515F1E"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1</w:t>
            </w:r>
          </w:p>
        </w:tc>
        <w:tc>
          <w:tcPr>
            <w:tcW w:w="1199" w:type="dxa"/>
            <w:tcBorders>
              <w:top w:val="nil"/>
              <w:left w:val="nil"/>
              <w:bottom w:val="single" w:sz="4" w:space="0" w:color="auto"/>
              <w:right w:val="single" w:sz="4" w:space="0" w:color="auto"/>
            </w:tcBorders>
            <w:shd w:val="clear" w:color="auto" w:fill="auto"/>
            <w:vAlign w:val="center"/>
            <w:hideMark/>
          </w:tcPr>
          <w:p w14:paraId="28BABE5E"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në parim, të Konventës Kuadër të Këshillit të Evropës për Inteligjencën Artificiale, të Drejtat e Njeriut, Demokracinë dhe Shtetin e së Drejtës</w:t>
            </w:r>
          </w:p>
        </w:tc>
        <w:tc>
          <w:tcPr>
            <w:tcW w:w="901" w:type="dxa"/>
            <w:tcBorders>
              <w:top w:val="nil"/>
              <w:left w:val="nil"/>
              <w:bottom w:val="single" w:sz="4" w:space="0" w:color="auto"/>
              <w:right w:val="single" w:sz="4" w:space="0" w:color="auto"/>
            </w:tcBorders>
            <w:shd w:val="clear" w:color="auto" w:fill="auto"/>
            <w:vAlign w:val="center"/>
            <w:hideMark/>
          </w:tcPr>
          <w:p w14:paraId="1F25E608"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018" w:type="dxa"/>
            <w:tcBorders>
              <w:top w:val="nil"/>
              <w:left w:val="nil"/>
              <w:bottom w:val="single" w:sz="4" w:space="0" w:color="auto"/>
              <w:right w:val="single" w:sz="4" w:space="0" w:color="auto"/>
            </w:tcBorders>
            <w:shd w:val="clear" w:color="auto" w:fill="auto"/>
            <w:vAlign w:val="center"/>
            <w:hideMark/>
          </w:tcPr>
          <w:p w14:paraId="0BF67822"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Drejtësisë</w:t>
            </w:r>
          </w:p>
        </w:tc>
        <w:tc>
          <w:tcPr>
            <w:tcW w:w="1165" w:type="dxa"/>
            <w:tcBorders>
              <w:top w:val="nil"/>
              <w:left w:val="nil"/>
              <w:bottom w:val="single" w:sz="4" w:space="0" w:color="auto"/>
              <w:right w:val="single" w:sz="4" w:space="0" w:color="auto"/>
            </w:tcBorders>
            <w:shd w:val="clear" w:color="auto" w:fill="auto"/>
            <w:vAlign w:val="center"/>
            <w:hideMark/>
          </w:tcPr>
          <w:p w14:paraId="096B5ED0"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parë</w:t>
            </w:r>
          </w:p>
        </w:tc>
        <w:tc>
          <w:tcPr>
            <w:tcW w:w="2362" w:type="dxa"/>
            <w:tcBorders>
              <w:top w:val="nil"/>
              <w:left w:val="nil"/>
              <w:bottom w:val="single" w:sz="4" w:space="0" w:color="auto"/>
              <w:right w:val="single" w:sz="4" w:space="0" w:color="auto"/>
            </w:tcBorders>
            <w:shd w:val="clear" w:color="auto" w:fill="auto"/>
            <w:vAlign w:val="center"/>
            <w:hideMark/>
          </w:tcPr>
          <w:p w14:paraId="7720F659"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Shprehje e angazhimit të Republikës së Shqipërisë për të përfshirë në rendin juridik të brendshëm këtë akt ndërkombëtar të Këshillit të Evropës, me qëllim sigurimin e respektimit të të drejtave të njeriut gjatë përdorimit të sistemeve të inteligjencës artificiale.</w:t>
            </w:r>
          </w:p>
        </w:tc>
        <w:tc>
          <w:tcPr>
            <w:tcW w:w="3124" w:type="dxa"/>
            <w:tcBorders>
              <w:top w:val="nil"/>
              <w:left w:val="nil"/>
              <w:bottom w:val="single" w:sz="4" w:space="0" w:color="auto"/>
              <w:right w:val="single" w:sz="4" w:space="0" w:color="auto"/>
            </w:tcBorders>
            <w:shd w:val="clear" w:color="auto" w:fill="auto"/>
            <w:vAlign w:val="center"/>
            <w:hideMark/>
          </w:tcPr>
          <w:p w14:paraId="4697BBA7"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synon ndërmarrjen e procedurave për përfshirjen në rendin juridik të brendshëm të Konventës.</w:t>
            </w:r>
          </w:p>
        </w:tc>
        <w:tc>
          <w:tcPr>
            <w:tcW w:w="835" w:type="dxa"/>
            <w:tcBorders>
              <w:top w:val="nil"/>
              <w:left w:val="nil"/>
              <w:bottom w:val="single" w:sz="4" w:space="0" w:color="auto"/>
              <w:right w:val="single" w:sz="4" w:space="0" w:color="auto"/>
            </w:tcBorders>
            <w:shd w:val="clear" w:color="auto" w:fill="auto"/>
            <w:vAlign w:val="center"/>
            <w:hideMark/>
          </w:tcPr>
          <w:p w14:paraId="4606D14E"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0E987CCC"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864" w:type="dxa"/>
            <w:tcBorders>
              <w:top w:val="nil"/>
              <w:left w:val="nil"/>
              <w:bottom w:val="single" w:sz="4" w:space="0" w:color="auto"/>
              <w:right w:val="single" w:sz="4" w:space="0" w:color="auto"/>
            </w:tcBorders>
            <w:shd w:val="clear" w:color="auto" w:fill="auto"/>
            <w:vAlign w:val="center"/>
            <w:hideMark/>
          </w:tcPr>
          <w:p w14:paraId="0AF86153"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410" w:type="dxa"/>
            <w:tcBorders>
              <w:top w:val="nil"/>
              <w:left w:val="nil"/>
              <w:bottom w:val="single" w:sz="4" w:space="0" w:color="auto"/>
              <w:right w:val="single" w:sz="4" w:space="0" w:color="auto"/>
            </w:tcBorders>
            <w:shd w:val="clear" w:color="auto" w:fill="auto"/>
            <w:vAlign w:val="center"/>
            <w:hideMark/>
          </w:tcPr>
          <w:p w14:paraId="75BA5E01"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Po, Sociale</w:t>
            </w:r>
          </w:p>
        </w:tc>
      </w:tr>
      <w:tr w:rsidR="00660F04" w:rsidRPr="00727111" w14:paraId="263AE594" w14:textId="77777777" w:rsidTr="00660F04">
        <w:trPr>
          <w:gridAfter w:val="1"/>
          <w:wAfter w:w="20"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7FFCE30"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2</w:t>
            </w:r>
          </w:p>
        </w:tc>
        <w:tc>
          <w:tcPr>
            <w:tcW w:w="1199" w:type="dxa"/>
            <w:tcBorders>
              <w:top w:val="nil"/>
              <w:left w:val="nil"/>
              <w:bottom w:val="single" w:sz="4" w:space="0" w:color="auto"/>
              <w:right w:val="single" w:sz="4" w:space="0" w:color="auto"/>
            </w:tcBorders>
            <w:shd w:val="clear" w:color="auto" w:fill="auto"/>
            <w:vAlign w:val="center"/>
            <w:hideMark/>
          </w:tcPr>
          <w:p w14:paraId="7B95CF84"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në parim, të ndryshimeve të Statutit të Romës për Gjykatën Ndërkombëtare Penale, mbi krimin e agresionit</w:t>
            </w:r>
          </w:p>
        </w:tc>
        <w:tc>
          <w:tcPr>
            <w:tcW w:w="901" w:type="dxa"/>
            <w:tcBorders>
              <w:top w:val="nil"/>
              <w:left w:val="nil"/>
              <w:bottom w:val="single" w:sz="4" w:space="0" w:color="auto"/>
              <w:right w:val="single" w:sz="4" w:space="0" w:color="auto"/>
            </w:tcBorders>
            <w:shd w:val="clear" w:color="auto" w:fill="auto"/>
            <w:vAlign w:val="center"/>
            <w:hideMark/>
          </w:tcPr>
          <w:p w14:paraId="3D46F11E"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018" w:type="dxa"/>
            <w:tcBorders>
              <w:top w:val="nil"/>
              <w:left w:val="nil"/>
              <w:bottom w:val="single" w:sz="4" w:space="0" w:color="auto"/>
              <w:right w:val="single" w:sz="4" w:space="0" w:color="auto"/>
            </w:tcBorders>
            <w:shd w:val="clear" w:color="auto" w:fill="auto"/>
            <w:noWrap/>
            <w:vAlign w:val="center"/>
            <w:hideMark/>
          </w:tcPr>
          <w:p w14:paraId="659CD09B"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Drejtësisë</w:t>
            </w:r>
          </w:p>
        </w:tc>
        <w:tc>
          <w:tcPr>
            <w:tcW w:w="1165" w:type="dxa"/>
            <w:tcBorders>
              <w:top w:val="nil"/>
              <w:left w:val="nil"/>
              <w:bottom w:val="single" w:sz="4" w:space="0" w:color="auto"/>
              <w:right w:val="single" w:sz="4" w:space="0" w:color="auto"/>
            </w:tcBorders>
            <w:shd w:val="clear" w:color="auto" w:fill="auto"/>
            <w:vAlign w:val="center"/>
            <w:hideMark/>
          </w:tcPr>
          <w:p w14:paraId="4BFBB9CD"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parë</w:t>
            </w:r>
          </w:p>
        </w:tc>
        <w:tc>
          <w:tcPr>
            <w:tcW w:w="2362" w:type="dxa"/>
            <w:tcBorders>
              <w:top w:val="nil"/>
              <w:left w:val="nil"/>
              <w:bottom w:val="single" w:sz="4" w:space="0" w:color="auto"/>
              <w:right w:val="single" w:sz="4" w:space="0" w:color="auto"/>
            </w:tcBorders>
            <w:shd w:val="clear" w:color="auto" w:fill="auto"/>
            <w:vAlign w:val="center"/>
            <w:hideMark/>
          </w:tcPr>
          <w:p w14:paraId="1313D21B"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Ky projektvendim synon nisjen e procedurave për miratimin, në parim, të ndryshimeve të Statutit të Romës për Gjykatën Ndërkombëtare Penale mbi krimin e agresionit.</w:t>
            </w:r>
          </w:p>
        </w:tc>
        <w:tc>
          <w:tcPr>
            <w:tcW w:w="3124" w:type="dxa"/>
            <w:tcBorders>
              <w:top w:val="nil"/>
              <w:left w:val="nil"/>
              <w:bottom w:val="single" w:sz="4" w:space="0" w:color="auto"/>
              <w:right w:val="single" w:sz="4" w:space="0" w:color="auto"/>
            </w:tcBorders>
            <w:shd w:val="clear" w:color="auto" w:fill="auto"/>
            <w:vAlign w:val="center"/>
            <w:hideMark/>
          </w:tcPr>
          <w:p w14:paraId="7A70071C"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Objektivat kryesore lidhur me miratimin e këtyre ndryshimeve janë: </w:t>
            </w:r>
            <w:r w:rsidRPr="00727111">
              <w:rPr>
                <w:rFonts w:ascii="Garamond" w:hAnsi="Garamond"/>
                <w:color w:val="000000"/>
                <w:sz w:val="12"/>
                <w:szCs w:val="12"/>
                <w:lang w:eastAsia="sq-AL"/>
              </w:rPr>
              <w:br/>
              <w:t>1. Përkufizimi i krimit të agresionit;</w:t>
            </w:r>
            <w:r w:rsidRPr="00727111">
              <w:rPr>
                <w:rFonts w:ascii="Garamond" w:hAnsi="Garamond"/>
                <w:color w:val="000000"/>
                <w:sz w:val="12"/>
                <w:szCs w:val="12"/>
                <w:lang w:eastAsia="sq-AL"/>
              </w:rPr>
              <w:br/>
              <w:t>2. Mbrojtje më e mirë ndërkombëtare;</w:t>
            </w:r>
            <w:r w:rsidRPr="00727111">
              <w:rPr>
                <w:rFonts w:ascii="Garamond" w:hAnsi="Garamond"/>
                <w:color w:val="000000"/>
                <w:sz w:val="12"/>
                <w:szCs w:val="12"/>
                <w:lang w:eastAsia="sq-AL"/>
              </w:rPr>
              <w:br/>
              <w:t>3. Mbështetje për shtetin e së drejtës;</w:t>
            </w:r>
            <w:r w:rsidRPr="00727111">
              <w:rPr>
                <w:rFonts w:ascii="Garamond" w:hAnsi="Garamond"/>
                <w:color w:val="000000"/>
                <w:sz w:val="12"/>
                <w:szCs w:val="12"/>
                <w:lang w:eastAsia="sq-AL"/>
              </w:rPr>
              <w:br/>
              <w:t>4. Promovimi i paqes dhe stabilitetit;</w:t>
            </w:r>
            <w:r w:rsidRPr="00727111">
              <w:rPr>
                <w:rFonts w:ascii="Garamond" w:hAnsi="Garamond"/>
                <w:color w:val="000000"/>
                <w:sz w:val="12"/>
                <w:szCs w:val="12"/>
                <w:lang w:eastAsia="sq-AL"/>
              </w:rPr>
              <w:br/>
              <w:t>5. Bashkëpunimi me Gjykatën Ndërkombëtare Penale.</w:t>
            </w:r>
          </w:p>
        </w:tc>
        <w:tc>
          <w:tcPr>
            <w:tcW w:w="835" w:type="dxa"/>
            <w:tcBorders>
              <w:top w:val="nil"/>
              <w:left w:val="nil"/>
              <w:bottom w:val="single" w:sz="4" w:space="0" w:color="auto"/>
              <w:right w:val="single" w:sz="4" w:space="0" w:color="auto"/>
            </w:tcBorders>
            <w:shd w:val="clear" w:color="auto" w:fill="auto"/>
            <w:vAlign w:val="center"/>
            <w:hideMark/>
          </w:tcPr>
          <w:p w14:paraId="36CDAAF1"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0B23BD71"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864" w:type="dxa"/>
            <w:tcBorders>
              <w:top w:val="nil"/>
              <w:left w:val="nil"/>
              <w:bottom w:val="single" w:sz="4" w:space="0" w:color="auto"/>
              <w:right w:val="single" w:sz="4" w:space="0" w:color="auto"/>
            </w:tcBorders>
            <w:shd w:val="clear" w:color="auto" w:fill="auto"/>
            <w:vAlign w:val="center"/>
            <w:hideMark/>
          </w:tcPr>
          <w:p w14:paraId="75273C03"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410" w:type="dxa"/>
            <w:tcBorders>
              <w:top w:val="nil"/>
              <w:left w:val="nil"/>
              <w:bottom w:val="single" w:sz="4" w:space="0" w:color="auto"/>
              <w:right w:val="single" w:sz="4" w:space="0" w:color="auto"/>
            </w:tcBorders>
            <w:shd w:val="clear" w:color="auto" w:fill="auto"/>
            <w:vAlign w:val="center"/>
            <w:hideMark/>
          </w:tcPr>
          <w:p w14:paraId="7D36467B"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Po, sociale</w:t>
            </w:r>
          </w:p>
        </w:tc>
      </w:tr>
      <w:tr w:rsidR="00660F04" w:rsidRPr="00727111" w14:paraId="5AED1B7B" w14:textId="77777777" w:rsidTr="00660F04">
        <w:trPr>
          <w:gridAfter w:val="1"/>
          <w:wAfter w:w="20"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C863336"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3</w:t>
            </w:r>
          </w:p>
        </w:tc>
        <w:tc>
          <w:tcPr>
            <w:tcW w:w="1199" w:type="dxa"/>
            <w:tcBorders>
              <w:top w:val="nil"/>
              <w:left w:val="nil"/>
              <w:bottom w:val="single" w:sz="4" w:space="0" w:color="auto"/>
              <w:right w:val="single" w:sz="4" w:space="0" w:color="auto"/>
            </w:tcBorders>
            <w:shd w:val="clear" w:color="auto" w:fill="auto"/>
            <w:vAlign w:val="center"/>
            <w:hideMark/>
          </w:tcPr>
          <w:p w14:paraId="03676D4C"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w:t>
            </w:r>
            <w:r w:rsidRPr="00727111">
              <w:rPr>
                <w:rFonts w:ascii="Garamond" w:hAnsi="Garamond"/>
                <w:color w:val="000000"/>
                <w:sz w:val="12"/>
                <w:szCs w:val="12"/>
                <w:lang w:eastAsia="sq-AL"/>
              </w:rPr>
              <w:br/>
              <w:t>rekomandimeve</w:t>
            </w:r>
            <w:r w:rsidRPr="00727111">
              <w:rPr>
                <w:rFonts w:ascii="Garamond" w:hAnsi="Garamond"/>
                <w:color w:val="000000"/>
                <w:sz w:val="12"/>
                <w:szCs w:val="12"/>
                <w:lang w:eastAsia="sq-AL"/>
              </w:rPr>
              <w:br/>
              <w:t>prioritare për</w:t>
            </w:r>
            <w:r w:rsidRPr="00727111">
              <w:rPr>
                <w:rFonts w:ascii="Garamond" w:hAnsi="Garamond"/>
                <w:color w:val="000000"/>
                <w:sz w:val="12"/>
                <w:szCs w:val="12"/>
                <w:lang w:eastAsia="sq-AL"/>
              </w:rPr>
              <w:br/>
              <w:t>Prokurorin e</w:t>
            </w:r>
            <w:r w:rsidRPr="00727111">
              <w:rPr>
                <w:rFonts w:ascii="Garamond" w:hAnsi="Garamond"/>
                <w:color w:val="000000"/>
                <w:sz w:val="12"/>
                <w:szCs w:val="12"/>
                <w:lang w:eastAsia="sq-AL"/>
              </w:rPr>
              <w:br/>
              <w:t>Përgjithshëm,</w:t>
            </w:r>
            <w:r w:rsidRPr="00727111">
              <w:rPr>
                <w:rFonts w:ascii="Garamond" w:hAnsi="Garamond"/>
                <w:color w:val="000000"/>
                <w:sz w:val="12"/>
                <w:szCs w:val="12"/>
                <w:lang w:eastAsia="sq-AL"/>
              </w:rPr>
              <w:br/>
              <w:t>në luftën kundër</w:t>
            </w:r>
            <w:r w:rsidRPr="00727111">
              <w:rPr>
                <w:rFonts w:ascii="Garamond" w:hAnsi="Garamond"/>
                <w:color w:val="000000"/>
                <w:sz w:val="12"/>
                <w:szCs w:val="12"/>
                <w:lang w:eastAsia="sq-AL"/>
              </w:rPr>
              <w:br/>
              <w:t>kriminalitetit,</w:t>
            </w:r>
            <w:r w:rsidRPr="00727111">
              <w:rPr>
                <w:rFonts w:ascii="Garamond" w:hAnsi="Garamond"/>
                <w:color w:val="000000"/>
                <w:sz w:val="12"/>
                <w:szCs w:val="12"/>
                <w:lang w:eastAsia="sq-AL"/>
              </w:rPr>
              <w:br/>
              <w:t>për vitin 2025</w:t>
            </w:r>
          </w:p>
        </w:tc>
        <w:tc>
          <w:tcPr>
            <w:tcW w:w="901" w:type="dxa"/>
            <w:tcBorders>
              <w:top w:val="nil"/>
              <w:left w:val="nil"/>
              <w:bottom w:val="single" w:sz="4" w:space="0" w:color="auto"/>
              <w:right w:val="single" w:sz="4" w:space="0" w:color="auto"/>
            </w:tcBorders>
            <w:shd w:val="clear" w:color="auto" w:fill="auto"/>
            <w:noWrap/>
            <w:vAlign w:val="center"/>
            <w:hideMark/>
          </w:tcPr>
          <w:p w14:paraId="31D8A572"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018" w:type="dxa"/>
            <w:tcBorders>
              <w:top w:val="nil"/>
              <w:left w:val="nil"/>
              <w:bottom w:val="single" w:sz="4" w:space="0" w:color="auto"/>
              <w:right w:val="single" w:sz="4" w:space="0" w:color="auto"/>
            </w:tcBorders>
            <w:shd w:val="clear" w:color="auto" w:fill="auto"/>
            <w:noWrap/>
            <w:vAlign w:val="center"/>
            <w:hideMark/>
          </w:tcPr>
          <w:p w14:paraId="5F4FE007"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Drejtësisë</w:t>
            </w:r>
          </w:p>
        </w:tc>
        <w:tc>
          <w:tcPr>
            <w:tcW w:w="1165" w:type="dxa"/>
            <w:tcBorders>
              <w:top w:val="nil"/>
              <w:left w:val="nil"/>
              <w:bottom w:val="single" w:sz="4" w:space="0" w:color="auto"/>
              <w:right w:val="single" w:sz="4" w:space="0" w:color="auto"/>
            </w:tcBorders>
            <w:shd w:val="clear" w:color="auto" w:fill="auto"/>
            <w:vAlign w:val="center"/>
            <w:hideMark/>
          </w:tcPr>
          <w:p w14:paraId="16524FAD"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parë</w:t>
            </w:r>
          </w:p>
        </w:tc>
        <w:tc>
          <w:tcPr>
            <w:tcW w:w="2362" w:type="dxa"/>
            <w:tcBorders>
              <w:top w:val="nil"/>
              <w:left w:val="nil"/>
              <w:bottom w:val="single" w:sz="4" w:space="0" w:color="auto"/>
              <w:right w:val="single" w:sz="4" w:space="0" w:color="auto"/>
            </w:tcBorders>
            <w:shd w:val="clear" w:color="auto" w:fill="auto"/>
            <w:vAlign w:val="center"/>
            <w:hideMark/>
          </w:tcPr>
          <w:p w14:paraId="6EC75F3C"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Rekomandimet kanë për</w:t>
            </w:r>
            <w:r w:rsidRPr="00727111">
              <w:rPr>
                <w:rFonts w:ascii="Garamond" w:hAnsi="Garamond"/>
                <w:color w:val="000000"/>
                <w:sz w:val="12"/>
                <w:szCs w:val="12"/>
                <w:lang w:eastAsia="sq-AL"/>
              </w:rPr>
              <w:br/>
              <w:t>qëllim dhe synojnë</w:t>
            </w:r>
            <w:r w:rsidRPr="00727111">
              <w:rPr>
                <w:rFonts w:ascii="Garamond" w:hAnsi="Garamond"/>
                <w:color w:val="000000"/>
                <w:sz w:val="12"/>
                <w:szCs w:val="12"/>
                <w:lang w:eastAsia="sq-AL"/>
              </w:rPr>
              <w:br/>
              <w:t>garantimin e funksionimit</w:t>
            </w:r>
            <w:r w:rsidRPr="00727111">
              <w:rPr>
                <w:rFonts w:ascii="Garamond" w:hAnsi="Garamond"/>
                <w:color w:val="000000"/>
                <w:sz w:val="12"/>
                <w:szCs w:val="12"/>
                <w:lang w:eastAsia="sq-AL"/>
              </w:rPr>
              <w:br/>
              <w:t>efektiv të organit të</w:t>
            </w:r>
            <w:r w:rsidRPr="00727111">
              <w:rPr>
                <w:rFonts w:ascii="Garamond" w:hAnsi="Garamond"/>
                <w:color w:val="000000"/>
                <w:sz w:val="12"/>
                <w:szCs w:val="12"/>
                <w:lang w:eastAsia="sq-AL"/>
              </w:rPr>
              <w:br/>
              <w:t>prokurorisë, parandalimit</w:t>
            </w:r>
            <w:r w:rsidRPr="00727111">
              <w:rPr>
                <w:rFonts w:ascii="Garamond" w:hAnsi="Garamond"/>
                <w:color w:val="000000"/>
                <w:sz w:val="12"/>
                <w:szCs w:val="12"/>
                <w:lang w:eastAsia="sq-AL"/>
              </w:rPr>
              <w:br/>
              <w:t>dhe luftës kundër</w:t>
            </w:r>
            <w:r w:rsidRPr="00727111">
              <w:rPr>
                <w:rFonts w:ascii="Garamond" w:hAnsi="Garamond"/>
                <w:color w:val="000000"/>
                <w:sz w:val="12"/>
                <w:szCs w:val="12"/>
                <w:lang w:eastAsia="sq-AL"/>
              </w:rPr>
              <w:br/>
              <w:t>korrupsionit, krimit të</w:t>
            </w:r>
            <w:r w:rsidRPr="00727111">
              <w:rPr>
                <w:rFonts w:ascii="Garamond" w:hAnsi="Garamond"/>
                <w:color w:val="000000"/>
                <w:sz w:val="12"/>
                <w:szCs w:val="12"/>
                <w:lang w:eastAsia="sq-AL"/>
              </w:rPr>
              <w:br/>
              <w:t>organizuar, dhe respektimin</w:t>
            </w:r>
            <w:r w:rsidRPr="00727111">
              <w:rPr>
                <w:rFonts w:ascii="Garamond" w:hAnsi="Garamond"/>
                <w:color w:val="000000"/>
                <w:sz w:val="12"/>
                <w:szCs w:val="12"/>
                <w:lang w:eastAsia="sq-AL"/>
              </w:rPr>
              <w:br/>
              <w:t>e të drejtave dhe lirive</w:t>
            </w:r>
            <w:r w:rsidRPr="00727111">
              <w:rPr>
                <w:rFonts w:ascii="Garamond" w:hAnsi="Garamond"/>
                <w:color w:val="000000"/>
                <w:sz w:val="12"/>
                <w:szCs w:val="12"/>
                <w:lang w:eastAsia="sq-AL"/>
              </w:rPr>
              <w:br/>
              <w:t>themelore të të drejtave të</w:t>
            </w:r>
            <w:r w:rsidRPr="00727111">
              <w:rPr>
                <w:rFonts w:ascii="Garamond" w:hAnsi="Garamond"/>
                <w:color w:val="000000"/>
                <w:sz w:val="12"/>
                <w:szCs w:val="12"/>
                <w:lang w:eastAsia="sq-AL"/>
              </w:rPr>
              <w:br/>
              <w:t>njeriut.</w:t>
            </w:r>
          </w:p>
        </w:tc>
        <w:tc>
          <w:tcPr>
            <w:tcW w:w="3124" w:type="dxa"/>
            <w:tcBorders>
              <w:top w:val="nil"/>
              <w:left w:val="nil"/>
              <w:bottom w:val="single" w:sz="4" w:space="0" w:color="auto"/>
              <w:right w:val="single" w:sz="4" w:space="0" w:color="auto"/>
            </w:tcBorders>
            <w:shd w:val="clear" w:color="auto" w:fill="auto"/>
            <w:vAlign w:val="center"/>
            <w:hideMark/>
          </w:tcPr>
          <w:p w14:paraId="719D7442"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Përcaktimin e prioriteteve në</w:t>
            </w:r>
            <w:r w:rsidRPr="00727111">
              <w:rPr>
                <w:rFonts w:ascii="Garamond" w:hAnsi="Garamond"/>
                <w:color w:val="000000"/>
                <w:sz w:val="12"/>
                <w:szCs w:val="12"/>
                <w:lang w:eastAsia="sq-AL"/>
              </w:rPr>
              <w:br/>
              <w:t>luftën kundër korrupsionit dhe</w:t>
            </w:r>
            <w:r w:rsidRPr="00727111">
              <w:rPr>
                <w:rFonts w:ascii="Garamond" w:hAnsi="Garamond"/>
                <w:color w:val="000000"/>
                <w:sz w:val="12"/>
                <w:szCs w:val="12"/>
                <w:lang w:eastAsia="sq-AL"/>
              </w:rPr>
              <w:br/>
              <w:t>krimit të organizuar, në</w:t>
            </w:r>
            <w:r w:rsidRPr="00727111">
              <w:rPr>
                <w:rFonts w:ascii="Garamond" w:hAnsi="Garamond"/>
                <w:color w:val="000000"/>
                <w:sz w:val="12"/>
                <w:szCs w:val="12"/>
                <w:lang w:eastAsia="sq-AL"/>
              </w:rPr>
              <w:br/>
              <w:t>përmbushje të detyrimeve të</w:t>
            </w:r>
            <w:r w:rsidRPr="00727111">
              <w:rPr>
                <w:rFonts w:ascii="Garamond" w:hAnsi="Garamond"/>
                <w:color w:val="000000"/>
                <w:sz w:val="12"/>
                <w:szCs w:val="12"/>
                <w:lang w:eastAsia="sq-AL"/>
              </w:rPr>
              <w:br/>
              <w:t>brendshme ligjore, si dhe</w:t>
            </w:r>
            <w:r w:rsidRPr="00727111">
              <w:rPr>
                <w:rFonts w:ascii="Garamond" w:hAnsi="Garamond"/>
                <w:color w:val="000000"/>
                <w:sz w:val="12"/>
                <w:szCs w:val="12"/>
                <w:lang w:eastAsia="sq-AL"/>
              </w:rPr>
              <w:br/>
              <w:t>rekomandimeve të organizatave</w:t>
            </w:r>
            <w:r w:rsidRPr="00727111">
              <w:rPr>
                <w:rFonts w:ascii="Garamond" w:hAnsi="Garamond"/>
                <w:color w:val="000000"/>
                <w:sz w:val="12"/>
                <w:szCs w:val="12"/>
                <w:lang w:eastAsia="sq-AL"/>
              </w:rPr>
              <w:br/>
              <w:t>ndërkombëtare. Këto</w:t>
            </w:r>
            <w:r w:rsidRPr="00727111">
              <w:rPr>
                <w:rFonts w:ascii="Garamond" w:hAnsi="Garamond"/>
                <w:color w:val="000000"/>
                <w:sz w:val="12"/>
                <w:szCs w:val="12"/>
                <w:lang w:eastAsia="sq-AL"/>
              </w:rPr>
              <w:br/>
              <w:t>rekomandime prioritare i përcillen</w:t>
            </w:r>
            <w:r w:rsidRPr="00727111">
              <w:rPr>
                <w:rFonts w:ascii="Garamond" w:hAnsi="Garamond"/>
                <w:color w:val="000000"/>
                <w:sz w:val="12"/>
                <w:szCs w:val="12"/>
                <w:lang w:eastAsia="sq-AL"/>
              </w:rPr>
              <w:br/>
              <w:t>organit të</w:t>
            </w:r>
            <w:r w:rsidRPr="00727111">
              <w:rPr>
                <w:rFonts w:ascii="Garamond" w:hAnsi="Garamond"/>
                <w:color w:val="000000"/>
                <w:sz w:val="12"/>
                <w:szCs w:val="12"/>
                <w:lang w:eastAsia="sq-AL"/>
              </w:rPr>
              <w:br/>
              <w:t>prokurorisë në ushtrim të</w:t>
            </w:r>
            <w:r w:rsidRPr="00727111">
              <w:rPr>
                <w:rFonts w:ascii="Garamond" w:hAnsi="Garamond"/>
                <w:color w:val="000000"/>
                <w:sz w:val="12"/>
                <w:szCs w:val="12"/>
                <w:lang w:eastAsia="sq-AL"/>
              </w:rPr>
              <w:br/>
              <w:t>përgjegjësisë shtetërore të Këshillit</w:t>
            </w:r>
            <w:r w:rsidRPr="00727111">
              <w:rPr>
                <w:rFonts w:ascii="Garamond" w:hAnsi="Garamond"/>
                <w:color w:val="000000"/>
                <w:sz w:val="12"/>
                <w:szCs w:val="12"/>
                <w:lang w:eastAsia="sq-AL"/>
              </w:rPr>
              <w:br/>
              <w:t>të Ministrave dhe</w:t>
            </w:r>
            <w:r w:rsidRPr="00727111">
              <w:rPr>
                <w:rFonts w:ascii="Garamond" w:hAnsi="Garamond"/>
                <w:color w:val="000000"/>
                <w:sz w:val="12"/>
                <w:szCs w:val="12"/>
                <w:lang w:eastAsia="sq-AL"/>
              </w:rPr>
              <w:br/>
              <w:t>Ministrisë së Drejtësisë, për</w:t>
            </w:r>
            <w:r w:rsidRPr="00727111">
              <w:rPr>
                <w:rFonts w:ascii="Garamond" w:hAnsi="Garamond"/>
                <w:color w:val="000000"/>
                <w:sz w:val="12"/>
                <w:szCs w:val="12"/>
                <w:lang w:eastAsia="sq-AL"/>
              </w:rPr>
              <w:br/>
              <w:t>ndjekjen dhe realizimin e politikës</w:t>
            </w:r>
            <w:r w:rsidRPr="00727111">
              <w:rPr>
                <w:rFonts w:ascii="Garamond" w:hAnsi="Garamond"/>
                <w:color w:val="000000"/>
                <w:sz w:val="12"/>
                <w:szCs w:val="12"/>
                <w:lang w:eastAsia="sq-AL"/>
              </w:rPr>
              <w:br/>
              <w:t>së përgjithshme</w:t>
            </w:r>
            <w:r w:rsidRPr="00727111">
              <w:rPr>
                <w:rFonts w:ascii="Garamond" w:hAnsi="Garamond"/>
                <w:color w:val="000000"/>
                <w:sz w:val="12"/>
                <w:szCs w:val="12"/>
                <w:lang w:eastAsia="sq-AL"/>
              </w:rPr>
              <w:br/>
              <w:t>shtetërore në fushën e drejtësisë</w:t>
            </w:r>
            <w:r w:rsidRPr="00727111">
              <w:rPr>
                <w:rFonts w:ascii="Garamond" w:hAnsi="Garamond"/>
                <w:color w:val="000000"/>
                <w:sz w:val="12"/>
                <w:szCs w:val="12"/>
                <w:lang w:eastAsia="sq-AL"/>
              </w:rPr>
              <w:br/>
              <w:t>dhe në respektim të parimit</w:t>
            </w:r>
            <w:r w:rsidRPr="00727111">
              <w:rPr>
                <w:rFonts w:ascii="Garamond" w:hAnsi="Garamond"/>
                <w:color w:val="000000"/>
                <w:sz w:val="12"/>
                <w:szCs w:val="12"/>
                <w:lang w:eastAsia="sq-AL"/>
              </w:rPr>
              <w:br/>
              <w:t>themelor të kontrollit dhe</w:t>
            </w:r>
            <w:r w:rsidRPr="00727111">
              <w:rPr>
                <w:rFonts w:ascii="Garamond" w:hAnsi="Garamond"/>
                <w:color w:val="000000"/>
                <w:sz w:val="12"/>
                <w:szCs w:val="12"/>
                <w:lang w:eastAsia="sq-AL"/>
              </w:rPr>
              <w:br/>
              <w:t>ekuilibrimit reciprok të</w:t>
            </w:r>
            <w:r w:rsidRPr="00727111">
              <w:rPr>
                <w:rFonts w:ascii="Garamond" w:hAnsi="Garamond"/>
                <w:color w:val="000000"/>
                <w:sz w:val="12"/>
                <w:szCs w:val="12"/>
                <w:lang w:eastAsia="sq-AL"/>
              </w:rPr>
              <w:br/>
              <w:t>pushteteve</w:t>
            </w:r>
          </w:p>
        </w:tc>
        <w:tc>
          <w:tcPr>
            <w:tcW w:w="835" w:type="dxa"/>
            <w:tcBorders>
              <w:top w:val="nil"/>
              <w:left w:val="nil"/>
              <w:bottom w:val="single" w:sz="4" w:space="0" w:color="auto"/>
              <w:right w:val="single" w:sz="4" w:space="0" w:color="auto"/>
            </w:tcBorders>
            <w:shd w:val="clear" w:color="auto" w:fill="auto"/>
            <w:noWrap/>
            <w:vAlign w:val="center"/>
            <w:hideMark/>
          </w:tcPr>
          <w:p w14:paraId="408204BC"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56FC6468"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864" w:type="dxa"/>
            <w:tcBorders>
              <w:top w:val="nil"/>
              <w:left w:val="nil"/>
              <w:bottom w:val="single" w:sz="4" w:space="0" w:color="auto"/>
              <w:right w:val="single" w:sz="4" w:space="0" w:color="auto"/>
            </w:tcBorders>
            <w:shd w:val="clear" w:color="auto" w:fill="auto"/>
            <w:noWrap/>
            <w:vAlign w:val="center"/>
            <w:hideMark/>
          </w:tcPr>
          <w:p w14:paraId="2BA4C7E5"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410" w:type="dxa"/>
            <w:tcBorders>
              <w:top w:val="nil"/>
              <w:left w:val="nil"/>
              <w:bottom w:val="single" w:sz="4" w:space="0" w:color="auto"/>
              <w:right w:val="single" w:sz="4" w:space="0" w:color="auto"/>
            </w:tcBorders>
            <w:shd w:val="clear" w:color="auto" w:fill="auto"/>
            <w:noWrap/>
            <w:vAlign w:val="center"/>
            <w:hideMark/>
          </w:tcPr>
          <w:p w14:paraId="6B95550F"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60F04" w:rsidRPr="00727111" w14:paraId="40097957" w14:textId="77777777" w:rsidTr="00660F04">
        <w:trPr>
          <w:gridAfter w:val="1"/>
          <w:wAfter w:w="20"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544216A"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4</w:t>
            </w:r>
          </w:p>
        </w:tc>
        <w:tc>
          <w:tcPr>
            <w:tcW w:w="1199" w:type="dxa"/>
            <w:tcBorders>
              <w:top w:val="nil"/>
              <w:left w:val="nil"/>
              <w:bottom w:val="single" w:sz="4" w:space="0" w:color="auto"/>
              <w:right w:val="single" w:sz="4" w:space="0" w:color="auto"/>
            </w:tcBorders>
            <w:shd w:val="clear" w:color="auto" w:fill="auto"/>
            <w:vAlign w:val="center"/>
            <w:hideMark/>
          </w:tcPr>
          <w:p w14:paraId="31C2B048"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ligjin nr.26/2019 "Për Shërbimin Përmbarimor Gjyqësor Privat</w:t>
            </w:r>
          </w:p>
        </w:tc>
        <w:tc>
          <w:tcPr>
            <w:tcW w:w="901" w:type="dxa"/>
            <w:tcBorders>
              <w:top w:val="nil"/>
              <w:left w:val="nil"/>
              <w:bottom w:val="single" w:sz="4" w:space="0" w:color="auto"/>
              <w:right w:val="single" w:sz="4" w:space="0" w:color="auto"/>
            </w:tcBorders>
            <w:shd w:val="clear" w:color="auto" w:fill="auto"/>
            <w:vAlign w:val="center"/>
            <w:hideMark/>
          </w:tcPr>
          <w:p w14:paraId="14F18CA8"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018" w:type="dxa"/>
            <w:tcBorders>
              <w:top w:val="nil"/>
              <w:left w:val="nil"/>
              <w:bottom w:val="single" w:sz="4" w:space="0" w:color="auto"/>
              <w:right w:val="single" w:sz="4" w:space="0" w:color="auto"/>
            </w:tcBorders>
            <w:shd w:val="clear" w:color="auto" w:fill="auto"/>
            <w:noWrap/>
            <w:vAlign w:val="center"/>
            <w:hideMark/>
          </w:tcPr>
          <w:p w14:paraId="11ADBBFC"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Drejtësisë</w:t>
            </w:r>
          </w:p>
        </w:tc>
        <w:tc>
          <w:tcPr>
            <w:tcW w:w="1165" w:type="dxa"/>
            <w:tcBorders>
              <w:top w:val="nil"/>
              <w:left w:val="nil"/>
              <w:bottom w:val="single" w:sz="4" w:space="0" w:color="auto"/>
              <w:right w:val="single" w:sz="4" w:space="0" w:color="auto"/>
            </w:tcBorders>
            <w:shd w:val="clear" w:color="auto" w:fill="auto"/>
            <w:vAlign w:val="center"/>
            <w:hideMark/>
          </w:tcPr>
          <w:p w14:paraId="511179CE"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dytë</w:t>
            </w:r>
          </w:p>
        </w:tc>
        <w:tc>
          <w:tcPr>
            <w:tcW w:w="2362" w:type="dxa"/>
            <w:tcBorders>
              <w:top w:val="nil"/>
              <w:left w:val="nil"/>
              <w:bottom w:val="single" w:sz="4" w:space="0" w:color="auto"/>
              <w:right w:val="single" w:sz="4" w:space="0" w:color="auto"/>
            </w:tcBorders>
            <w:shd w:val="clear" w:color="auto" w:fill="auto"/>
            <w:vAlign w:val="center"/>
            <w:hideMark/>
          </w:tcPr>
          <w:p w14:paraId="267AA3B6"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Ky projektligj synon rregullimin e problematikave të hasura në praktikë dhe sigurimin e ofrimit të një shërbimi cilësor.</w:t>
            </w:r>
          </w:p>
        </w:tc>
        <w:tc>
          <w:tcPr>
            <w:tcW w:w="3124" w:type="dxa"/>
            <w:tcBorders>
              <w:top w:val="nil"/>
              <w:left w:val="nil"/>
              <w:bottom w:val="single" w:sz="4" w:space="0" w:color="auto"/>
              <w:right w:val="single" w:sz="4" w:space="0" w:color="auto"/>
            </w:tcBorders>
            <w:shd w:val="clear" w:color="auto" w:fill="auto"/>
            <w:vAlign w:val="center"/>
            <w:hideMark/>
          </w:tcPr>
          <w:p w14:paraId="49E748B8"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Përmes projektaktit të propozuar synohet të rregullohen çështje që lidhen me procedimin disiplinor të përmbaruesit gjyqësor privat, duke qartësuar kriteret që duhet të mbahen në konsideratë në caktimin e masave disiplinore, si dhe llojet e këtyre masave.</w:t>
            </w:r>
            <w:r w:rsidRPr="00727111">
              <w:rPr>
                <w:rFonts w:ascii="Garamond" w:hAnsi="Garamond"/>
                <w:color w:val="000000"/>
                <w:sz w:val="12"/>
                <w:szCs w:val="12"/>
                <w:lang w:eastAsia="sq-AL"/>
              </w:rPr>
              <w:br/>
              <w:t>Objektivat kryesorë që synohet të arrihen përmes kësaj nisme lidhen me qartësimin e rregullave lidhur me zëvendësimin e përmbaruesit që i është pezulluar apo hequr licenca, si dhe të masave disiplinore dhe organeve përgjegjëse për dhënien e tyre.</w:t>
            </w:r>
          </w:p>
        </w:tc>
        <w:tc>
          <w:tcPr>
            <w:tcW w:w="835" w:type="dxa"/>
            <w:tcBorders>
              <w:top w:val="nil"/>
              <w:left w:val="nil"/>
              <w:bottom w:val="single" w:sz="4" w:space="0" w:color="auto"/>
              <w:right w:val="single" w:sz="4" w:space="0" w:color="auto"/>
            </w:tcBorders>
            <w:shd w:val="clear" w:color="auto" w:fill="auto"/>
            <w:vAlign w:val="center"/>
            <w:hideMark/>
          </w:tcPr>
          <w:p w14:paraId="48DD9F3F"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79331D02"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864" w:type="dxa"/>
            <w:tcBorders>
              <w:top w:val="nil"/>
              <w:left w:val="nil"/>
              <w:bottom w:val="single" w:sz="4" w:space="0" w:color="auto"/>
              <w:right w:val="single" w:sz="4" w:space="0" w:color="auto"/>
            </w:tcBorders>
            <w:shd w:val="clear" w:color="auto" w:fill="auto"/>
            <w:vAlign w:val="center"/>
            <w:hideMark/>
          </w:tcPr>
          <w:p w14:paraId="38ECCFDC"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410" w:type="dxa"/>
            <w:tcBorders>
              <w:top w:val="nil"/>
              <w:left w:val="nil"/>
              <w:bottom w:val="single" w:sz="4" w:space="0" w:color="auto"/>
              <w:right w:val="single" w:sz="4" w:space="0" w:color="auto"/>
            </w:tcBorders>
            <w:shd w:val="clear" w:color="auto" w:fill="auto"/>
            <w:vAlign w:val="center"/>
            <w:hideMark/>
          </w:tcPr>
          <w:p w14:paraId="6FEF07C1"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60F04" w:rsidRPr="00727111" w14:paraId="17AF6A26" w14:textId="77777777" w:rsidTr="00660F04">
        <w:trPr>
          <w:gridAfter w:val="1"/>
          <w:wAfter w:w="20"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680CCC1"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5</w:t>
            </w:r>
          </w:p>
        </w:tc>
        <w:tc>
          <w:tcPr>
            <w:tcW w:w="1199" w:type="dxa"/>
            <w:tcBorders>
              <w:top w:val="nil"/>
              <w:left w:val="nil"/>
              <w:bottom w:val="single" w:sz="4" w:space="0" w:color="auto"/>
              <w:right w:val="single" w:sz="4" w:space="0" w:color="auto"/>
            </w:tcBorders>
            <w:shd w:val="clear" w:color="auto" w:fill="auto"/>
            <w:vAlign w:val="center"/>
            <w:hideMark/>
          </w:tcPr>
          <w:p w14:paraId="563BF342"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ligjin nr.110/2018 "Për noterinë", i ndryshuar</w:t>
            </w:r>
          </w:p>
        </w:tc>
        <w:tc>
          <w:tcPr>
            <w:tcW w:w="901" w:type="dxa"/>
            <w:tcBorders>
              <w:top w:val="nil"/>
              <w:left w:val="nil"/>
              <w:bottom w:val="single" w:sz="4" w:space="0" w:color="auto"/>
              <w:right w:val="single" w:sz="4" w:space="0" w:color="auto"/>
            </w:tcBorders>
            <w:shd w:val="clear" w:color="auto" w:fill="auto"/>
            <w:vAlign w:val="center"/>
            <w:hideMark/>
          </w:tcPr>
          <w:p w14:paraId="54F02170"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018" w:type="dxa"/>
            <w:tcBorders>
              <w:top w:val="nil"/>
              <w:left w:val="nil"/>
              <w:bottom w:val="single" w:sz="4" w:space="0" w:color="auto"/>
              <w:right w:val="single" w:sz="4" w:space="0" w:color="auto"/>
            </w:tcBorders>
            <w:shd w:val="clear" w:color="auto" w:fill="auto"/>
            <w:noWrap/>
            <w:vAlign w:val="center"/>
            <w:hideMark/>
          </w:tcPr>
          <w:p w14:paraId="1B3FA633"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Drejtësisë</w:t>
            </w:r>
          </w:p>
        </w:tc>
        <w:tc>
          <w:tcPr>
            <w:tcW w:w="1165" w:type="dxa"/>
            <w:tcBorders>
              <w:top w:val="nil"/>
              <w:left w:val="nil"/>
              <w:bottom w:val="single" w:sz="4" w:space="0" w:color="auto"/>
              <w:right w:val="single" w:sz="4" w:space="0" w:color="auto"/>
            </w:tcBorders>
            <w:shd w:val="clear" w:color="auto" w:fill="auto"/>
            <w:vAlign w:val="center"/>
            <w:hideMark/>
          </w:tcPr>
          <w:p w14:paraId="73D7A434"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dytë</w:t>
            </w:r>
          </w:p>
        </w:tc>
        <w:tc>
          <w:tcPr>
            <w:tcW w:w="2362" w:type="dxa"/>
            <w:tcBorders>
              <w:top w:val="nil"/>
              <w:left w:val="nil"/>
              <w:bottom w:val="single" w:sz="4" w:space="0" w:color="auto"/>
              <w:right w:val="single" w:sz="4" w:space="0" w:color="auto"/>
            </w:tcBorders>
            <w:shd w:val="clear" w:color="auto" w:fill="auto"/>
            <w:vAlign w:val="center"/>
            <w:hideMark/>
          </w:tcPr>
          <w:p w14:paraId="32C34924"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Qëllimi i projektaktit është rregullimi i disa parashikimeve ligjore të cilat kanë sjellë problematika gjatë kontrollit të veprimtarisë së noterëve nga struktura përgjegjëse e Ministrisë së Drejtësisë. Po ashtu, ndërmarrja e iniciativës ligjore është diktuar edhe nga propozime të përcjella nga ana e Dhomës Kombëtare të Noterisë, të cilat janë vlerësuar të drejta dhe që kërkojnë domosdoshmërisht ndërhyrjen në ligjin nr.110/2018.</w:t>
            </w:r>
          </w:p>
        </w:tc>
        <w:tc>
          <w:tcPr>
            <w:tcW w:w="3124" w:type="dxa"/>
            <w:tcBorders>
              <w:top w:val="nil"/>
              <w:left w:val="nil"/>
              <w:bottom w:val="single" w:sz="4" w:space="0" w:color="auto"/>
              <w:right w:val="single" w:sz="4" w:space="0" w:color="auto"/>
            </w:tcBorders>
            <w:shd w:val="clear" w:color="auto" w:fill="auto"/>
            <w:vAlign w:val="center"/>
            <w:hideMark/>
          </w:tcPr>
          <w:p w14:paraId="08D9B370"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Përmes projektaktit të propozuar synohet të rregullohen nga pikëpamja ligjore situatat problematike që kanë krijuar dispozitat në fuqi apo mungesa e rregullimeve specifike dhe në këtë mënyrë sigurohet mbarëvajtja e veprimtarisë noteriale duke garantuar një shërbim më të mirë edhe për qytetarët.</w:t>
            </w:r>
          </w:p>
        </w:tc>
        <w:tc>
          <w:tcPr>
            <w:tcW w:w="835" w:type="dxa"/>
            <w:tcBorders>
              <w:top w:val="nil"/>
              <w:left w:val="nil"/>
              <w:bottom w:val="single" w:sz="4" w:space="0" w:color="auto"/>
              <w:right w:val="single" w:sz="4" w:space="0" w:color="auto"/>
            </w:tcBorders>
            <w:shd w:val="clear" w:color="auto" w:fill="auto"/>
            <w:vAlign w:val="center"/>
            <w:hideMark/>
          </w:tcPr>
          <w:p w14:paraId="22C57C7F"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0D45DF71"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864" w:type="dxa"/>
            <w:tcBorders>
              <w:top w:val="nil"/>
              <w:left w:val="nil"/>
              <w:bottom w:val="single" w:sz="4" w:space="0" w:color="auto"/>
              <w:right w:val="single" w:sz="4" w:space="0" w:color="auto"/>
            </w:tcBorders>
            <w:shd w:val="clear" w:color="auto" w:fill="auto"/>
            <w:vAlign w:val="center"/>
            <w:hideMark/>
          </w:tcPr>
          <w:p w14:paraId="4C99BA95"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410" w:type="dxa"/>
            <w:tcBorders>
              <w:top w:val="nil"/>
              <w:left w:val="nil"/>
              <w:bottom w:val="single" w:sz="4" w:space="0" w:color="auto"/>
              <w:right w:val="single" w:sz="4" w:space="0" w:color="auto"/>
            </w:tcBorders>
            <w:shd w:val="clear" w:color="auto" w:fill="auto"/>
            <w:vAlign w:val="center"/>
            <w:hideMark/>
          </w:tcPr>
          <w:p w14:paraId="4097B960"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660F04" w:rsidRPr="00727111" w14:paraId="365E6CE8" w14:textId="77777777" w:rsidTr="00660F04">
        <w:trPr>
          <w:gridAfter w:val="1"/>
          <w:wAfter w:w="20"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F87F837"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6</w:t>
            </w:r>
          </w:p>
        </w:tc>
        <w:tc>
          <w:tcPr>
            <w:tcW w:w="1199" w:type="dxa"/>
            <w:tcBorders>
              <w:top w:val="nil"/>
              <w:left w:val="nil"/>
              <w:bottom w:val="single" w:sz="4" w:space="0" w:color="auto"/>
              <w:right w:val="single" w:sz="4" w:space="0" w:color="auto"/>
            </w:tcBorders>
            <w:shd w:val="clear" w:color="auto" w:fill="auto"/>
            <w:vAlign w:val="center"/>
            <w:hideMark/>
          </w:tcPr>
          <w:p w14:paraId="5E4A2999"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ligjin nr. 80/2021 “Për regjistrimin e organizatave jofitimprurëse”.</w:t>
            </w:r>
          </w:p>
        </w:tc>
        <w:tc>
          <w:tcPr>
            <w:tcW w:w="901" w:type="dxa"/>
            <w:tcBorders>
              <w:top w:val="nil"/>
              <w:left w:val="nil"/>
              <w:bottom w:val="single" w:sz="4" w:space="0" w:color="auto"/>
              <w:right w:val="single" w:sz="4" w:space="0" w:color="auto"/>
            </w:tcBorders>
            <w:shd w:val="clear" w:color="auto" w:fill="auto"/>
            <w:vAlign w:val="center"/>
            <w:hideMark/>
          </w:tcPr>
          <w:p w14:paraId="5E2AC7B2"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018" w:type="dxa"/>
            <w:tcBorders>
              <w:top w:val="nil"/>
              <w:left w:val="nil"/>
              <w:bottom w:val="single" w:sz="4" w:space="0" w:color="auto"/>
              <w:right w:val="single" w:sz="4" w:space="0" w:color="auto"/>
            </w:tcBorders>
            <w:shd w:val="clear" w:color="auto" w:fill="auto"/>
            <w:noWrap/>
            <w:vAlign w:val="center"/>
            <w:hideMark/>
          </w:tcPr>
          <w:p w14:paraId="2A3BCDD5"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Drejtësisë</w:t>
            </w:r>
          </w:p>
        </w:tc>
        <w:tc>
          <w:tcPr>
            <w:tcW w:w="1165" w:type="dxa"/>
            <w:tcBorders>
              <w:top w:val="nil"/>
              <w:left w:val="nil"/>
              <w:bottom w:val="single" w:sz="4" w:space="0" w:color="auto"/>
              <w:right w:val="single" w:sz="4" w:space="0" w:color="auto"/>
            </w:tcBorders>
            <w:shd w:val="clear" w:color="auto" w:fill="auto"/>
            <w:vAlign w:val="center"/>
            <w:hideMark/>
          </w:tcPr>
          <w:p w14:paraId="535439DF"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dytë</w:t>
            </w:r>
          </w:p>
        </w:tc>
        <w:tc>
          <w:tcPr>
            <w:tcW w:w="2362" w:type="dxa"/>
            <w:tcBorders>
              <w:top w:val="nil"/>
              <w:left w:val="nil"/>
              <w:bottom w:val="single" w:sz="4" w:space="0" w:color="auto"/>
              <w:right w:val="single" w:sz="4" w:space="0" w:color="auto"/>
            </w:tcBorders>
            <w:shd w:val="clear" w:color="auto" w:fill="auto"/>
            <w:vAlign w:val="center"/>
            <w:hideMark/>
          </w:tcPr>
          <w:p w14:paraId="613D0384"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Detyrimi për ndërmarrjen e nismës buron nga nevoja për plotësimin e ligjit pas vendimit nr.62/2023 të Gjykatës Kushtetuese e cila shfuqizoi kompetencën e kancelarit për të shqyrtuar kërkesat për regjistrime të tjera.</w:t>
            </w:r>
          </w:p>
        </w:tc>
        <w:tc>
          <w:tcPr>
            <w:tcW w:w="3124" w:type="dxa"/>
            <w:tcBorders>
              <w:top w:val="nil"/>
              <w:left w:val="nil"/>
              <w:bottom w:val="single" w:sz="4" w:space="0" w:color="auto"/>
              <w:right w:val="single" w:sz="4" w:space="0" w:color="auto"/>
            </w:tcBorders>
            <w:shd w:val="clear" w:color="auto" w:fill="auto"/>
            <w:vAlign w:val="center"/>
            <w:hideMark/>
          </w:tcPr>
          <w:p w14:paraId="7CBCC12E"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Objektivi i këtij projektligji është sigurimi i parimit të sigurisë juridike, konform arritjes së qartësisë, kuptueshmërisë dhe përcaktimit të normës juridike, shtetit të së drejtës, si dhe plotësimit të vakumit ligjor, pasi konkretisht me shfuqizimin nga Gjykata Kushtetuese, të kompetencave të kancelarit për kryerjen e regjistrimeve të tjera, mbetet e paqartë dhe e pa parashikuar nga ligji se cili është autoriteti i cili ka kompetencën për kryerjen e këtij procesi.                 </w:t>
            </w:r>
          </w:p>
        </w:tc>
        <w:tc>
          <w:tcPr>
            <w:tcW w:w="835" w:type="dxa"/>
            <w:tcBorders>
              <w:top w:val="nil"/>
              <w:left w:val="nil"/>
              <w:bottom w:val="single" w:sz="4" w:space="0" w:color="auto"/>
              <w:right w:val="single" w:sz="4" w:space="0" w:color="auto"/>
            </w:tcBorders>
            <w:shd w:val="clear" w:color="auto" w:fill="auto"/>
            <w:vAlign w:val="center"/>
            <w:hideMark/>
          </w:tcPr>
          <w:p w14:paraId="704C06EE"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2FB2D72A"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864" w:type="dxa"/>
            <w:tcBorders>
              <w:top w:val="nil"/>
              <w:left w:val="nil"/>
              <w:bottom w:val="single" w:sz="4" w:space="0" w:color="auto"/>
              <w:right w:val="single" w:sz="4" w:space="0" w:color="auto"/>
            </w:tcBorders>
            <w:shd w:val="clear" w:color="auto" w:fill="auto"/>
            <w:vAlign w:val="center"/>
            <w:hideMark/>
          </w:tcPr>
          <w:p w14:paraId="7AF54616"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410" w:type="dxa"/>
            <w:tcBorders>
              <w:top w:val="nil"/>
              <w:left w:val="nil"/>
              <w:bottom w:val="single" w:sz="4" w:space="0" w:color="auto"/>
              <w:right w:val="single" w:sz="4" w:space="0" w:color="auto"/>
            </w:tcBorders>
            <w:shd w:val="clear" w:color="auto" w:fill="auto"/>
            <w:vAlign w:val="center"/>
            <w:hideMark/>
          </w:tcPr>
          <w:p w14:paraId="2E8EC669"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Po, Sociale</w:t>
            </w:r>
          </w:p>
        </w:tc>
      </w:tr>
      <w:tr w:rsidR="00660F04" w:rsidRPr="00727111" w14:paraId="5A3F6FC8" w14:textId="77777777" w:rsidTr="00660F04">
        <w:trPr>
          <w:gridAfter w:val="1"/>
          <w:wAfter w:w="20" w:type="dxa"/>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F84D40D"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7</w:t>
            </w:r>
          </w:p>
        </w:tc>
        <w:tc>
          <w:tcPr>
            <w:tcW w:w="1199" w:type="dxa"/>
            <w:tcBorders>
              <w:top w:val="nil"/>
              <w:left w:val="nil"/>
              <w:bottom w:val="single" w:sz="4" w:space="0" w:color="auto"/>
              <w:right w:val="single" w:sz="4" w:space="0" w:color="auto"/>
            </w:tcBorders>
            <w:shd w:val="clear" w:color="auto" w:fill="auto"/>
            <w:vAlign w:val="center"/>
            <w:hideMark/>
          </w:tcPr>
          <w:p w14:paraId="05C7D36A" w14:textId="77777777" w:rsidR="00660F04" w:rsidRPr="00727111" w:rsidRDefault="00660F04" w:rsidP="00660F04">
            <w:pPr>
              <w:jc w:val="center"/>
              <w:rPr>
                <w:rFonts w:ascii="Garamond" w:hAnsi="Garamond"/>
                <w:sz w:val="12"/>
                <w:szCs w:val="12"/>
                <w:lang w:eastAsia="sq-AL"/>
              </w:rPr>
            </w:pPr>
            <w:r w:rsidRPr="00727111">
              <w:rPr>
                <w:rFonts w:ascii="Garamond" w:hAnsi="Garamond"/>
                <w:sz w:val="12"/>
                <w:szCs w:val="12"/>
                <w:lang w:eastAsia="sq-AL"/>
              </w:rPr>
              <w:t>Për disa shtesa dhe ndryshime në ligjin nr.37/2017 "Kodi i Drejtësisë Penale për të Mitur"</w:t>
            </w:r>
          </w:p>
        </w:tc>
        <w:tc>
          <w:tcPr>
            <w:tcW w:w="901" w:type="dxa"/>
            <w:tcBorders>
              <w:top w:val="nil"/>
              <w:left w:val="nil"/>
              <w:bottom w:val="single" w:sz="4" w:space="0" w:color="auto"/>
              <w:right w:val="single" w:sz="4" w:space="0" w:color="auto"/>
            </w:tcBorders>
            <w:shd w:val="clear" w:color="auto" w:fill="auto"/>
            <w:vAlign w:val="center"/>
            <w:hideMark/>
          </w:tcPr>
          <w:p w14:paraId="5E063112"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018" w:type="dxa"/>
            <w:tcBorders>
              <w:top w:val="nil"/>
              <w:left w:val="nil"/>
              <w:bottom w:val="single" w:sz="4" w:space="0" w:color="auto"/>
              <w:right w:val="single" w:sz="4" w:space="0" w:color="auto"/>
            </w:tcBorders>
            <w:shd w:val="clear" w:color="auto" w:fill="auto"/>
            <w:noWrap/>
            <w:vAlign w:val="center"/>
            <w:hideMark/>
          </w:tcPr>
          <w:p w14:paraId="2E9555C8"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Drejtësisë</w:t>
            </w:r>
          </w:p>
        </w:tc>
        <w:tc>
          <w:tcPr>
            <w:tcW w:w="1165" w:type="dxa"/>
            <w:tcBorders>
              <w:top w:val="nil"/>
              <w:left w:val="nil"/>
              <w:bottom w:val="single" w:sz="4" w:space="0" w:color="auto"/>
              <w:right w:val="single" w:sz="4" w:space="0" w:color="auto"/>
            </w:tcBorders>
            <w:shd w:val="clear" w:color="auto" w:fill="auto"/>
            <w:vAlign w:val="center"/>
            <w:hideMark/>
          </w:tcPr>
          <w:p w14:paraId="3208B61E"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Katërmujori i tretë</w:t>
            </w:r>
          </w:p>
        </w:tc>
        <w:tc>
          <w:tcPr>
            <w:tcW w:w="2362" w:type="dxa"/>
            <w:tcBorders>
              <w:top w:val="nil"/>
              <w:left w:val="nil"/>
              <w:bottom w:val="single" w:sz="4" w:space="0" w:color="auto"/>
              <w:right w:val="single" w:sz="4" w:space="0" w:color="auto"/>
            </w:tcBorders>
            <w:shd w:val="clear" w:color="auto" w:fill="auto"/>
            <w:vAlign w:val="center"/>
            <w:hideMark/>
          </w:tcPr>
          <w:p w14:paraId="133F7C49"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Përafrimi i akteve të Bashkimit Evropian në fushën e të drejtave procedurale, sikurse është parashikuar edhe në Udhërrëfyesin për shtetin e së drejtës, miratuar me VKM nr.736, datë 19.12.2023.</w:t>
            </w:r>
          </w:p>
        </w:tc>
        <w:tc>
          <w:tcPr>
            <w:tcW w:w="3124" w:type="dxa"/>
            <w:tcBorders>
              <w:top w:val="nil"/>
              <w:left w:val="nil"/>
              <w:bottom w:val="single" w:sz="4" w:space="0" w:color="auto"/>
              <w:right w:val="single" w:sz="4" w:space="0" w:color="auto"/>
            </w:tcBorders>
            <w:shd w:val="clear" w:color="auto" w:fill="auto"/>
            <w:vAlign w:val="center"/>
            <w:hideMark/>
          </w:tcPr>
          <w:p w14:paraId="058FB8C4"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synon të përafrojë aktet e BE-së lidhur me të drejtën e interpretimit dhe përkthimit në procesin penal, të drejtën e informimit në procesin penal, të drejtën e aksesit ndaj avokatit në procesin penal, si dhe prezumimin e pafajësisë.</w:t>
            </w:r>
          </w:p>
        </w:tc>
        <w:tc>
          <w:tcPr>
            <w:tcW w:w="835" w:type="dxa"/>
            <w:tcBorders>
              <w:top w:val="nil"/>
              <w:left w:val="nil"/>
              <w:bottom w:val="single" w:sz="4" w:space="0" w:color="auto"/>
              <w:right w:val="single" w:sz="4" w:space="0" w:color="auto"/>
            </w:tcBorders>
            <w:shd w:val="clear" w:color="auto" w:fill="auto"/>
            <w:vAlign w:val="center"/>
            <w:hideMark/>
          </w:tcPr>
          <w:p w14:paraId="75AFEC2D"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Po, Të drejtat e njeriut</w:t>
            </w:r>
          </w:p>
        </w:tc>
        <w:tc>
          <w:tcPr>
            <w:tcW w:w="1030" w:type="dxa"/>
            <w:tcBorders>
              <w:top w:val="nil"/>
              <w:left w:val="nil"/>
              <w:bottom w:val="single" w:sz="4" w:space="0" w:color="auto"/>
              <w:right w:val="single" w:sz="4" w:space="0" w:color="auto"/>
            </w:tcBorders>
            <w:shd w:val="clear" w:color="auto" w:fill="auto"/>
            <w:vAlign w:val="center"/>
            <w:hideMark/>
          </w:tcPr>
          <w:p w14:paraId="7904644B"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Po, Integrimi Europian</w:t>
            </w:r>
          </w:p>
        </w:tc>
        <w:tc>
          <w:tcPr>
            <w:tcW w:w="864" w:type="dxa"/>
            <w:tcBorders>
              <w:top w:val="nil"/>
              <w:left w:val="nil"/>
              <w:bottom w:val="single" w:sz="4" w:space="0" w:color="auto"/>
              <w:right w:val="single" w:sz="4" w:space="0" w:color="auto"/>
            </w:tcBorders>
            <w:shd w:val="clear" w:color="auto" w:fill="auto"/>
            <w:vAlign w:val="center"/>
            <w:hideMark/>
          </w:tcPr>
          <w:p w14:paraId="38888B74"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Udhërrëfyesi për shtetin e së drejtës, miratuar me VKM nr.736, datë 19.12.2023.</w:t>
            </w:r>
          </w:p>
        </w:tc>
        <w:tc>
          <w:tcPr>
            <w:tcW w:w="1410" w:type="dxa"/>
            <w:tcBorders>
              <w:top w:val="nil"/>
              <w:left w:val="nil"/>
              <w:bottom w:val="single" w:sz="4" w:space="0" w:color="auto"/>
              <w:right w:val="single" w:sz="4" w:space="0" w:color="auto"/>
            </w:tcBorders>
            <w:shd w:val="clear" w:color="auto" w:fill="auto"/>
            <w:vAlign w:val="center"/>
            <w:hideMark/>
          </w:tcPr>
          <w:p w14:paraId="695AC4DE" w14:textId="77777777" w:rsidR="00660F04" w:rsidRPr="00727111" w:rsidRDefault="00660F04" w:rsidP="00660F04">
            <w:pPr>
              <w:jc w:val="center"/>
              <w:rPr>
                <w:rFonts w:ascii="Garamond" w:hAnsi="Garamond"/>
                <w:color w:val="000000"/>
                <w:sz w:val="12"/>
                <w:szCs w:val="12"/>
                <w:lang w:eastAsia="sq-AL"/>
              </w:rPr>
            </w:pPr>
            <w:r w:rsidRPr="00727111">
              <w:rPr>
                <w:rFonts w:ascii="Garamond" w:hAnsi="Garamond"/>
                <w:color w:val="000000"/>
                <w:sz w:val="12"/>
                <w:szCs w:val="12"/>
                <w:lang w:eastAsia="sq-AL"/>
              </w:rPr>
              <w:t>Po, Sociale</w:t>
            </w:r>
          </w:p>
        </w:tc>
      </w:tr>
    </w:tbl>
    <w:p w14:paraId="395F2A26" w14:textId="08F4CD8C" w:rsidR="00EF0780" w:rsidRPr="00727111" w:rsidRDefault="00EF0780" w:rsidP="00593BF4">
      <w:pPr>
        <w:ind w:firstLine="284"/>
        <w:jc w:val="both"/>
        <w:rPr>
          <w:rFonts w:ascii="Garamond" w:hAnsi="Garamond"/>
          <w:b/>
          <w:sz w:val="24"/>
        </w:rPr>
      </w:pPr>
    </w:p>
    <w:p w14:paraId="327E2A1C" w14:textId="2D223B21" w:rsidR="00660F04" w:rsidRPr="00727111" w:rsidRDefault="00660F04" w:rsidP="00593BF4">
      <w:pPr>
        <w:ind w:firstLine="284"/>
        <w:jc w:val="both"/>
        <w:rPr>
          <w:rFonts w:ascii="Garamond" w:hAnsi="Garamond"/>
          <w:b/>
          <w:sz w:val="24"/>
        </w:rPr>
      </w:pPr>
    </w:p>
    <w:p w14:paraId="15433B5B" w14:textId="4F48C7C8" w:rsidR="00660F04" w:rsidRPr="00727111" w:rsidRDefault="00660F04" w:rsidP="00593BF4">
      <w:pPr>
        <w:ind w:firstLine="284"/>
        <w:jc w:val="both"/>
        <w:rPr>
          <w:rFonts w:ascii="Garamond" w:hAnsi="Garamond"/>
          <w:b/>
          <w:sz w:val="24"/>
        </w:rPr>
      </w:pPr>
    </w:p>
    <w:p w14:paraId="36252690" w14:textId="43092742" w:rsidR="00660F04" w:rsidRPr="00727111" w:rsidRDefault="00660F04" w:rsidP="00593BF4">
      <w:pPr>
        <w:ind w:firstLine="284"/>
        <w:jc w:val="both"/>
        <w:rPr>
          <w:rFonts w:ascii="Garamond" w:hAnsi="Garamond"/>
          <w:b/>
          <w:sz w:val="24"/>
        </w:rPr>
      </w:pPr>
    </w:p>
    <w:p w14:paraId="5133EC56" w14:textId="4FFE8585" w:rsidR="00B03CE4" w:rsidRPr="00727111" w:rsidRDefault="00B03CE4" w:rsidP="00593BF4">
      <w:pPr>
        <w:ind w:firstLine="284"/>
        <w:jc w:val="both"/>
        <w:rPr>
          <w:rFonts w:ascii="Garamond" w:hAnsi="Garamond"/>
          <w:b/>
          <w:sz w:val="24"/>
        </w:rPr>
      </w:pPr>
    </w:p>
    <w:p w14:paraId="725516D4" w14:textId="4559C936" w:rsidR="00B03CE4" w:rsidRPr="00727111" w:rsidRDefault="00B03CE4" w:rsidP="00593BF4">
      <w:pPr>
        <w:ind w:firstLine="284"/>
        <w:jc w:val="both"/>
        <w:rPr>
          <w:rFonts w:ascii="Garamond" w:hAnsi="Garamond"/>
          <w:b/>
          <w:sz w:val="24"/>
        </w:rPr>
      </w:pPr>
    </w:p>
    <w:p w14:paraId="208902BF" w14:textId="433B22F7" w:rsidR="00B03CE4" w:rsidRPr="00727111" w:rsidRDefault="00B03CE4" w:rsidP="00593BF4">
      <w:pPr>
        <w:ind w:firstLine="284"/>
        <w:jc w:val="both"/>
        <w:rPr>
          <w:rFonts w:ascii="Garamond" w:hAnsi="Garamond"/>
          <w:b/>
          <w:sz w:val="24"/>
        </w:rPr>
      </w:pPr>
    </w:p>
    <w:p w14:paraId="4EB945CE" w14:textId="34B7D524" w:rsidR="00B03CE4" w:rsidRPr="00727111" w:rsidRDefault="00B03CE4" w:rsidP="00593BF4">
      <w:pPr>
        <w:ind w:firstLine="284"/>
        <w:jc w:val="both"/>
        <w:rPr>
          <w:rFonts w:ascii="Garamond" w:hAnsi="Garamond"/>
          <w:b/>
          <w:sz w:val="24"/>
        </w:rPr>
      </w:pPr>
    </w:p>
    <w:p w14:paraId="0B788FBC" w14:textId="2B2EE7FB" w:rsidR="00B03CE4" w:rsidRPr="00727111" w:rsidRDefault="00B03CE4" w:rsidP="00593BF4">
      <w:pPr>
        <w:ind w:firstLine="284"/>
        <w:jc w:val="both"/>
        <w:rPr>
          <w:rFonts w:ascii="Garamond" w:hAnsi="Garamond"/>
          <w:b/>
          <w:sz w:val="24"/>
        </w:rPr>
      </w:pPr>
    </w:p>
    <w:p w14:paraId="41864301" w14:textId="2A01C2D3" w:rsidR="00B03CE4" w:rsidRPr="00727111" w:rsidRDefault="00B03CE4" w:rsidP="00593BF4">
      <w:pPr>
        <w:ind w:firstLine="284"/>
        <w:jc w:val="both"/>
        <w:rPr>
          <w:rFonts w:ascii="Garamond" w:hAnsi="Garamond"/>
          <w:b/>
          <w:sz w:val="24"/>
        </w:rPr>
      </w:pPr>
    </w:p>
    <w:p w14:paraId="209BE322" w14:textId="77777777" w:rsidR="00B03CE4" w:rsidRPr="00727111" w:rsidRDefault="00B03CE4" w:rsidP="00593BF4">
      <w:pPr>
        <w:ind w:firstLine="284"/>
        <w:jc w:val="both"/>
        <w:rPr>
          <w:rFonts w:ascii="Garamond" w:hAnsi="Garamond"/>
          <w:b/>
          <w:sz w:val="24"/>
        </w:rPr>
      </w:pPr>
    </w:p>
    <w:p w14:paraId="6950B2D9" w14:textId="57EA21C5" w:rsidR="00B03CE4" w:rsidRPr="00727111" w:rsidRDefault="00B03CE4" w:rsidP="00593BF4">
      <w:pPr>
        <w:ind w:firstLine="284"/>
        <w:jc w:val="both"/>
        <w:rPr>
          <w:rFonts w:ascii="Garamond" w:hAnsi="Garamond"/>
          <w:b/>
          <w:sz w:val="24"/>
        </w:rPr>
      </w:pPr>
    </w:p>
    <w:p w14:paraId="4C1E74D5" w14:textId="4774E94B" w:rsidR="00B03CE4" w:rsidRPr="00727111" w:rsidRDefault="00B03CE4" w:rsidP="00593BF4">
      <w:pPr>
        <w:ind w:firstLine="284"/>
        <w:jc w:val="both"/>
        <w:rPr>
          <w:rFonts w:ascii="Garamond" w:hAnsi="Garamond"/>
          <w:b/>
          <w:sz w:val="24"/>
        </w:rPr>
      </w:pPr>
    </w:p>
    <w:tbl>
      <w:tblPr>
        <w:tblW w:w="14410" w:type="dxa"/>
        <w:tblLook w:val="04A0" w:firstRow="1" w:lastRow="0" w:firstColumn="1" w:lastColumn="0" w:noHBand="0" w:noVBand="1"/>
      </w:tblPr>
      <w:tblGrid>
        <w:gridCol w:w="390"/>
        <w:gridCol w:w="1234"/>
        <w:gridCol w:w="923"/>
        <w:gridCol w:w="1955"/>
        <w:gridCol w:w="1197"/>
        <w:gridCol w:w="2332"/>
        <w:gridCol w:w="2403"/>
        <w:gridCol w:w="899"/>
        <w:gridCol w:w="1122"/>
        <w:gridCol w:w="976"/>
        <w:gridCol w:w="979"/>
      </w:tblGrid>
      <w:tr w:rsidR="00B03CE4" w:rsidRPr="00727111" w14:paraId="40779459" w14:textId="77777777" w:rsidTr="00B03CE4">
        <w:trPr>
          <w:trHeight w:val="180"/>
        </w:trPr>
        <w:tc>
          <w:tcPr>
            <w:tcW w:w="14410"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720EE517" w14:textId="77777777" w:rsidR="00B03CE4" w:rsidRPr="00727111" w:rsidRDefault="00B03CE4" w:rsidP="00B03CE4">
            <w:pPr>
              <w:jc w:val="center"/>
              <w:rPr>
                <w:rFonts w:ascii="Garamond" w:hAnsi="Garamond" w:cs="Calibri"/>
                <w:b/>
                <w:bCs/>
                <w:color w:val="000000"/>
                <w:sz w:val="12"/>
                <w:szCs w:val="12"/>
                <w:lang w:eastAsia="sq-AL"/>
              </w:rPr>
            </w:pPr>
            <w:bookmarkStart w:id="9" w:name="RANGE!A1:K28"/>
            <w:r w:rsidRPr="00727111">
              <w:rPr>
                <w:rFonts w:ascii="Garamond" w:hAnsi="Garamond" w:cs="Calibri"/>
                <w:b/>
                <w:bCs/>
                <w:color w:val="000000"/>
                <w:sz w:val="12"/>
                <w:szCs w:val="12"/>
                <w:lang w:eastAsia="sq-AL"/>
              </w:rPr>
              <w:t>Programi i Përgjithshëm Analitik i Projektakteve për vitin 2025</w:t>
            </w:r>
            <w:bookmarkEnd w:id="9"/>
          </w:p>
        </w:tc>
      </w:tr>
      <w:tr w:rsidR="00B03CE4" w:rsidRPr="00727111" w14:paraId="285F9359" w14:textId="77777777" w:rsidTr="00B03CE4">
        <w:trPr>
          <w:trHeight w:val="180"/>
        </w:trPr>
        <w:tc>
          <w:tcPr>
            <w:tcW w:w="14410"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4682F0E0" w14:textId="77777777" w:rsidR="00B03CE4" w:rsidRPr="00727111" w:rsidRDefault="00B03CE4" w:rsidP="00B03CE4">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Ministria e Ekonomisë Kulturës dhe Inovacionit</w:t>
            </w:r>
          </w:p>
        </w:tc>
      </w:tr>
      <w:tr w:rsidR="00B03CE4" w:rsidRPr="00727111" w14:paraId="7F16D845" w14:textId="77777777" w:rsidTr="00B03CE4">
        <w:trPr>
          <w:trHeight w:val="180"/>
        </w:trPr>
        <w:tc>
          <w:tcPr>
            <w:tcW w:w="381" w:type="dxa"/>
            <w:tcBorders>
              <w:top w:val="nil"/>
              <w:left w:val="single" w:sz="4" w:space="0" w:color="auto"/>
              <w:bottom w:val="single" w:sz="4" w:space="0" w:color="auto"/>
              <w:right w:val="single" w:sz="4" w:space="0" w:color="auto"/>
            </w:tcBorders>
            <w:shd w:val="clear" w:color="000000" w:fill="C00000"/>
            <w:vAlign w:val="center"/>
            <w:hideMark/>
          </w:tcPr>
          <w:p w14:paraId="75A48C3B"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Nr.</w:t>
            </w:r>
          </w:p>
        </w:tc>
        <w:tc>
          <w:tcPr>
            <w:tcW w:w="1235" w:type="dxa"/>
            <w:tcBorders>
              <w:top w:val="nil"/>
              <w:left w:val="nil"/>
              <w:bottom w:val="single" w:sz="4" w:space="0" w:color="auto"/>
              <w:right w:val="single" w:sz="4" w:space="0" w:color="auto"/>
            </w:tcBorders>
            <w:shd w:val="clear" w:color="000000" w:fill="C00000"/>
            <w:vAlign w:val="center"/>
            <w:hideMark/>
          </w:tcPr>
          <w:p w14:paraId="44A4978A"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Titulli i projektaktit</w:t>
            </w:r>
          </w:p>
        </w:tc>
        <w:tc>
          <w:tcPr>
            <w:tcW w:w="923" w:type="dxa"/>
            <w:tcBorders>
              <w:top w:val="nil"/>
              <w:left w:val="nil"/>
              <w:bottom w:val="single" w:sz="4" w:space="0" w:color="auto"/>
              <w:right w:val="single" w:sz="4" w:space="0" w:color="auto"/>
            </w:tcBorders>
            <w:shd w:val="clear" w:color="000000" w:fill="C00000"/>
            <w:vAlign w:val="center"/>
            <w:hideMark/>
          </w:tcPr>
          <w:p w14:paraId="79565661"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Lloji i projektaktit</w:t>
            </w:r>
          </w:p>
        </w:tc>
        <w:tc>
          <w:tcPr>
            <w:tcW w:w="1958" w:type="dxa"/>
            <w:tcBorders>
              <w:top w:val="nil"/>
              <w:left w:val="nil"/>
              <w:bottom w:val="single" w:sz="4" w:space="0" w:color="auto"/>
              <w:right w:val="single" w:sz="4" w:space="0" w:color="auto"/>
            </w:tcBorders>
            <w:shd w:val="clear" w:color="000000" w:fill="C00000"/>
            <w:vAlign w:val="center"/>
            <w:hideMark/>
          </w:tcPr>
          <w:p w14:paraId="003CD1DC"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Ministri propozues</w:t>
            </w:r>
          </w:p>
        </w:tc>
        <w:tc>
          <w:tcPr>
            <w:tcW w:w="1199" w:type="dxa"/>
            <w:tcBorders>
              <w:top w:val="nil"/>
              <w:left w:val="nil"/>
              <w:bottom w:val="single" w:sz="4" w:space="0" w:color="auto"/>
              <w:right w:val="single" w:sz="4" w:space="0" w:color="auto"/>
            </w:tcBorders>
            <w:shd w:val="clear" w:color="000000" w:fill="C00000"/>
            <w:vAlign w:val="center"/>
            <w:hideMark/>
          </w:tcPr>
          <w:p w14:paraId="384B99E6"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Katër mujori</w:t>
            </w:r>
          </w:p>
        </w:tc>
        <w:tc>
          <w:tcPr>
            <w:tcW w:w="2332" w:type="dxa"/>
            <w:tcBorders>
              <w:top w:val="nil"/>
              <w:left w:val="nil"/>
              <w:bottom w:val="single" w:sz="4" w:space="0" w:color="auto"/>
              <w:right w:val="single" w:sz="4" w:space="0" w:color="auto"/>
            </w:tcBorders>
            <w:shd w:val="clear" w:color="000000" w:fill="C00000"/>
            <w:vAlign w:val="center"/>
            <w:hideMark/>
          </w:tcPr>
          <w:p w14:paraId="475BD024"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Arsyet kryesore për propozimin e projektaktit</w:t>
            </w:r>
          </w:p>
        </w:tc>
        <w:tc>
          <w:tcPr>
            <w:tcW w:w="2406" w:type="dxa"/>
            <w:tcBorders>
              <w:top w:val="nil"/>
              <w:left w:val="nil"/>
              <w:bottom w:val="single" w:sz="4" w:space="0" w:color="auto"/>
              <w:right w:val="single" w:sz="4" w:space="0" w:color="auto"/>
            </w:tcBorders>
            <w:shd w:val="clear" w:color="000000" w:fill="C00000"/>
            <w:vAlign w:val="center"/>
            <w:hideMark/>
          </w:tcPr>
          <w:p w14:paraId="284CD729"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 xml:space="preserve">Çështjet kryesore që parashikon të rregullojë projektakti </w:t>
            </w:r>
          </w:p>
        </w:tc>
        <w:tc>
          <w:tcPr>
            <w:tcW w:w="899" w:type="dxa"/>
            <w:tcBorders>
              <w:top w:val="nil"/>
              <w:left w:val="nil"/>
              <w:bottom w:val="single" w:sz="4" w:space="0" w:color="auto"/>
              <w:right w:val="single" w:sz="4" w:space="0" w:color="auto"/>
            </w:tcBorders>
            <w:shd w:val="clear" w:color="000000" w:fill="C00000"/>
            <w:vAlign w:val="center"/>
            <w:hideMark/>
          </w:tcPr>
          <w:p w14:paraId="26E710D2"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 është parashikuar projektakti në PKIE?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po, të specifikohet kapitulli përkatës</w:t>
            </w:r>
          </w:p>
        </w:tc>
        <w:tc>
          <w:tcPr>
            <w:tcW w:w="1122" w:type="dxa"/>
            <w:tcBorders>
              <w:top w:val="nil"/>
              <w:left w:val="nil"/>
              <w:bottom w:val="single" w:sz="4" w:space="0" w:color="auto"/>
              <w:right w:val="single" w:sz="4" w:space="0" w:color="auto"/>
            </w:tcBorders>
            <w:shd w:val="clear" w:color="000000" w:fill="C00000"/>
            <w:vAlign w:val="center"/>
            <w:hideMark/>
          </w:tcPr>
          <w:p w14:paraId="097D025D"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Përputhshmëria e projektaktit me programin politik qeverisës 2021-2025</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përputhet, të jepet  referenca e saktë në progam</w:t>
            </w:r>
          </w:p>
        </w:tc>
        <w:tc>
          <w:tcPr>
            <w:tcW w:w="976" w:type="dxa"/>
            <w:tcBorders>
              <w:top w:val="nil"/>
              <w:left w:val="nil"/>
              <w:bottom w:val="single" w:sz="4" w:space="0" w:color="auto"/>
              <w:right w:val="single" w:sz="4" w:space="0" w:color="auto"/>
            </w:tcBorders>
            <w:shd w:val="clear" w:color="000000" w:fill="C00000"/>
            <w:vAlign w:val="center"/>
            <w:hideMark/>
          </w:tcPr>
          <w:p w14:paraId="1BD0547F"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Lidhja e projektaktit me strategjitë kombëtare dhe sektoriale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lidhet, të specifikohen strategjitë</w:t>
            </w:r>
          </w:p>
        </w:tc>
        <w:tc>
          <w:tcPr>
            <w:tcW w:w="975" w:type="dxa"/>
            <w:tcBorders>
              <w:top w:val="nil"/>
              <w:left w:val="nil"/>
              <w:bottom w:val="single" w:sz="4" w:space="0" w:color="auto"/>
              <w:right w:val="single" w:sz="4" w:space="0" w:color="auto"/>
            </w:tcBorders>
            <w:shd w:val="clear" w:color="000000" w:fill="C00000"/>
            <w:vAlign w:val="center"/>
            <w:hideMark/>
          </w:tcPr>
          <w:p w14:paraId="22465425" w14:textId="77777777" w:rsidR="00B03CE4" w:rsidRPr="00727111" w:rsidRDefault="00B03CE4" w:rsidP="00B03CE4">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Ndikimet e mundshme ekonomike, financiare, sociale dhe mjedisore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 xml:space="preserve">Përgjigjuni me Po/Jo për ndikimet përkatëse </w:t>
            </w:r>
          </w:p>
        </w:tc>
      </w:tr>
      <w:tr w:rsidR="00B03CE4" w:rsidRPr="00727111" w14:paraId="07218915"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2A73BE3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w:t>
            </w:r>
          </w:p>
        </w:tc>
        <w:tc>
          <w:tcPr>
            <w:tcW w:w="1235" w:type="dxa"/>
            <w:tcBorders>
              <w:top w:val="nil"/>
              <w:left w:val="nil"/>
              <w:bottom w:val="single" w:sz="4" w:space="0" w:color="auto"/>
              <w:right w:val="single" w:sz="4" w:space="0" w:color="auto"/>
            </w:tcBorders>
            <w:shd w:val="clear" w:color="auto" w:fill="auto"/>
            <w:vAlign w:val="center"/>
            <w:hideMark/>
          </w:tcPr>
          <w:p w14:paraId="3553F94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përcaktimin e masës së përfitimit, kritereve dhe kushteve të veçanta të përfitimit për ndërmarrjet mikro, të vogla dhe të mesme për vitin 2025”</w:t>
            </w:r>
          </w:p>
        </w:tc>
        <w:tc>
          <w:tcPr>
            <w:tcW w:w="923" w:type="dxa"/>
            <w:tcBorders>
              <w:top w:val="nil"/>
              <w:left w:val="nil"/>
              <w:bottom w:val="single" w:sz="4" w:space="0" w:color="auto"/>
              <w:right w:val="single" w:sz="4" w:space="0" w:color="auto"/>
            </w:tcBorders>
            <w:shd w:val="clear" w:color="auto" w:fill="auto"/>
            <w:vAlign w:val="center"/>
            <w:hideMark/>
          </w:tcPr>
          <w:p w14:paraId="718FCBD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348C2B9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0071C92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332" w:type="dxa"/>
            <w:tcBorders>
              <w:top w:val="nil"/>
              <w:left w:val="nil"/>
              <w:bottom w:val="single" w:sz="4" w:space="0" w:color="auto"/>
              <w:right w:val="single" w:sz="4" w:space="0" w:color="auto"/>
            </w:tcBorders>
            <w:shd w:val="clear" w:color="auto" w:fill="auto"/>
            <w:vAlign w:val="center"/>
            <w:hideMark/>
          </w:tcPr>
          <w:p w14:paraId="283FA47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 ligjin  nr. 43/2022 "Per zhvillimin e ndermarrjeve mikro, te vogla dhe te mesme", nenin 11, pika 6 parashikohet se "Përcaktimi i masës së përfitimit, kriteret dhe kushtet e veçanta të përfitimit për NMVM-të përcaktohen çdo vit me vendim të Këshillit të Ministrave."</w:t>
            </w:r>
          </w:p>
        </w:tc>
        <w:tc>
          <w:tcPr>
            <w:tcW w:w="2406" w:type="dxa"/>
            <w:tcBorders>
              <w:top w:val="nil"/>
              <w:left w:val="nil"/>
              <w:bottom w:val="single" w:sz="4" w:space="0" w:color="auto"/>
              <w:right w:val="single" w:sz="4" w:space="0" w:color="auto"/>
            </w:tcBorders>
            <w:shd w:val="clear" w:color="auto" w:fill="auto"/>
            <w:vAlign w:val="center"/>
            <w:hideMark/>
          </w:tcPr>
          <w:p w14:paraId="2C94DF91"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NMV mbeshteten nga fondi per zhvillimin e  nderrmarrjeve, me qëllim zbatimin e programeve që synojnë rritjen e konkurrueshmërisë, artizanatit, zhvillimin e të mësuarit rreth ndërmarrjes, zhvillimin e produkteve dhe shërbimeve të reja si rezultat i kërkim-zhvillimit, zhvillimin e aftësive të ndërmarrjes, inovacionin, rinovimin e teknologjisë, ndërkombëtarizimin e zhvillimin e NMVM-ve dhe mbështetjen e grave sipërmarrëse. Me akt nënligjor përcaktohet masa e përfitimit, kriteret dhe kushtet e veçanta. </w:t>
            </w:r>
          </w:p>
        </w:tc>
        <w:tc>
          <w:tcPr>
            <w:tcW w:w="899" w:type="dxa"/>
            <w:tcBorders>
              <w:top w:val="nil"/>
              <w:left w:val="nil"/>
              <w:bottom w:val="single" w:sz="4" w:space="0" w:color="auto"/>
              <w:right w:val="single" w:sz="4" w:space="0" w:color="auto"/>
            </w:tcBorders>
            <w:shd w:val="clear" w:color="auto" w:fill="auto"/>
            <w:vAlign w:val="center"/>
            <w:hideMark/>
          </w:tcPr>
          <w:p w14:paraId="6651927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626C6D5A" w14:textId="77777777" w:rsidR="00B03CE4" w:rsidRPr="00727111" w:rsidRDefault="00B03CE4" w:rsidP="00B03CE4">
            <w:pPr>
              <w:rPr>
                <w:rFonts w:ascii="Garamond" w:hAnsi="Garamond"/>
                <w:color w:val="000000"/>
                <w:sz w:val="12"/>
                <w:szCs w:val="12"/>
                <w:lang w:eastAsia="sq-AL"/>
              </w:rPr>
            </w:pPr>
            <w:r w:rsidRPr="00727111">
              <w:rPr>
                <w:rFonts w:ascii="Garamond" w:hAnsi="Garamond"/>
                <w:color w:val="000000"/>
                <w:sz w:val="12"/>
                <w:szCs w:val="12"/>
                <w:lang w:eastAsia="sq-AL"/>
              </w:rPr>
              <w:t>"Biznesi i vogël , Biznesi i Manifakturës, Teknologjisë së Informacionit dhe Shërbimeve"</w:t>
            </w:r>
          </w:p>
        </w:tc>
        <w:tc>
          <w:tcPr>
            <w:tcW w:w="976" w:type="dxa"/>
            <w:tcBorders>
              <w:top w:val="nil"/>
              <w:left w:val="nil"/>
              <w:bottom w:val="single" w:sz="4" w:space="0" w:color="auto"/>
              <w:right w:val="single" w:sz="4" w:space="0" w:color="auto"/>
            </w:tcBorders>
            <w:shd w:val="clear" w:color="auto" w:fill="auto"/>
            <w:vAlign w:val="center"/>
            <w:hideMark/>
          </w:tcPr>
          <w:p w14:paraId="74AC0BE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te Biznesit dhe Investimeve 2021-2027 (BIDS)</w:t>
            </w:r>
          </w:p>
        </w:tc>
        <w:tc>
          <w:tcPr>
            <w:tcW w:w="975" w:type="dxa"/>
            <w:tcBorders>
              <w:top w:val="nil"/>
              <w:left w:val="nil"/>
              <w:bottom w:val="single" w:sz="4" w:space="0" w:color="auto"/>
              <w:right w:val="single" w:sz="4" w:space="0" w:color="auto"/>
            </w:tcBorders>
            <w:shd w:val="clear" w:color="auto" w:fill="auto"/>
            <w:vAlign w:val="center"/>
            <w:hideMark/>
          </w:tcPr>
          <w:p w14:paraId="07529B6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03CE4" w:rsidRPr="00727111" w14:paraId="3329405F"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2C948DF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2</w:t>
            </w:r>
          </w:p>
        </w:tc>
        <w:tc>
          <w:tcPr>
            <w:tcW w:w="1235" w:type="dxa"/>
            <w:tcBorders>
              <w:top w:val="nil"/>
              <w:left w:val="nil"/>
              <w:bottom w:val="single" w:sz="4" w:space="0" w:color="auto"/>
              <w:right w:val="single" w:sz="4" w:space="0" w:color="auto"/>
            </w:tcBorders>
            <w:shd w:val="clear" w:color="000000" w:fill="FFFFFF"/>
            <w:vAlign w:val="center"/>
            <w:hideMark/>
          </w:tcPr>
          <w:p w14:paraId="5A183F4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deklarimin pasuri kulturore e paluajtshme e zonave arkeologjike “A” dhe “B” të qytetit të Lezhës dhe miratimin e zonimit e të planit për ruajtjen, mbrojtjen dhe administrimin e tyre </w:t>
            </w:r>
          </w:p>
        </w:tc>
        <w:tc>
          <w:tcPr>
            <w:tcW w:w="923" w:type="dxa"/>
            <w:tcBorders>
              <w:top w:val="nil"/>
              <w:left w:val="nil"/>
              <w:bottom w:val="single" w:sz="4" w:space="0" w:color="auto"/>
              <w:right w:val="single" w:sz="4" w:space="0" w:color="auto"/>
            </w:tcBorders>
            <w:shd w:val="clear" w:color="auto" w:fill="auto"/>
            <w:vAlign w:val="center"/>
            <w:hideMark/>
          </w:tcPr>
          <w:p w14:paraId="6F40B09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1FC30E8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19115F7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332" w:type="dxa"/>
            <w:tcBorders>
              <w:top w:val="nil"/>
              <w:left w:val="nil"/>
              <w:bottom w:val="single" w:sz="4" w:space="0" w:color="auto"/>
              <w:right w:val="single" w:sz="4" w:space="0" w:color="auto"/>
            </w:tcBorders>
            <w:shd w:val="clear" w:color="auto" w:fill="auto"/>
            <w:vAlign w:val="center"/>
            <w:hideMark/>
          </w:tcPr>
          <w:p w14:paraId="4A88D6F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Shkronja “a” dhe ç të pikës 3, të nenit 9, dhe të nënparagrafit “iv”, të shkronjës “b”, të pikës 3, të nenit 53, të ligjit nr. 27/2018, “Për trashëgiminë kulturore dhe muzetë”, </w:t>
            </w:r>
          </w:p>
        </w:tc>
        <w:tc>
          <w:tcPr>
            <w:tcW w:w="2406" w:type="dxa"/>
            <w:tcBorders>
              <w:top w:val="nil"/>
              <w:left w:val="nil"/>
              <w:bottom w:val="single" w:sz="4" w:space="0" w:color="auto"/>
              <w:right w:val="single" w:sz="4" w:space="0" w:color="auto"/>
            </w:tcBorders>
            <w:shd w:val="clear" w:color="auto" w:fill="auto"/>
            <w:vAlign w:val="center"/>
            <w:hideMark/>
          </w:tcPr>
          <w:p w14:paraId="7EAC719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Vlerësimin, ruajtjen, mbrojtjen, restaurimin, konservimin e integruar dhe administrimin e trashëgimisë kulturore dhe peisazhit të zonës arkeologjike “A” dhe “B” të qytetit të Lezhës, mbështetur në ligjin Nr. 27/2018 "Për trashëgiminë kulturore dhe Muzetë". Gjithashtu, ky projektvendim synon përcaktimin e rregullave, procedurave dhe autoriteteve shtetërore përgjegjëse për vlerësimin, ruajtjen, mbrojtjen, dhe administrimin e pasurisë dhe vlerave të trashëgimisë kulturore të zonës arkeologjike “A” dhe “B” të qytetit të Lezhës, në përputhje me zhvillimet e ndodhura përgjatë këtyre viteve, dhe kërkesave për rikualifikime urbane si dhe rikonstruksione të strukturave ekzistuese që mund të rrezikohen nga faktorë të ndryshëm. </w:t>
            </w:r>
          </w:p>
        </w:tc>
        <w:tc>
          <w:tcPr>
            <w:tcW w:w="899" w:type="dxa"/>
            <w:tcBorders>
              <w:top w:val="nil"/>
              <w:left w:val="nil"/>
              <w:bottom w:val="single" w:sz="4" w:space="0" w:color="auto"/>
              <w:right w:val="single" w:sz="4" w:space="0" w:color="auto"/>
            </w:tcBorders>
            <w:shd w:val="clear" w:color="auto" w:fill="auto"/>
            <w:vAlign w:val="center"/>
            <w:hideMark/>
          </w:tcPr>
          <w:p w14:paraId="388D905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29E7D46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3DCBD84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5035988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03CE4" w:rsidRPr="00727111" w14:paraId="0D029629"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5097415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3</w:t>
            </w:r>
          </w:p>
        </w:tc>
        <w:tc>
          <w:tcPr>
            <w:tcW w:w="1235" w:type="dxa"/>
            <w:tcBorders>
              <w:top w:val="nil"/>
              <w:left w:val="nil"/>
              <w:bottom w:val="single" w:sz="4" w:space="0" w:color="auto"/>
              <w:right w:val="single" w:sz="4" w:space="0" w:color="auto"/>
            </w:tcBorders>
            <w:shd w:val="clear" w:color="000000" w:fill="FFFFFF"/>
            <w:vAlign w:val="center"/>
            <w:hideMark/>
          </w:tcPr>
          <w:p w14:paraId="55B3B09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deklarimin pasuri kulturore e paluajtshme e zonave arkeologjike “A” dhe “B” të qytetit të Krujës dhe miratimin e zonimit e të planit për ruajtjen, mbrojtjen dhe administrimin e tyre </w:t>
            </w:r>
          </w:p>
        </w:tc>
        <w:tc>
          <w:tcPr>
            <w:tcW w:w="923" w:type="dxa"/>
            <w:tcBorders>
              <w:top w:val="nil"/>
              <w:left w:val="nil"/>
              <w:bottom w:val="single" w:sz="4" w:space="0" w:color="auto"/>
              <w:right w:val="single" w:sz="4" w:space="0" w:color="auto"/>
            </w:tcBorders>
            <w:shd w:val="clear" w:color="auto" w:fill="auto"/>
            <w:vAlign w:val="center"/>
            <w:hideMark/>
          </w:tcPr>
          <w:p w14:paraId="6989FA26"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6D4E829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77F474D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332" w:type="dxa"/>
            <w:tcBorders>
              <w:top w:val="nil"/>
              <w:left w:val="nil"/>
              <w:bottom w:val="single" w:sz="4" w:space="0" w:color="auto"/>
              <w:right w:val="single" w:sz="4" w:space="0" w:color="auto"/>
            </w:tcBorders>
            <w:shd w:val="clear" w:color="auto" w:fill="auto"/>
            <w:vAlign w:val="center"/>
            <w:hideMark/>
          </w:tcPr>
          <w:p w14:paraId="7833D09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Shkronja “a” dhe ç të pikës 3, të nenit 9, dhe të nënparagrafit “iv”, të shkronjës “b”, të pikës 3, të nenit 53, të ligjit nr. 27/2018, “Për trashëgiminë kulturore dhe muzetë”, </w:t>
            </w:r>
          </w:p>
        </w:tc>
        <w:tc>
          <w:tcPr>
            <w:tcW w:w="2406" w:type="dxa"/>
            <w:tcBorders>
              <w:top w:val="nil"/>
              <w:left w:val="nil"/>
              <w:bottom w:val="single" w:sz="4" w:space="0" w:color="auto"/>
              <w:right w:val="single" w:sz="4" w:space="0" w:color="auto"/>
            </w:tcBorders>
            <w:shd w:val="clear" w:color="auto" w:fill="auto"/>
            <w:vAlign w:val="center"/>
            <w:hideMark/>
          </w:tcPr>
          <w:p w14:paraId="76D64BB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Vlerësimin, ruajtjen, mbrojtjen, restaurimin, konservimin e integruar dhe administrimin e trashëgimisë kulturore dhe peisazhit të zonës arkeologjike “A” dhe “B” të qytetit të Krujës, mbështetur në ligjin Nr. 27/2018 "Për trashëgiminë kulturore dhe Muzetë". Gjithashtu, ky projektvendim synon përcaktimin e rregullave, procedurave dhe autoriteteve shtetërore përgjegjëse për vlerësimin, ruajtjen, mbrojtjen, dhe administrimin e pasurisë dhe vlerave të trashëgimisë kulturore të zonës arkeologjike “A” dhe “B” të qytetit të Krujës, në përputhje me zhvillimet e ndodhura përgjatë këtyre viteve, dhe kërkesave për rikualifikime urbane si dhe rikonstruksione të strukturave ekzistuese që mund të rrezikohen nga faktorë të ndryshëm. </w:t>
            </w:r>
          </w:p>
        </w:tc>
        <w:tc>
          <w:tcPr>
            <w:tcW w:w="899" w:type="dxa"/>
            <w:tcBorders>
              <w:top w:val="nil"/>
              <w:left w:val="nil"/>
              <w:bottom w:val="single" w:sz="4" w:space="0" w:color="auto"/>
              <w:right w:val="single" w:sz="4" w:space="0" w:color="auto"/>
            </w:tcBorders>
            <w:shd w:val="clear" w:color="auto" w:fill="auto"/>
            <w:vAlign w:val="center"/>
            <w:hideMark/>
          </w:tcPr>
          <w:p w14:paraId="1624302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055845A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2675BAD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per Kulturen 2019-2025</w:t>
            </w:r>
          </w:p>
        </w:tc>
        <w:tc>
          <w:tcPr>
            <w:tcW w:w="975" w:type="dxa"/>
            <w:tcBorders>
              <w:top w:val="nil"/>
              <w:left w:val="nil"/>
              <w:bottom w:val="single" w:sz="4" w:space="0" w:color="auto"/>
              <w:right w:val="single" w:sz="4" w:space="0" w:color="auto"/>
            </w:tcBorders>
            <w:shd w:val="clear" w:color="auto" w:fill="auto"/>
            <w:vAlign w:val="center"/>
            <w:hideMark/>
          </w:tcPr>
          <w:p w14:paraId="0D8D9E6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03CE4" w:rsidRPr="00727111" w14:paraId="0D6FABD3"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374753F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4</w:t>
            </w:r>
          </w:p>
        </w:tc>
        <w:tc>
          <w:tcPr>
            <w:tcW w:w="1235" w:type="dxa"/>
            <w:tcBorders>
              <w:top w:val="nil"/>
              <w:left w:val="nil"/>
              <w:bottom w:val="single" w:sz="4" w:space="0" w:color="auto"/>
              <w:right w:val="single" w:sz="4" w:space="0" w:color="auto"/>
            </w:tcBorders>
            <w:shd w:val="clear" w:color="000000" w:fill="FFFFFF"/>
            <w:vAlign w:val="center"/>
            <w:hideMark/>
          </w:tcPr>
          <w:p w14:paraId="466D5052"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Për deklarimin pasuri kulturore e paluajtshme të ansamblit historik urban/qendër historike e fshatit Rabdisht, Peshkopi dhe miratimin e zonimit e të planit për ruajtjen, mbrojtjen dhe administrimin e tyre</w:t>
            </w:r>
          </w:p>
        </w:tc>
        <w:tc>
          <w:tcPr>
            <w:tcW w:w="923" w:type="dxa"/>
            <w:tcBorders>
              <w:top w:val="nil"/>
              <w:left w:val="nil"/>
              <w:bottom w:val="single" w:sz="4" w:space="0" w:color="auto"/>
              <w:right w:val="single" w:sz="4" w:space="0" w:color="auto"/>
            </w:tcBorders>
            <w:shd w:val="clear" w:color="auto" w:fill="auto"/>
            <w:vAlign w:val="center"/>
            <w:hideMark/>
          </w:tcPr>
          <w:p w14:paraId="6AAF43F6"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60CF1CF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04971F7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332" w:type="dxa"/>
            <w:tcBorders>
              <w:top w:val="nil"/>
              <w:left w:val="nil"/>
              <w:bottom w:val="single" w:sz="4" w:space="0" w:color="auto"/>
              <w:right w:val="single" w:sz="4" w:space="0" w:color="auto"/>
            </w:tcBorders>
            <w:shd w:val="clear" w:color="auto" w:fill="auto"/>
            <w:vAlign w:val="center"/>
            <w:hideMark/>
          </w:tcPr>
          <w:p w14:paraId="349E51F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Shkronja “a” dhe ç të pikës 3, të nenit 9, dhe të nënparagrafit “iv”, të shkronjës “b”, të pikës 3, të nenit 53, të ligjit nr. 27/2018, “Për trashëgiminë kulturore dhe muzetë”, </w:t>
            </w:r>
          </w:p>
        </w:tc>
        <w:tc>
          <w:tcPr>
            <w:tcW w:w="2406" w:type="dxa"/>
            <w:tcBorders>
              <w:top w:val="nil"/>
              <w:left w:val="nil"/>
              <w:bottom w:val="single" w:sz="4" w:space="0" w:color="auto"/>
              <w:right w:val="single" w:sz="4" w:space="0" w:color="auto"/>
            </w:tcBorders>
            <w:shd w:val="clear" w:color="auto" w:fill="auto"/>
            <w:vAlign w:val="center"/>
            <w:hideMark/>
          </w:tcPr>
          <w:p w14:paraId="38BAA29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Deklarimin pasuri kulturore e paluajtshme të ansamblit historik urban/qendër historike të fshatit Rabdisht, Peshkopi.Gjithashtu, ky projektvendim synon përcaktimin e rregullave, procedurave dhe autoriteteve shtetërore përgjegjëse për vlerësimin, ruajtjen, mbrojtjen, dhe administrimin e pasurisë dhe vlerave të trashëgimisë kulturore të ansamblit historik urban/qendër historike</w:t>
            </w:r>
          </w:p>
        </w:tc>
        <w:tc>
          <w:tcPr>
            <w:tcW w:w="899" w:type="dxa"/>
            <w:tcBorders>
              <w:top w:val="nil"/>
              <w:left w:val="nil"/>
              <w:bottom w:val="single" w:sz="4" w:space="0" w:color="auto"/>
              <w:right w:val="single" w:sz="4" w:space="0" w:color="auto"/>
            </w:tcBorders>
            <w:shd w:val="clear" w:color="auto" w:fill="auto"/>
            <w:vAlign w:val="center"/>
            <w:hideMark/>
          </w:tcPr>
          <w:p w14:paraId="6AFBF6A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5F3284A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301759E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per Kulturen 2019-2025</w:t>
            </w:r>
          </w:p>
        </w:tc>
        <w:tc>
          <w:tcPr>
            <w:tcW w:w="975" w:type="dxa"/>
            <w:tcBorders>
              <w:top w:val="nil"/>
              <w:left w:val="nil"/>
              <w:bottom w:val="single" w:sz="4" w:space="0" w:color="auto"/>
              <w:right w:val="single" w:sz="4" w:space="0" w:color="auto"/>
            </w:tcBorders>
            <w:shd w:val="clear" w:color="auto" w:fill="auto"/>
            <w:vAlign w:val="center"/>
            <w:hideMark/>
          </w:tcPr>
          <w:p w14:paraId="0AE1A47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03CE4" w:rsidRPr="00727111" w14:paraId="218763C1"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101F666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5</w:t>
            </w:r>
          </w:p>
        </w:tc>
        <w:tc>
          <w:tcPr>
            <w:tcW w:w="1235" w:type="dxa"/>
            <w:tcBorders>
              <w:top w:val="nil"/>
              <w:left w:val="nil"/>
              <w:bottom w:val="single" w:sz="4" w:space="0" w:color="auto"/>
              <w:right w:val="single" w:sz="4" w:space="0" w:color="auto"/>
            </w:tcBorders>
            <w:shd w:val="clear" w:color="000000" w:fill="FFFFFF"/>
            <w:vAlign w:val="center"/>
            <w:hideMark/>
          </w:tcPr>
          <w:p w14:paraId="1FA8C328"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Për deklarimin pasuri kulturore e paluajtshme të ansamblit historik urban ne qytetin e Peshkopise dhe miratimin e zonimit e të planit për ruajtjen, mbrojtjen dhe administrimin e tyre</w:t>
            </w:r>
          </w:p>
        </w:tc>
        <w:tc>
          <w:tcPr>
            <w:tcW w:w="923" w:type="dxa"/>
            <w:tcBorders>
              <w:top w:val="nil"/>
              <w:left w:val="nil"/>
              <w:bottom w:val="single" w:sz="4" w:space="0" w:color="auto"/>
              <w:right w:val="single" w:sz="4" w:space="0" w:color="auto"/>
            </w:tcBorders>
            <w:shd w:val="clear" w:color="auto" w:fill="auto"/>
            <w:vAlign w:val="center"/>
            <w:hideMark/>
          </w:tcPr>
          <w:p w14:paraId="2853966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29BE6C4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094BA3E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332" w:type="dxa"/>
            <w:tcBorders>
              <w:top w:val="nil"/>
              <w:left w:val="nil"/>
              <w:bottom w:val="single" w:sz="4" w:space="0" w:color="auto"/>
              <w:right w:val="single" w:sz="4" w:space="0" w:color="auto"/>
            </w:tcBorders>
            <w:shd w:val="clear" w:color="auto" w:fill="auto"/>
            <w:vAlign w:val="center"/>
            <w:hideMark/>
          </w:tcPr>
          <w:p w14:paraId="35DA8CE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Nenit 9, pika 3, shkronjat “a” e “ç”, të ligjit nr. 27/2018, “Për trashëgiminë kulturore dhe muzetë”,</w:t>
            </w:r>
          </w:p>
        </w:tc>
        <w:tc>
          <w:tcPr>
            <w:tcW w:w="2406" w:type="dxa"/>
            <w:tcBorders>
              <w:top w:val="nil"/>
              <w:left w:val="nil"/>
              <w:bottom w:val="single" w:sz="4" w:space="0" w:color="auto"/>
              <w:right w:val="single" w:sz="4" w:space="0" w:color="auto"/>
            </w:tcBorders>
            <w:shd w:val="clear" w:color="auto" w:fill="auto"/>
            <w:vAlign w:val="center"/>
            <w:hideMark/>
          </w:tcPr>
          <w:p w14:paraId="1C5D8E6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Deklarimin pasuri kulturore e paluajtshme të ansamblit historik urban/qendër historike Peshkopi.Gjithashtu, ky projektvendim synon përcaktimin e rregullave, procedurave dhe autoriteteve shtetërore përgjegjëse për vlerësimin, ruajtjen, mbrojtjen, dhe administrimin e pasurisë dhe vlerave të trashëgimisë kulturore të ansamblit historik urban/qendër historike</w:t>
            </w:r>
          </w:p>
        </w:tc>
        <w:tc>
          <w:tcPr>
            <w:tcW w:w="899" w:type="dxa"/>
            <w:tcBorders>
              <w:top w:val="nil"/>
              <w:left w:val="nil"/>
              <w:bottom w:val="single" w:sz="4" w:space="0" w:color="auto"/>
              <w:right w:val="single" w:sz="4" w:space="0" w:color="auto"/>
            </w:tcBorders>
            <w:shd w:val="clear" w:color="auto" w:fill="auto"/>
            <w:vAlign w:val="center"/>
            <w:hideMark/>
          </w:tcPr>
          <w:p w14:paraId="4C2C0C1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50D9651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3F07F1C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per Kulturen 2019-2025</w:t>
            </w:r>
          </w:p>
        </w:tc>
        <w:tc>
          <w:tcPr>
            <w:tcW w:w="975" w:type="dxa"/>
            <w:tcBorders>
              <w:top w:val="nil"/>
              <w:left w:val="nil"/>
              <w:bottom w:val="single" w:sz="4" w:space="0" w:color="auto"/>
              <w:right w:val="single" w:sz="4" w:space="0" w:color="auto"/>
            </w:tcBorders>
            <w:shd w:val="clear" w:color="auto" w:fill="auto"/>
            <w:vAlign w:val="center"/>
            <w:hideMark/>
          </w:tcPr>
          <w:p w14:paraId="2ED44C7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03CE4" w:rsidRPr="00727111" w14:paraId="415CEA7F"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620A9EC1"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6</w:t>
            </w:r>
          </w:p>
        </w:tc>
        <w:tc>
          <w:tcPr>
            <w:tcW w:w="1235" w:type="dxa"/>
            <w:tcBorders>
              <w:top w:val="nil"/>
              <w:left w:val="nil"/>
              <w:bottom w:val="single" w:sz="4" w:space="0" w:color="auto"/>
              <w:right w:val="single" w:sz="4" w:space="0" w:color="auto"/>
            </w:tcBorders>
            <w:shd w:val="clear" w:color="000000" w:fill="FFFFFF"/>
            <w:vAlign w:val="center"/>
            <w:hideMark/>
          </w:tcPr>
          <w:p w14:paraId="4C79426E"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"Për indeksimin e pensioneve".</w:t>
            </w:r>
          </w:p>
        </w:tc>
        <w:tc>
          <w:tcPr>
            <w:tcW w:w="923" w:type="dxa"/>
            <w:tcBorders>
              <w:top w:val="nil"/>
              <w:left w:val="nil"/>
              <w:bottom w:val="single" w:sz="4" w:space="0" w:color="auto"/>
              <w:right w:val="single" w:sz="4" w:space="0" w:color="auto"/>
            </w:tcBorders>
            <w:shd w:val="clear" w:color="auto" w:fill="auto"/>
            <w:vAlign w:val="center"/>
            <w:hideMark/>
          </w:tcPr>
          <w:p w14:paraId="62F65A8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1FFB4AA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000000" w:fill="FFFFFF"/>
            <w:vAlign w:val="center"/>
            <w:hideMark/>
          </w:tcPr>
          <w:p w14:paraId="066BB433"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332" w:type="dxa"/>
            <w:tcBorders>
              <w:top w:val="nil"/>
              <w:left w:val="nil"/>
              <w:bottom w:val="single" w:sz="4" w:space="0" w:color="auto"/>
              <w:right w:val="single" w:sz="4" w:space="0" w:color="auto"/>
            </w:tcBorders>
            <w:shd w:val="clear" w:color="auto" w:fill="auto"/>
            <w:vAlign w:val="center"/>
            <w:hideMark/>
          </w:tcPr>
          <w:p w14:paraId="6CECBF9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Neneve 61 e 88 të ligjit nr. 7703, datë 11.5.1993, “Për sigurimet shoqërore në Republikën e Shqipërisë”, të ndryshuar</w:t>
            </w:r>
          </w:p>
        </w:tc>
        <w:tc>
          <w:tcPr>
            <w:tcW w:w="2406" w:type="dxa"/>
            <w:tcBorders>
              <w:top w:val="nil"/>
              <w:left w:val="nil"/>
              <w:bottom w:val="single" w:sz="4" w:space="0" w:color="auto"/>
              <w:right w:val="single" w:sz="4" w:space="0" w:color="auto"/>
            </w:tcBorders>
            <w:shd w:val="clear" w:color="auto" w:fill="auto"/>
            <w:vAlign w:val="center"/>
            <w:hideMark/>
          </w:tcPr>
          <w:p w14:paraId="517F3DD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Indeksimi i pensioneve sipas këtij projektvendimi ka për qëllim që të mbajë në nivel real masën e pensioneve dhe përfitimeve të tjera sociale duke i përshtatur me efektet e rritjes së indeksit të çmimeve të mallrave të konsumit për shportën e pensionistëve.</w:t>
            </w:r>
          </w:p>
        </w:tc>
        <w:tc>
          <w:tcPr>
            <w:tcW w:w="899" w:type="dxa"/>
            <w:tcBorders>
              <w:top w:val="nil"/>
              <w:left w:val="nil"/>
              <w:bottom w:val="single" w:sz="4" w:space="0" w:color="auto"/>
              <w:right w:val="single" w:sz="4" w:space="0" w:color="auto"/>
            </w:tcBorders>
            <w:shd w:val="clear" w:color="000000" w:fill="FFFFFF"/>
            <w:vAlign w:val="center"/>
            <w:hideMark/>
          </w:tcPr>
          <w:p w14:paraId="1973C19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Kapitulli 19 "Politikat sociale dhe të punësimit"</w:t>
            </w:r>
          </w:p>
        </w:tc>
        <w:tc>
          <w:tcPr>
            <w:tcW w:w="1122" w:type="dxa"/>
            <w:tcBorders>
              <w:top w:val="nil"/>
              <w:left w:val="nil"/>
              <w:bottom w:val="single" w:sz="4" w:space="0" w:color="auto"/>
              <w:right w:val="single" w:sz="4" w:space="0" w:color="auto"/>
            </w:tcBorders>
            <w:shd w:val="clear" w:color="auto" w:fill="auto"/>
            <w:vAlign w:val="center"/>
            <w:hideMark/>
          </w:tcPr>
          <w:p w14:paraId="08D5791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Shtylla "Familja"; Fusha "Kujdesi për të moshuarit dhe qytetarët më në nevojë"</w:t>
            </w:r>
          </w:p>
        </w:tc>
        <w:tc>
          <w:tcPr>
            <w:tcW w:w="976" w:type="dxa"/>
            <w:tcBorders>
              <w:top w:val="nil"/>
              <w:left w:val="nil"/>
              <w:bottom w:val="single" w:sz="4" w:space="0" w:color="auto"/>
              <w:right w:val="single" w:sz="4" w:space="0" w:color="auto"/>
            </w:tcBorders>
            <w:shd w:val="clear" w:color="auto" w:fill="auto"/>
            <w:vAlign w:val="center"/>
            <w:hideMark/>
          </w:tcPr>
          <w:p w14:paraId="0093680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3209E9D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financiare  ekonomike </w:t>
            </w:r>
          </w:p>
        </w:tc>
      </w:tr>
      <w:tr w:rsidR="00B03CE4" w:rsidRPr="00727111" w14:paraId="4DA5DD18"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249CE61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7</w:t>
            </w:r>
          </w:p>
        </w:tc>
        <w:tc>
          <w:tcPr>
            <w:tcW w:w="1235" w:type="dxa"/>
            <w:tcBorders>
              <w:top w:val="nil"/>
              <w:left w:val="nil"/>
              <w:bottom w:val="nil"/>
              <w:right w:val="nil"/>
            </w:tcBorders>
            <w:shd w:val="clear" w:color="auto" w:fill="auto"/>
            <w:vAlign w:val="center"/>
            <w:hideMark/>
          </w:tcPr>
          <w:p w14:paraId="3234ABC5"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 xml:space="preserve"> “Për përcaktimin e organizatave të punëdhënësve dhe të punëmarrësve në Këshillin Kombëtar të Punës”</w:t>
            </w:r>
          </w:p>
        </w:tc>
        <w:tc>
          <w:tcPr>
            <w:tcW w:w="923" w:type="dxa"/>
            <w:tcBorders>
              <w:top w:val="nil"/>
              <w:left w:val="single" w:sz="4" w:space="0" w:color="auto"/>
              <w:bottom w:val="single" w:sz="4" w:space="0" w:color="auto"/>
              <w:right w:val="single" w:sz="4" w:space="0" w:color="auto"/>
            </w:tcBorders>
            <w:shd w:val="clear" w:color="auto" w:fill="auto"/>
            <w:vAlign w:val="center"/>
            <w:hideMark/>
          </w:tcPr>
          <w:p w14:paraId="29AE781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2542B85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000000" w:fill="FFFFFF"/>
            <w:vAlign w:val="center"/>
            <w:hideMark/>
          </w:tcPr>
          <w:p w14:paraId="0BA5D5B8"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332" w:type="dxa"/>
            <w:tcBorders>
              <w:top w:val="nil"/>
              <w:left w:val="nil"/>
              <w:bottom w:val="single" w:sz="4" w:space="0" w:color="auto"/>
              <w:right w:val="single" w:sz="4" w:space="0" w:color="auto"/>
            </w:tcBorders>
            <w:shd w:val="clear" w:color="auto" w:fill="auto"/>
            <w:vAlign w:val="center"/>
            <w:hideMark/>
          </w:tcPr>
          <w:p w14:paraId="7404A29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Pikës 5, të nenit 200, të ligjit nr. 7961, datë 12.7.1995, “Kodi  i  Punës  i  Republikës  së  Shqipërisë”,  të  ndryshuar</w:t>
            </w:r>
          </w:p>
        </w:tc>
        <w:tc>
          <w:tcPr>
            <w:tcW w:w="2406" w:type="dxa"/>
            <w:tcBorders>
              <w:top w:val="nil"/>
              <w:left w:val="nil"/>
              <w:bottom w:val="single" w:sz="4" w:space="0" w:color="auto"/>
              <w:right w:val="single" w:sz="4" w:space="0" w:color="auto"/>
            </w:tcBorders>
            <w:shd w:val="clear" w:color="auto" w:fill="auto"/>
            <w:vAlign w:val="center"/>
            <w:hideMark/>
          </w:tcPr>
          <w:p w14:paraId="70DEAE9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Me mbarimin e mandatiti te Këshillit Kombëtar të Punës 2022-2025 (çdo 3 vjet) dhe në kuadër të rikompozimit të KKP-se per vitin 2025 do te hartohet dhe miratohet projektvendimini  “Për përcaktimin e organizatave të punëdhënësve dhe të punëmarrësve në Këshillin Kombëtar të Punës”, brenda 6-mujorit te pare 2025.</w:t>
            </w:r>
          </w:p>
        </w:tc>
        <w:tc>
          <w:tcPr>
            <w:tcW w:w="899" w:type="dxa"/>
            <w:tcBorders>
              <w:top w:val="nil"/>
              <w:left w:val="nil"/>
              <w:bottom w:val="single" w:sz="4" w:space="0" w:color="auto"/>
              <w:right w:val="single" w:sz="4" w:space="0" w:color="auto"/>
            </w:tcBorders>
            <w:shd w:val="clear" w:color="auto" w:fill="auto"/>
            <w:vAlign w:val="center"/>
            <w:hideMark/>
          </w:tcPr>
          <w:p w14:paraId="29DD673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2DCDB36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4767302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5CAF56E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financiare  ekonomike </w:t>
            </w:r>
          </w:p>
        </w:tc>
      </w:tr>
      <w:tr w:rsidR="00B03CE4" w:rsidRPr="00727111" w14:paraId="414FB2EE"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6F1FC14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8</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14:paraId="3045A4C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 përcaktimin e institucioneve përgjegjëse, procedurave të  miratimit dhe dokumentacioni që duhet të plotësojne familjet që përfitojnë kredi me interes të barabartë me 0% të subvencionuar nga buxheti i shtetit nëpërmjet Entit Kombëtar të Banesave”</w:t>
            </w:r>
          </w:p>
        </w:tc>
        <w:tc>
          <w:tcPr>
            <w:tcW w:w="923" w:type="dxa"/>
            <w:tcBorders>
              <w:top w:val="nil"/>
              <w:left w:val="nil"/>
              <w:bottom w:val="single" w:sz="4" w:space="0" w:color="auto"/>
              <w:right w:val="single" w:sz="4" w:space="0" w:color="auto"/>
            </w:tcBorders>
            <w:shd w:val="clear" w:color="auto" w:fill="auto"/>
            <w:vAlign w:val="center"/>
            <w:hideMark/>
          </w:tcPr>
          <w:p w14:paraId="7ACFD2F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11DE2C8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000000" w:fill="FFFFFF"/>
            <w:vAlign w:val="center"/>
            <w:hideMark/>
          </w:tcPr>
          <w:p w14:paraId="135FBB6C"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332" w:type="dxa"/>
            <w:tcBorders>
              <w:top w:val="nil"/>
              <w:left w:val="nil"/>
              <w:bottom w:val="single" w:sz="4" w:space="0" w:color="auto"/>
              <w:right w:val="single" w:sz="4" w:space="0" w:color="auto"/>
            </w:tcBorders>
            <w:shd w:val="clear" w:color="auto" w:fill="auto"/>
            <w:vAlign w:val="center"/>
            <w:hideMark/>
          </w:tcPr>
          <w:p w14:paraId="5AA5D96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Neni 47/1 i ligjit nr.22/2018 "Për strehimin social", i ndryshuar </w:t>
            </w:r>
          </w:p>
        </w:tc>
        <w:tc>
          <w:tcPr>
            <w:tcW w:w="2406" w:type="dxa"/>
            <w:tcBorders>
              <w:top w:val="nil"/>
              <w:left w:val="nil"/>
              <w:bottom w:val="single" w:sz="4" w:space="0" w:color="auto"/>
              <w:right w:val="single" w:sz="4" w:space="0" w:color="auto"/>
            </w:tcBorders>
            <w:shd w:val="clear" w:color="auto" w:fill="auto"/>
            <w:vAlign w:val="center"/>
            <w:hideMark/>
          </w:tcPr>
          <w:p w14:paraId="2793177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Përfitimi i kredisë me interes të barabartë me zero, të subvencionuar nga Buxheti i Shtetit nëpërmjet Entit Kombëtar të Banesave, për kategoritë: a) familjet që banojnë si qiramarrës në ish-pronë private, sipas aktit normativ nr. 3, datë 1.3.2012, tëKëshillit të Ministrave “Për lirimin e banesave pronarëve të ligjshëm nga qytetarët e pastrehë, banuesnë banesat ish-pronë e subjekteve të shpronësuara”, të miratuar me ligjin nr. 82/2012;b) familjet e punonjësve të Policisë së Shtetit të rënë në detyrë;c) fëmijët në përkujdesje të Republikës.</w:t>
            </w:r>
          </w:p>
        </w:tc>
        <w:tc>
          <w:tcPr>
            <w:tcW w:w="899" w:type="dxa"/>
            <w:tcBorders>
              <w:top w:val="nil"/>
              <w:left w:val="nil"/>
              <w:bottom w:val="single" w:sz="4" w:space="0" w:color="auto"/>
              <w:right w:val="single" w:sz="4" w:space="0" w:color="auto"/>
            </w:tcBorders>
            <w:shd w:val="clear" w:color="auto" w:fill="auto"/>
            <w:vAlign w:val="center"/>
            <w:hideMark/>
          </w:tcPr>
          <w:p w14:paraId="50F82D8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5BF6C90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258B654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6FB9ADD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financiare  ekonomike </w:t>
            </w:r>
          </w:p>
        </w:tc>
      </w:tr>
      <w:tr w:rsidR="00B03CE4" w:rsidRPr="00727111" w14:paraId="29EFD3F6"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29901E6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9</w:t>
            </w:r>
          </w:p>
        </w:tc>
        <w:tc>
          <w:tcPr>
            <w:tcW w:w="1235" w:type="dxa"/>
            <w:tcBorders>
              <w:top w:val="nil"/>
              <w:left w:val="nil"/>
              <w:bottom w:val="single" w:sz="4" w:space="0" w:color="auto"/>
              <w:right w:val="single" w:sz="4" w:space="0" w:color="auto"/>
            </w:tcBorders>
            <w:shd w:val="clear" w:color="000000" w:fill="FFFFFF"/>
            <w:vAlign w:val="center"/>
            <w:hideMark/>
          </w:tcPr>
          <w:p w14:paraId="18EBAD10"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Për deklarimin pasuri kulturore e paluajtshme të ansamblit historik urban  të Konispolit  dhe miratimin e zonimit e të planit për ruajtjen, mbrojtjen dhe administrimin e tyre</w:t>
            </w:r>
          </w:p>
        </w:tc>
        <w:tc>
          <w:tcPr>
            <w:tcW w:w="923" w:type="dxa"/>
            <w:tcBorders>
              <w:top w:val="nil"/>
              <w:left w:val="nil"/>
              <w:bottom w:val="single" w:sz="4" w:space="0" w:color="auto"/>
              <w:right w:val="single" w:sz="4" w:space="0" w:color="auto"/>
            </w:tcBorders>
            <w:shd w:val="clear" w:color="auto" w:fill="auto"/>
            <w:vAlign w:val="center"/>
            <w:hideMark/>
          </w:tcPr>
          <w:p w14:paraId="245B0F8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546EE01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000000" w:fill="FFFFFF"/>
            <w:vAlign w:val="center"/>
            <w:hideMark/>
          </w:tcPr>
          <w:p w14:paraId="3C98BC56"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332" w:type="dxa"/>
            <w:tcBorders>
              <w:top w:val="nil"/>
              <w:left w:val="nil"/>
              <w:bottom w:val="single" w:sz="4" w:space="0" w:color="auto"/>
              <w:right w:val="single" w:sz="4" w:space="0" w:color="auto"/>
            </w:tcBorders>
            <w:shd w:val="clear" w:color="auto" w:fill="auto"/>
            <w:vAlign w:val="center"/>
            <w:hideMark/>
          </w:tcPr>
          <w:p w14:paraId="4A7DF62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Neni 9, pika 3, shkronjat “a” e “ç”, të ligjit nr. 27/2018, “Për trashëgiminë kulturore dhe muzetë”,</w:t>
            </w:r>
          </w:p>
        </w:tc>
        <w:tc>
          <w:tcPr>
            <w:tcW w:w="2406" w:type="dxa"/>
            <w:tcBorders>
              <w:top w:val="nil"/>
              <w:left w:val="nil"/>
              <w:bottom w:val="single" w:sz="4" w:space="0" w:color="auto"/>
              <w:right w:val="single" w:sz="4" w:space="0" w:color="auto"/>
            </w:tcBorders>
            <w:shd w:val="clear" w:color="auto" w:fill="auto"/>
            <w:vAlign w:val="center"/>
            <w:hideMark/>
          </w:tcPr>
          <w:p w14:paraId="5D57FD0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Deklarimin pasuri kulturore e paluajtshme të ansamblit historik urban/qendër historike Konispol.Gjithashtu, ky projektvendim synon përcaktimin e rregullave, procedurave dhe autoriteteve shtetërore përgjegjëse për vlerësimin, ruajtjen, mbrojtjen, dhe administrimin e pasurisë dhe vlerave të trashëgimisë kulturore të ansamblit historik urban/qendër historike</w:t>
            </w:r>
          </w:p>
        </w:tc>
        <w:tc>
          <w:tcPr>
            <w:tcW w:w="899" w:type="dxa"/>
            <w:tcBorders>
              <w:top w:val="nil"/>
              <w:left w:val="nil"/>
              <w:bottom w:val="single" w:sz="4" w:space="0" w:color="auto"/>
              <w:right w:val="single" w:sz="4" w:space="0" w:color="auto"/>
            </w:tcBorders>
            <w:shd w:val="clear" w:color="auto" w:fill="auto"/>
            <w:vAlign w:val="center"/>
            <w:hideMark/>
          </w:tcPr>
          <w:p w14:paraId="1392890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779F8DB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3F0C537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per Kulturen 2019-2025</w:t>
            </w:r>
          </w:p>
        </w:tc>
        <w:tc>
          <w:tcPr>
            <w:tcW w:w="975" w:type="dxa"/>
            <w:tcBorders>
              <w:top w:val="nil"/>
              <w:left w:val="nil"/>
              <w:bottom w:val="single" w:sz="4" w:space="0" w:color="auto"/>
              <w:right w:val="single" w:sz="4" w:space="0" w:color="auto"/>
            </w:tcBorders>
            <w:shd w:val="clear" w:color="auto" w:fill="auto"/>
            <w:vAlign w:val="center"/>
            <w:hideMark/>
          </w:tcPr>
          <w:p w14:paraId="56EBAA4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03CE4" w:rsidRPr="00727111" w14:paraId="70317E76"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70A3555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10</w:t>
            </w:r>
          </w:p>
        </w:tc>
        <w:tc>
          <w:tcPr>
            <w:tcW w:w="1235" w:type="dxa"/>
            <w:tcBorders>
              <w:top w:val="nil"/>
              <w:left w:val="nil"/>
              <w:bottom w:val="single" w:sz="4" w:space="0" w:color="auto"/>
              <w:right w:val="single" w:sz="4" w:space="0" w:color="auto"/>
            </w:tcBorders>
            <w:shd w:val="clear" w:color="auto" w:fill="auto"/>
            <w:vAlign w:val="center"/>
            <w:hideMark/>
          </w:tcPr>
          <w:p w14:paraId="450EB83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disa shtesa dhe ndryshime në ligjin nr. 9901, datë 14.4.2008 “Për tregtarët dhe shoqëritë tregtare”, i ndryshuar </w:t>
            </w:r>
          </w:p>
        </w:tc>
        <w:tc>
          <w:tcPr>
            <w:tcW w:w="923" w:type="dxa"/>
            <w:tcBorders>
              <w:top w:val="nil"/>
              <w:left w:val="nil"/>
              <w:bottom w:val="single" w:sz="4" w:space="0" w:color="auto"/>
              <w:right w:val="single" w:sz="4" w:space="0" w:color="auto"/>
            </w:tcBorders>
            <w:shd w:val="clear" w:color="auto" w:fill="auto"/>
            <w:vAlign w:val="center"/>
            <w:hideMark/>
          </w:tcPr>
          <w:p w14:paraId="60BCD66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958" w:type="dxa"/>
            <w:tcBorders>
              <w:top w:val="nil"/>
              <w:left w:val="nil"/>
              <w:bottom w:val="single" w:sz="4" w:space="0" w:color="auto"/>
              <w:right w:val="single" w:sz="4" w:space="0" w:color="auto"/>
            </w:tcBorders>
            <w:shd w:val="clear" w:color="auto" w:fill="auto"/>
            <w:vAlign w:val="center"/>
            <w:hideMark/>
          </w:tcPr>
          <w:p w14:paraId="477982B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1B98456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000000" w:fill="FFFFFF"/>
            <w:vAlign w:val="center"/>
            <w:hideMark/>
          </w:tcPr>
          <w:p w14:paraId="3BAC411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Nenet  78  dhe  83,  pika  1,  të  Kushtetutës.Arsyeja e propozimit të projektaktit është përafrimi me disa direktiva të Bashkimit Europian </w:t>
            </w:r>
          </w:p>
        </w:tc>
        <w:tc>
          <w:tcPr>
            <w:tcW w:w="2406" w:type="dxa"/>
            <w:tcBorders>
              <w:top w:val="nil"/>
              <w:left w:val="nil"/>
              <w:bottom w:val="single" w:sz="4" w:space="0" w:color="auto"/>
              <w:right w:val="single" w:sz="4" w:space="0" w:color="auto"/>
            </w:tcBorders>
            <w:shd w:val="clear" w:color="auto" w:fill="auto"/>
            <w:vAlign w:val="center"/>
            <w:hideMark/>
          </w:tcPr>
          <w:p w14:paraId="5A4AB93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Të drejtat e aksionerëve, bashkimi dhe përthithja e shoqërive ndërkufitare. </w:t>
            </w:r>
          </w:p>
        </w:tc>
        <w:tc>
          <w:tcPr>
            <w:tcW w:w="899" w:type="dxa"/>
            <w:tcBorders>
              <w:top w:val="nil"/>
              <w:left w:val="nil"/>
              <w:bottom w:val="single" w:sz="4" w:space="0" w:color="auto"/>
              <w:right w:val="single" w:sz="4" w:space="0" w:color="auto"/>
            </w:tcBorders>
            <w:shd w:val="clear" w:color="auto" w:fill="auto"/>
            <w:vAlign w:val="center"/>
            <w:hideMark/>
          </w:tcPr>
          <w:p w14:paraId="7FAF8DD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Kapitulli 6 "Shoqëritë tregtare dhe raportimi financiar"</w:t>
            </w:r>
          </w:p>
        </w:tc>
        <w:tc>
          <w:tcPr>
            <w:tcW w:w="1122" w:type="dxa"/>
            <w:tcBorders>
              <w:top w:val="nil"/>
              <w:left w:val="nil"/>
              <w:bottom w:val="single" w:sz="4" w:space="0" w:color="auto"/>
              <w:right w:val="single" w:sz="4" w:space="0" w:color="auto"/>
            </w:tcBorders>
            <w:shd w:val="clear" w:color="auto" w:fill="auto"/>
            <w:vAlign w:val="center"/>
            <w:hideMark/>
          </w:tcPr>
          <w:p w14:paraId="0CE0CF9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27898C8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62E116B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ekonomik</w:t>
            </w:r>
          </w:p>
        </w:tc>
      </w:tr>
      <w:tr w:rsidR="00B03CE4" w:rsidRPr="00727111" w14:paraId="505D07A3"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35CD6B1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11</w:t>
            </w:r>
          </w:p>
        </w:tc>
        <w:tc>
          <w:tcPr>
            <w:tcW w:w="1235" w:type="dxa"/>
            <w:tcBorders>
              <w:top w:val="nil"/>
              <w:left w:val="nil"/>
              <w:bottom w:val="single" w:sz="4" w:space="0" w:color="auto"/>
              <w:right w:val="single" w:sz="4" w:space="0" w:color="auto"/>
            </w:tcBorders>
            <w:shd w:val="clear" w:color="auto" w:fill="auto"/>
            <w:vAlign w:val="center"/>
            <w:hideMark/>
          </w:tcPr>
          <w:p w14:paraId="2492B690"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“Për disa ndryshime dhe shtesa në ligjin nr. 66/2016 “Për shërbimet në Republikën e Shqipërisë”</w:t>
            </w:r>
          </w:p>
        </w:tc>
        <w:tc>
          <w:tcPr>
            <w:tcW w:w="923" w:type="dxa"/>
            <w:tcBorders>
              <w:top w:val="nil"/>
              <w:left w:val="nil"/>
              <w:bottom w:val="single" w:sz="4" w:space="0" w:color="auto"/>
              <w:right w:val="single" w:sz="4" w:space="0" w:color="auto"/>
            </w:tcBorders>
            <w:shd w:val="clear" w:color="auto" w:fill="auto"/>
            <w:vAlign w:val="center"/>
            <w:hideMark/>
          </w:tcPr>
          <w:p w14:paraId="2B727E4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Projektligj </w:t>
            </w:r>
          </w:p>
        </w:tc>
        <w:tc>
          <w:tcPr>
            <w:tcW w:w="1958" w:type="dxa"/>
            <w:tcBorders>
              <w:top w:val="nil"/>
              <w:left w:val="nil"/>
              <w:bottom w:val="single" w:sz="4" w:space="0" w:color="auto"/>
              <w:right w:val="single" w:sz="4" w:space="0" w:color="auto"/>
            </w:tcBorders>
            <w:shd w:val="clear" w:color="auto" w:fill="auto"/>
            <w:vAlign w:val="center"/>
            <w:hideMark/>
          </w:tcPr>
          <w:p w14:paraId="6263BDC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2773DCB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22E77AD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Nenet  78  dhe  83,  pika  1,  të  Kushtetutës. Arsyeja e propozimit të projektaktit është harmonizimi i mëtejshëm me Direktiven 2006/123/KE te Parlamentit Evropian dhe e Këshillit, datë 12 dhjetor 2006, “Për shërbimet në tregun e brendshëm” CELEX: 32006L0123, Fletorja Zyrtare e Bashkimit Evropian, Seria L 376, datë 27.12.2006</w:t>
            </w:r>
            <w:r w:rsidRPr="00727111">
              <w:rPr>
                <w:rFonts w:ascii="Garamond" w:hAnsi="Garamond"/>
                <w:color w:val="000000"/>
                <w:sz w:val="12"/>
                <w:szCs w:val="12"/>
                <w:lang w:eastAsia="sq-AL"/>
              </w:rPr>
              <w:br/>
              <w:t>Nevoja për përafrimin e plotë vjen si rezultat i mungesës së një serë parashikimesh të rëndësishme të domosdoshme në kuadër të lirisë së ofrimit të shërbimeve – si p.sh. shërbimet ndërkufitare, garancitë e përgjegjësisë profesionale, shërbimet mutlidisiplinore etj.</w:t>
            </w:r>
          </w:p>
        </w:tc>
        <w:tc>
          <w:tcPr>
            <w:tcW w:w="2406" w:type="dxa"/>
            <w:tcBorders>
              <w:top w:val="nil"/>
              <w:left w:val="nil"/>
              <w:bottom w:val="single" w:sz="4" w:space="0" w:color="auto"/>
              <w:right w:val="single" w:sz="4" w:space="0" w:color="auto"/>
            </w:tcBorders>
            <w:shd w:val="clear" w:color="auto" w:fill="auto"/>
            <w:vAlign w:val="center"/>
            <w:hideMark/>
          </w:tcPr>
          <w:p w14:paraId="2560C847" w14:textId="77777777" w:rsidR="00B03CE4" w:rsidRPr="00727111" w:rsidRDefault="00B03CE4" w:rsidP="00B03CE4">
            <w:pPr>
              <w:spacing w:after="240"/>
              <w:jc w:val="center"/>
              <w:rPr>
                <w:rFonts w:ascii="Garamond" w:hAnsi="Garamond"/>
                <w:sz w:val="12"/>
                <w:szCs w:val="12"/>
                <w:lang w:eastAsia="sq-AL"/>
              </w:rPr>
            </w:pPr>
            <w:r w:rsidRPr="00727111">
              <w:rPr>
                <w:rFonts w:ascii="Garamond" w:hAnsi="Garamond"/>
                <w:sz w:val="12"/>
                <w:szCs w:val="12"/>
                <w:lang w:eastAsia="sq-AL"/>
              </w:rPr>
              <w:t>Synohet përafrimi i ligjit nr. 66/2016 “Për shërbimet në Republikën e Shqipërisë” me direktivën 2006/123/KE të Parlamentit Evropian dhe të Këshillit, të datës 12 dhjetor 2006, “Për shërbimet në tregun e brendshëm” CELEX: 32006L0123,</w:t>
            </w:r>
          </w:p>
        </w:tc>
        <w:tc>
          <w:tcPr>
            <w:tcW w:w="899" w:type="dxa"/>
            <w:tcBorders>
              <w:top w:val="nil"/>
              <w:left w:val="nil"/>
              <w:bottom w:val="single" w:sz="4" w:space="0" w:color="auto"/>
              <w:right w:val="single" w:sz="4" w:space="0" w:color="auto"/>
            </w:tcBorders>
            <w:shd w:val="clear" w:color="auto" w:fill="auto"/>
            <w:vAlign w:val="center"/>
            <w:hideMark/>
          </w:tcPr>
          <w:p w14:paraId="0CEFFF6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Kapitulli 3 "Lëvizja e lirë e Sherbimeve"</w:t>
            </w:r>
          </w:p>
        </w:tc>
        <w:tc>
          <w:tcPr>
            <w:tcW w:w="1122" w:type="dxa"/>
            <w:tcBorders>
              <w:top w:val="nil"/>
              <w:left w:val="nil"/>
              <w:bottom w:val="single" w:sz="4" w:space="0" w:color="auto"/>
              <w:right w:val="single" w:sz="4" w:space="0" w:color="auto"/>
            </w:tcBorders>
            <w:shd w:val="clear" w:color="auto" w:fill="auto"/>
            <w:vAlign w:val="center"/>
            <w:hideMark/>
          </w:tcPr>
          <w:p w14:paraId="6E268B7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Shtylla "Shqipëri e fortë"; Fusha "Integrimi Evropian"</w:t>
            </w:r>
          </w:p>
        </w:tc>
        <w:tc>
          <w:tcPr>
            <w:tcW w:w="976" w:type="dxa"/>
            <w:tcBorders>
              <w:top w:val="nil"/>
              <w:left w:val="nil"/>
              <w:bottom w:val="single" w:sz="4" w:space="0" w:color="auto"/>
              <w:right w:val="single" w:sz="4" w:space="0" w:color="auto"/>
            </w:tcBorders>
            <w:shd w:val="clear" w:color="000000" w:fill="FFFFFF"/>
            <w:vAlign w:val="center"/>
            <w:hideMark/>
          </w:tcPr>
          <w:p w14:paraId="57C1BED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3EC2C06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ekonomike</w:t>
            </w:r>
            <w:r w:rsidRPr="00727111">
              <w:rPr>
                <w:rFonts w:ascii="Garamond" w:hAnsi="Garamond"/>
                <w:color w:val="000000"/>
                <w:sz w:val="12"/>
                <w:szCs w:val="12"/>
                <w:lang w:eastAsia="sq-AL"/>
              </w:rPr>
              <w:br/>
              <w:t>financiare</w:t>
            </w:r>
          </w:p>
        </w:tc>
      </w:tr>
      <w:tr w:rsidR="00B03CE4" w:rsidRPr="00727111" w14:paraId="10823BC0"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1BFAE39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12</w:t>
            </w:r>
          </w:p>
        </w:tc>
        <w:tc>
          <w:tcPr>
            <w:tcW w:w="1235" w:type="dxa"/>
            <w:tcBorders>
              <w:top w:val="nil"/>
              <w:left w:val="nil"/>
              <w:bottom w:val="single" w:sz="4" w:space="0" w:color="auto"/>
              <w:right w:val="single" w:sz="4" w:space="0" w:color="auto"/>
            </w:tcBorders>
            <w:shd w:val="clear" w:color="auto" w:fill="auto"/>
            <w:vAlign w:val="center"/>
            <w:hideMark/>
          </w:tcPr>
          <w:p w14:paraId="02F9D68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ligjin  nr. 35/2016 "Për të drejtat e autorit dhe të drejtat e tjera të lidhura me to", i ndryshuar</w:t>
            </w:r>
          </w:p>
        </w:tc>
        <w:tc>
          <w:tcPr>
            <w:tcW w:w="923" w:type="dxa"/>
            <w:tcBorders>
              <w:top w:val="nil"/>
              <w:left w:val="nil"/>
              <w:bottom w:val="single" w:sz="4" w:space="0" w:color="auto"/>
              <w:right w:val="single" w:sz="4" w:space="0" w:color="auto"/>
            </w:tcBorders>
            <w:shd w:val="clear" w:color="auto" w:fill="auto"/>
            <w:vAlign w:val="center"/>
            <w:hideMark/>
          </w:tcPr>
          <w:p w14:paraId="45A69A4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Projektligj </w:t>
            </w:r>
          </w:p>
        </w:tc>
        <w:tc>
          <w:tcPr>
            <w:tcW w:w="1958" w:type="dxa"/>
            <w:tcBorders>
              <w:top w:val="nil"/>
              <w:left w:val="nil"/>
              <w:bottom w:val="single" w:sz="4" w:space="0" w:color="auto"/>
              <w:right w:val="single" w:sz="4" w:space="0" w:color="auto"/>
            </w:tcBorders>
            <w:shd w:val="clear" w:color="auto" w:fill="auto"/>
            <w:vAlign w:val="center"/>
            <w:hideMark/>
          </w:tcPr>
          <w:p w14:paraId="2379955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0A62617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7B42545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Nenet  78  dhe  83,  pika  1,  të  Kushtetutës.A rsyeja e propozimit të projektaktit është harmonizimi i mëtejshëm me Direktivën 2014/26/ BE e Parlamentit Evropian dhe Këshillit, më datë 26 shkurt 2014, Direktivë 2019/790/BE e Parlamentit Evropian dhe Këshillit, më datë  17 prill 2019 dhe Direktivën 2019/789/BE e Parlamentit Evropian dhe Këshillit, më datë 17 prill 2019. </w:t>
            </w:r>
          </w:p>
        </w:tc>
        <w:tc>
          <w:tcPr>
            <w:tcW w:w="2406" w:type="dxa"/>
            <w:tcBorders>
              <w:top w:val="nil"/>
              <w:left w:val="nil"/>
              <w:bottom w:val="single" w:sz="4" w:space="0" w:color="auto"/>
              <w:right w:val="single" w:sz="4" w:space="0" w:color="auto"/>
            </w:tcBorders>
            <w:shd w:val="clear" w:color="auto" w:fill="auto"/>
            <w:vAlign w:val="center"/>
            <w:hideMark/>
          </w:tcPr>
          <w:p w14:paraId="3AAB8C31"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Projektligji “Për disa shtesa dhe ndryshime në ligjin nr. 35/2016 ‘Për të drejtat e autorit dhe të drejtat e tjera të lidhura me to’, të ndryshuar”, synon të shtojë, ndryshojë dhe përshtasë dispozitat e ligjit shqiptar për të drejtat e autorit me qëllim përafrimin me direktivat e Bashkimit Evropian si më poshtë: (a) Direktiva 2014/26/ BE e Parlamentit Evropian dhe Këshillit, më datë 26 shkurt 2014, “Për menaxhimin kolektiv të së drejtës së autorit dhe të drejtave të lidhura me të dhe autorizimi shumë territorial i të drejtave në veprat muzikore për përdorim në internet në tregun e brendshëm” (Titulli III);</w:t>
            </w:r>
            <w:r w:rsidRPr="00727111">
              <w:rPr>
                <w:rFonts w:ascii="Garamond" w:hAnsi="Garamond"/>
                <w:color w:val="000000"/>
                <w:sz w:val="12"/>
                <w:szCs w:val="12"/>
                <w:lang w:eastAsia="sq-AL"/>
              </w:rPr>
              <w:br/>
              <w:t>(b) Direktiva 2019/790/BE e Parlamentit Evropian dhe Këshillit, më datë  17 prill 2019 “Mbi të drejtën e autorit dhe të drejtat e lidhura me të në tregun unik digjital”;</w:t>
            </w:r>
            <w:r w:rsidRPr="00727111">
              <w:rPr>
                <w:rFonts w:ascii="Garamond" w:hAnsi="Garamond"/>
                <w:color w:val="000000"/>
                <w:sz w:val="12"/>
                <w:szCs w:val="12"/>
                <w:lang w:eastAsia="sq-AL"/>
              </w:rPr>
              <w:br/>
              <w:t>(c) Direktiva 2019/789/BE e Parlamentit Evropian dhe Këshillit, më datë 17 prill 2019 “Për përcaktimin e rregullave për ushtrimin e të drejtës së autorit dhe të drejtave të lidhura me to, të zbatueshme për disa transmetime online të organizatave transmetuese dhe ritransmetimet e programeve televizive dhe radiofonike, dhe ndryshimin e Direktivës së Këshillit 93/83/KEE”.</w:t>
            </w:r>
          </w:p>
        </w:tc>
        <w:tc>
          <w:tcPr>
            <w:tcW w:w="899" w:type="dxa"/>
            <w:tcBorders>
              <w:top w:val="nil"/>
              <w:left w:val="nil"/>
              <w:bottom w:val="single" w:sz="4" w:space="0" w:color="auto"/>
              <w:right w:val="single" w:sz="4" w:space="0" w:color="auto"/>
            </w:tcBorders>
            <w:shd w:val="clear" w:color="auto" w:fill="auto"/>
            <w:vAlign w:val="center"/>
            <w:hideMark/>
          </w:tcPr>
          <w:p w14:paraId="622DF8F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Kapitulli 7 "Pronësia intelektuale</w:t>
            </w:r>
          </w:p>
        </w:tc>
        <w:tc>
          <w:tcPr>
            <w:tcW w:w="1122" w:type="dxa"/>
            <w:tcBorders>
              <w:top w:val="nil"/>
              <w:left w:val="nil"/>
              <w:bottom w:val="single" w:sz="4" w:space="0" w:color="auto"/>
              <w:right w:val="single" w:sz="4" w:space="0" w:color="auto"/>
            </w:tcBorders>
            <w:shd w:val="clear" w:color="auto" w:fill="auto"/>
            <w:vAlign w:val="center"/>
            <w:hideMark/>
          </w:tcPr>
          <w:p w14:paraId="18B4C1F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69812CD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1BA127D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Sociale       Ekonomike Mjedisore </w:t>
            </w:r>
          </w:p>
        </w:tc>
      </w:tr>
      <w:tr w:rsidR="00B03CE4" w:rsidRPr="00727111" w14:paraId="534ECF51"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6F3AE3A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13</w:t>
            </w:r>
          </w:p>
        </w:tc>
        <w:tc>
          <w:tcPr>
            <w:tcW w:w="1235" w:type="dxa"/>
            <w:tcBorders>
              <w:top w:val="nil"/>
              <w:left w:val="nil"/>
              <w:bottom w:val="single" w:sz="4" w:space="0" w:color="auto"/>
              <w:right w:val="single" w:sz="4" w:space="0" w:color="auto"/>
            </w:tcBorders>
            <w:shd w:val="clear" w:color="auto" w:fill="auto"/>
            <w:vAlign w:val="center"/>
            <w:hideMark/>
          </w:tcPr>
          <w:p w14:paraId="413C72A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disa shtesa dhe ndryshime në ligjin nr. 10 489, datë 15.12.2011 “Për tregtimin dhe mbikëqyrjen e tregut të produkteve jo-ushqimore”, i ndryshuar</w:t>
            </w:r>
          </w:p>
        </w:tc>
        <w:tc>
          <w:tcPr>
            <w:tcW w:w="923" w:type="dxa"/>
            <w:tcBorders>
              <w:top w:val="nil"/>
              <w:left w:val="nil"/>
              <w:bottom w:val="single" w:sz="4" w:space="0" w:color="auto"/>
              <w:right w:val="single" w:sz="4" w:space="0" w:color="auto"/>
            </w:tcBorders>
            <w:shd w:val="clear" w:color="auto" w:fill="auto"/>
            <w:vAlign w:val="center"/>
            <w:hideMark/>
          </w:tcPr>
          <w:p w14:paraId="4706792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Projektligj </w:t>
            </w:r>
          </w:p>
        </w:tc>
        <w:tc>
          <w:tcPr>
            <w:tcW w:w="1958" w:type="dxa"/>
            <w:tcBorders>
              <w:top w:val="nil"/>
              <w:left w:val="nil"/>
              <w:bottom w:val="single" w:sz="4" w:space="0" w:color="auto"/>
              <w:right w:val="single" w:sz="4" w:space="0" w:color="auto"/>
            </w:tcBorders>
            <w:shd w:val="clear" w:color="auto" w:fill="auto"/>
            <w:vAlign w:val="center"/>
            <w:hideMark/>
          </w:tcPr>
          <w:p w14:paraId="5E62D83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110E546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hideMark/>
          </w:tcPr>
          <w:p w14:paraId="6DC9E99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Nenet  78  dhe  83,  pika  1,  të  Kushtetutës. Harmonizimi i mëtejshëm me Rregulloren (BE)2019/1020 për mbikëqyrjen e tregut dhe përputhshmërinë e produkteve, në kuadër të Kapitullit 1 të acquis – Lëvizja e lirë e mallrave. Detyrimi për të përafruar legjislacionin shqiptar me Kapitullin 1 të legjislacionit evropian buron nga Neni 70 dhe 75 i Marrëveshjes së Stabilizim Asociimit (MSA), ku përcaktohet se Shqipëria duhet të harmonizojë teknikisht legjislacionin e saj kombëtar me atë të Bashkimit Evropian (BE), por gjithashtu të sigurojë që ai të zbatohet dhe të vihet në praktikë.</w:t>
            </w:r>
          </w:p>
        </w:tc>
        <w:tc>
          <w:tcPr>
            <w:tcW w:w="2406" w:type="dxa"/>
            <w:tcBorders>
              <w:top w:val="nil"/>
              <w:left w:val="nil"/>
              <w:bottom w:val="single" w:sz="4" w:space="0" w:color="auto"/>
              <w:right w:val="single" w:sz="4" w:space="0" w:color="auto"/>
            </w:tcBorders>
            <w:shd w:val="clear" w:color="auto" w:fill="auto"/>
            <w:vAlign w:val="center"/>
            <w:hideMark/>
          </w:tcPr>
          <w:p w14:paraId="7613E3D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Projektligji do të përafrojë Rregulloren (BE) 2019/1020 së Parlamentit Evropian dhe e Këshillit, datë 20 qershor 2019 “Për mbikëqyrjen e tregut dhe përputhshmërinë e produkteve". Projektligji i planifikuar rregullon tregtimin dhe mbikëqyrjen e tregut për produktet jo ushqimore në fushëzbatimin e saj. Ai përcakton funksionet, kompetencat dhe detyrimet e strukturave të mbikëqyrjes së tregut, si dhe detyrimet e operatorëve ekonomikë, sipas zinxhirit të furnizimit të produkteve.  </w:t>
            </w:r>
          </w:p>
        </w:tc>
        <w:tc>
          <w:tcPr>
            <w:tcW w:w="899" w:type="dxa"/>
            <w:tcBorders>
              <w:top w:val="nil"/>
              <w:left w:val="nil"/>
              <w:bottom w:val="single" w:sz="4" w:space="0" w:color="auto"/>
              <w:right w:val="single" w:sz="4" w:space="0" w:color="auto"/>
            </w:tcBorders>
            <w:shd w:val="clear" w:color="auto" w:fill="auto"/>
            <w:vAlign w:val="center"/>
            <w:hideMark/>
          </w:tcPr>
          <w:p w14:paraId="74192ED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Kapitulli 1 "Lëvizja e lirë e mallrave"</w:t>
            </w:r>
          </w:p>
        </w:tc>
        <w:tc>
          <w:tcPr>
            <w:tcW w:w="1122" w:type="dxa"/>
            <w:tcBorders>
              <w:top w:val="nil"/>
              <w:left w:val="nil"/>
              <w:bottom w:val="single" w:sz="4" w:space="0" w:color="auto"/>
              <w:right w:val="single" w:sz="4" w:space="0" w:color="auto"/>
            </w:tcBorders>
            <w:shd w:val="clear" w:color="auto" w:fill="auto"/>
            <w:vAlign w:val="center"/>
            <w:hideMark/>
          </w:tcPr>
          <w:p w14:paraId="05269F56"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Shtylla "Shqipëri e fortë"; Fusha "Integrimi Evropian"</w:t>
            </w:r>
          </w:p>
        </w:tc>
        <w:tc>
          <w:tcPr>
            <w:tcW w:w="976" w:type="dxa"/>
            <w:tcBorders>
              <w:top w:val="nil"/>
              <w:left w:val="nil"/>
              <w:bottom w:val="single" w:sz="4" w:space="0" w:color="auto"/>
              <w:right w:val="single" w:sz="4" w:space="0" w:color="auto"/>
            </w:tcBorders>
            <w:shd w:val="clear" w:color="auto" w:fill="auto"/>
            <w:vAlign w:val="center"/>
            <w:hideMark/>
          </w:tcPr>
          <w:p w14:paraId="35BB66C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Angazhimi për miratimin e projektligjit është reflektuar edhe në Strategjinë Ndërsektoriale për Mbrojtjen e Konsumatorëve dhe Mbikëqyrjen e Tregut 2024–2030 (miratuar me VKM nr. 326, datë 29.05.2024). </w:t>
            </w:r>
          </w:p>
        </w:tc>
        <w:tc>
          <w:tcPr>
            <w:tcW w:w="975" w:type="dxa"/>
            <w:tcBorders>
              <w:top w:val="nil"/>
              <w:left w:val="nil"/>
              <w:bottom w:val="single" w:sz="4" w:space="0" w:color="auto"/>
              <w:right w:val="single" w:sz="4" w:space="0" w:color="auto"/>
            </w:tcBorders>
            <w:shd w:val="clear" w:color="auto" w:fill="auto"/>
            <w:vAlign w:val="center"/>
            <w:hideMark/>
          </w:tcPr>
          <w:p w14:paraId="7161E30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ekonomike</w:t>
            </w:r>
            <w:r w:rsidRPr="00727111">
              <w:rPr>
                <w:rFonts w:ascii="Garamond" w:hAnsi="Garamond"/>
                <w:color w:val="000000"/>
                <w:sz w:val="12"/>
                <w:szCs w:val="12"/>
                <w:lang w:eastAsia="sq-AL"/>
              </w:rPr>
              <w:br/>
              <w:t>financiare</w:t>
            </w:r>
          </w:p>
        </w:tc>
      </w:tr>
      <w:tr w:rsidR="00B03CE4" w:rsidRPr="00727111" w14:paraId="08C1559C"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11743F8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14</w:t>
            </w:r>
          </w:p>
        </w:tc>
        <w:tc>
          <w:tcPr>
            <w:tcW w:w="1235" w:type="dxa"/>
            <w:tcBorders>
              <w:top w:val="nil"/>
              <w:left w:val="nil"/>
              <w:bottom w:val="single" w:sz="4" w:space="0" w:color="auto"/>
              <w:right w:val="single" w:sz="4" w:space="0" w:color="auto"/>
            </w:tcBorders>
            <w:shd w:val="clear" w:color="auto" w:fill="auto"/>
            <w:vAlign w:val="center"/>
            <w:hideMark/>
          </w:tcPr>
          <w:p w14:paraId="33B6D7F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disa shtesa dhe ndryshime në ligjin nr.9902, datë 17.04.2008 "Për mbrojtjen e konsumatorëve" të ndryshuar</w:t>
            </w:r>
          </w:p>
        </w:tc>
        <w:tc>
          <w:tcPr>
            <w:tcW w:w="923" w:type="dxa"/>
            <w:tcBorders>
              <w:top w:val="nil"/>
              <w:left w:val="nil"/>
              <w:bottom w:val="single" w:sz="4" w:space="0" w:color="auto"/>
              <w:right w:val="single" w:sz="4" w:space="0" w:color="auto"/>
            </w:tcBorders>
            <w:shd w:val="clear" w:color="auto" w:fill="auto"/>
            <w:vAlign w:val="center"/>
            <w:hideMark/>
          </w:tcPr>
          <w:p w14:paraId="088907F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Projektligj </w:t>
            </w:r>
          </w:p>
        </w:tc>
        <w:tc>
          <w:tcPr>
            <w:tcW w:w="1958" w:type="dxa"/>
            <w:tcBorders>
              <w:top w:val="nil"/>
              <w:left w:val="nil"/>
              <w:bottom w:val="single" w:sz="4" w:space="0" w:color="auto"/>
              <w:right w:val="single" w:sz="4" w:space="0" w:color="auto"/>
            </w:tcBorders>
            <w:shd w:val="clear" w:color="auto" w:fill="auto"/>
            <w:vAlign w:val="center"/>
            <w:hideMark/>
          </w:tcPr>
          <w:p w14:paraId="0C03364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7246B17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1D13E4E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Nenet  78  dhe  83,  pika  1,  të  Kushtetutës. Arsyeja e propozimit të projektaktit është harmonizimi i mëtejshëm me Direktivën 2019/2161 (Direktiva e Modernizimit) , Direktivën 2024/825 (Direktiva e Tranzicionit Ekologjik), Direktivën 2019/770  (Kontratat për furnizimin e përmbajtjeve dhe shërbimeve digjitale), Direktivën 2019/771 (Kontratat për shitjen e mallrave), si dhe Rregulloren (BE) 2017/2394 në kuadër të Kapitullit 28 të acquis "Mbrojtja e konsumatorit dhe e shëndetit".                                                                        Detyrimi për të përafruar legjislacionin shqiptar me Kapitullin 1 të legjislacionit europian buron nga neni 76 "Mbrojtja e konsumatorit" i Marrëveshjes së Stabilizim Asocimit (MSA), ku përcaktohet se Shqipëria duhet të harmonizojë legjislacionin e saj me atë të Bashkimit Europian (BE), por gjithashtu të sigurojë që ai të zbatohet dhe të vihet në praktikë.                          </w:t>
            </w:r>
          </w:p>
        </w:tc>
        <w:tc>
          <w:tcPr>
            <w:tcW w:w="2406" w:type="dxa"/>
            <w:tcBorders>
              <w:top w:val="nil"/>
              <w:left w:val="nil"/>
              <w:bottom w:val="single" w:sz="4" w:space="0" w:color="auto"/>
              <w:right w:val="single" w:sz="4" w:space="0" w:color="auto"/>
            </w:tcBorders>
            <w:shd w:val="clear" w:color="auto" w:fill="auto"/>
            <w:vAlign w:val="center"/>
            <w:hideMark/>
          </w:tcPr>
          <w:p w14:paraId="1F401E8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Përafrimi i mëtejshëm me Direktivën 2019/2161 (Direktiva e Modernizimit) , Direktivën 2024/825 (Direktiva e Tranzicionit Ekologjik), Direktivën 2019/770  (Kontratat për furnizimin</w:t>
            </w:r>
            <w:r w:rsidRPr="00727111">
              <w:rPr>
                <w:rFonts w:ascii="Garamond" w:hAnsi="Garamond"/>
                <w:color w:val="000000"/>
                <w:sz w:val="12"/>
                <w:szCs w:val="12"/>
                <w:lang w:eastAsia="sq-AL"/>
              </w:rPr>
              <w:br/>
              <w:t xml:space="preserve">e përmbajtjeve dhe shërbimeve digjitale), Direktivën 2019/771 (Kontratat për shitjen e mallrave), si dhe Rregulloren (BE) 2017/2394 në kuadër të Kapitullit 28 të acquis "Mbrojtja e konsumatorit dhe e shëndetit".                                                                              </w:t>
            </w:r>
          </w:p>
        </w:tc>
        <w:tc>
          <w:tcPr>
            <w:tcW w:w="899" w:type="dxa"/>
            <w:tcBorders>
              <w:top w:val="nil"/>
              <w:left w:val="nil"/>
              <w:bottom w:val="single" w:sz="4" w:space="0" w:color="auto"/>
              <w:right w:val="single" w:sz="4" w:space="0" w:color="auto"/>
            </w:tcBorders>
            <w:shd w:val="clear" w:color="auto" w:fill="auto"/>
            <w:vAlign w:val="center"/>
            <w:hideMark/>
          </w:tcPr>
          <w:p w14:paraId="79E0AB0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Kapitulli 28 "Mbrojtja e konsumatorit dhe shëndetit"</w:t>
            </w:r>
          </w:p>
        </w:tc>
        <w:tc>
          <w:tcPr>
            <w:tcW w:w="1122" w:type="dxa"/>
            <w:tcBorders>
              <w:top w:val="nil"/>
              <w:left w:val="nil"/>
              <w:bottom w:val="single" w:sz="4" w:space="0" w:color="auto"/>
              <w:right w:val="single" w:sz="4" w:space="0" w:color="auto"/>
            </w:tcBorders>
            <w:shd w:val="clear" w:color="auto" w:fill="auto"/>
            <w:vAlign w:val="center"/>
            <w:hideMark/>
          </w:tcPr>
          <w:p w14:paraId="3B0E71B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Shtylla "Shqipëri e fortë";                                    Fusha "Integrimi Evropian"</w:t>
            </w:r>
          </w:p>
        </w:tc>
        <w:tc>
          <w:tcPr>
            <w:tcW w:w="976" w:type="dxa"/>
            <w:tcBorders>
              <w:top w:val="nil"/>
              <w:left w:val="nil"/>
              <w:bottom w:val="single" w:sz="4" w:space="0" w:color="auto"/>
              <w:right w:val="single" w:sz="4" w:space="0" w:color="auto"/>
            </w:tcBorders>
            <w:shd w:val="clear" w:color="auto" w:fill="auto"/>
            <w:vAlign w:val="center"/>
            <w:hideMark/>
          </w:tcPr>
          <w:p w14:paraId="342DD75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Angazhimi për miratimin e projektligjit është reflektuar edhe në Strategjinë Ndërsektoriale për Mbrojtjen e Konsumatorëve dhe Mbikëqyrjen e Tregut 2024–2030 (miratuar me VKM-në nr.326, datë 29.05.2024). </w:t>
            </w:r>
          </w:p>
        </w:tc>
        <w:tc>
          <w:tcPr>
            <w:tcW w:w="975" w:type="dxa"/>
            <w:tcBorders>
              <w:top w:val="nil"/>
              <w:left w:val="nil"/>
              <w:bottom w:val="single" w:sz="4" w:space="0" w:color="auto"/>
              <w:right w:val="single" w:sz="4" w:space="0" w:color="auto"/>
            </w:tcBorders>
            <w:shd w:val="clear" w:color="auto" w:fill="auto"/>
            <w:vAlign w:val="center"/>
            <w:hideMark/>
          </w:tcPr>
          <w:p w14:paraId="5DAB1E96"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ekonomike       financiare  Sociale </w:t>
            </w:r>
          </w:p>
        </w:tc>
      </w:tr>
      <w:tr w:rsidR="00B03CE4" w:rsidRPr="00727111" w14:paraId="5A009F79"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7BFDF17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15</w:t>
            </w:r>
          </w:p>
        </w:tc>
        <w:tc>
          <w:tcPr>
            <w:tcW w:w="1235" w:type="dxa"/>
            <w:tcBorders>
              <w:top w:val="nil"/>
              <w:left w:val="nil"/>
              <w:bottom w:val="single" w:sz="4" w:space="0" w:color="auto"/>
              <w:right w:val="single" w:sz="4" w:space="0" w:color="auto"/>
            </w:tcBorders>
            <w:shd w:val="clear" w:color="auto" w:fill="auto"/>
            <w:vAlign w:val="center"/>
            <w:hideMark/>
          </w:tcPr>
          <w:p w14:paraId="5825AAD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 koncesionet dhe partneritetin publik privat</w:t>
            </w:r>
          </w:p>
        </w:tc>
        <w:tc>
          <w:tcPr>
            <w:tcW w:w="923" w:type="dxa"/>
            <w:tcBorders>
              <w:top w:val="nil"/>
              <w:left w:val="nil"/>
              <w:bottom w:val="single" w:sz="4" w:space="0" w:color="auto"/>
              <w:right w:val="single" w:sz="4" w:space="0" w:color="auto"/>
            </w:tcBorders>
            <w:shd w:val="clear" w:color="auto" w:fill="auto"/>
            <w:vAlign w:val="center"/>
            <w:hideMark/>
          </w:tcPr>
          <w:p w14:paraId="3816D12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Projektligj </w:t>
            </w:r>
          </w:p>
        </w:tc>
        <w:tc>
          <w:tcPr>
            <w:tcW w:w="1958" w:type="dxa"/>
            <w:tcBorders>
              <w:top w:val="nil"/>
              <w:left w:val="nil"/>
              <w:bottom w:val="single" w:sz="4" w:space="0" w:color="auto"/>
              <w:right w:val="single" w:sz="4" w:space="0" w:color="auto"/>
            </w:tcBorders>
            <w:shd w:val="clear" w:color="auto" w:fill="auto"/>
            <w:vAlign w:val="center"/>
            <w:hideMark/>
          </w:tcPr>
          <w:p w14:paraId="5E623B4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7988ED8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000000" w:fill="FFFFFF"/>
            <w:vAlign w:val="center"/>
            <w:hideMark/>
          </w:tcPr>
          <w:p w14:paraId="150D52F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Nenet  78  dhe  83,  pika  1,  të  Kushtetutës, Rishikimi i kuadrit ligjor ekzistues mbi koncensionet dhe partneritetin publik privat me qëllim përafrimin me legjislacionin e BE.</w:t>
            </w:r>
          </w:p>
        </w:tc>
        <w:tc>
          <w:tcPr>
            <w:tcW w:w="2406" w:type="dxa"/>
            <w:tcBorders>
              <w:top w:val="nil"/>
              <w:left w:val="nil"/>
              <w:bottom w:val="single" w:sz="4" w:space="0" w:color="auto"/>
              <w:right w:val="single" w:sz="4" w:space="0" w:color="auto"/>
            </w:tcBorders>
            <w:shd w:val="clear" w:color="auto" w:fill="auto"/>
            <w:vAlign w:val="center"/>
            <w:hideMark/>
          </w:tcPr>
          <w:p w14:paraId="3B34E8E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Regjimi që do të ndjekin projektet koncesionare që janë jashtë pragut të Listës Unike të Projekteve me Rëndësi Kombëtare (PIM), forma dhe regjimi që do të kenë Njësitë e Zbatimit të Projektit (NJZP), roli monitorues i ATRAKO-s në projektet e koncesionit/partneritetit publik privat </w:t>
            </w:r>
          </w:p>
        </w:tc>
        <w:tc>
          <w:tcPr>
            <w:tcW w:w="899" w:type="dxa"/>
            <w:tcBorders>
              <w:top w:val="nil"/>
              <w:left w:val="nil"/>
              <w:bottom w:val="single" w:sz="4" w:space="0" w:color="auto"/>
              <w:right w:val="single" w:sz="4" w:space="0" w:color="auto"/>
            </w:tcBorders>
            <w:shd w:val="clear" w:color="auto" w:fill="auto"/>
            <w:vAlign w:val="center"/>
            <w:hideMark/>
          </w:tcPr>
          <w:p w14:paraId="77D7ECF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Kapitulli 5 "Prokurimi publik"</w:t>
            </w:r>
          </w:p>
        </w:tc>
        <w:tc>
          <w:tcPr>
            <w:tcW w:w="1122" w:type="dxa"/>
            <w:tcBorders>
              <w:top w:val="nil"/>
              <w:left w:val="nil"/>
              <w:bottom w:val="single" w:sz="4" w:space="0" w:color="auto"/>
              <w:right w:val="single" w:sz="4" w:space="0" w:color="auto"/>
            </w:tcBorders>
            <w:shd w:val="clear" w:color="auto" w:fill="auto"/>
            <w:vAlign w:val="center"/>
            <w:hideMark/>
          </w:tcPr>
          <w:p w14:paraId="31A9992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5265C25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për Prokurimin Publik 2024–2030</w:t>
            </w:r>
          </w:p>
        </w:tc>
        <w:tc>
          <w:tcPr>
            <w:tcW w:w="975" w:type="dxa"/>
            <w:tcBorders>
              <w:top w:val="nil"/>
              <w:left w:val="nil"/>
              <w:bottom w:val="single" w:sz="4" w:space="0" w:color="auto"/>
              <w:right w:val="single" w:sz="4" w:space="0" w:color="auto"/>
            </w:tcBorders>
            <w:shd w:val="clear" w:color="auto" w:fill="auto"/>
            <w:vAlign w:val="center"/>
            <w:hideMark/>
          </w:tcPr>
          <w:p w14:paraId="24DD548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ekonomike financiare sociale</w:t>
            </w:r>
          </w:p>
        </w:tc>
      </w:tr>
      <w:tr w:rsidR="00B03CE4" w:rsidRPr="00727111" w14:paraId="0710D6F1"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64F2DC6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16</w:t>
            </w:r>
          </w:p>
        </w:tc>
        <w:tc>
          <w:tcPr>
            <w:tcW w:w="1235" w:type="dxa"/>
            <w:tcBorders>
              <w:top w:val="nil"/>
              <w:left w:val="nil"/>
              <w:bottom w:val="single" w:sz="4" w:space="0" w:color="auto"/>
              <w:right w:val="single" w:sz="4" w:space="0" w:color="auto"/>
            </w:tcBorders>
            <w:shd w:val="clear" w:color="auto" w:fill="auto"/>
            <w:vAlign w:val="center"/>
            <w:hideMark/>
          </w:tcPr>
          <w:p w14:paraId="53FDD6B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 shpërblimin e pensionistëve për festat e fundvitit, 2025"</w:t>
            </w:r>
          </w:p>
        </w:tc>
        <w:tc>
          <w:tcPr>
            <w:tcW w:w="923" w:type="dxa"/>
            <w:tcBorders>
              <w:top w:val="nil"/>
              <w:left w:val="nil"/>
              <w:bottom w:val="single" w:sz="4" w:space="0" w:color="auto"/>
              <w:right w:val="single" w:sz="4" w:space="0" w:color="auto"/>
            </w:tcBorders>
            <w:shd w:val="clear" w:color="auto" w:fill="auto"/>
            <w:vAlign w:val="center"/>
            <w:hideMark/>
          </w:tcPr>
          <w:p w14:paraId="4C2259D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5CDE15A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4EF275F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46A5A3E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Neni 5, i ligjit nr. 9936, datë 26.6.2008, “Përmenaxhimin e sistemit buxhetor në Republikën e Shqipërisë”, të ndryshuar,</w:t>
            </w:r>
          </w:p>
        </w:tc>
        <w:tc>
          <w:tcPr>
            <w:tcW w:w="2406" w:type="dxa"/>
            <w:tcBorders>
              <w:top w:val="nil"/>
              <w:left w:val="nil"/>
              <w:bottom w:val="single" w:sz="4" w:space="0" w:color="auto"/>
              <w:right w:val="single" w:sz="4" w:space="0" w:color="auto"/>
            </w:tcBorders>
            <w:shd w:val="clear" w:color="auto" w:fill="auto"/>
            <w:vAlign w:val="center"/>
            <w:hideMark/>
          </w:tcPr>
          <w:p w14:paraId="5B8DE72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Percaktimi i masës së shpërblimit për kategorinë e pensionistëve në kuadër të festave të fundvitit</w:t>
            </w:r>
          </w:p>
        </w:tc>
        <w:tc>
          <w:tcPr>
            <w:tcW w:w="899" w:type="dxa"/>
            <w:tcBorders>
              <w:top w:val="nil"/>
              <w:left w:val="nil"/>
              <w:bottom w:val="single" w:sz="4" w:space="0" w:color="auto"/>
              <w:right w:val="single" w:sz="4" w:space="0" w:color="auto"/>
            </w:tcBorders>
            <w:shd w:val="clear" w:color="auto" w:fill="auto"/>
            <w:vAlign w:val="center"/>
            <w:hideMark/>
          </w:tcPr>
          <w:p w14:paraId="6DEA98C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5BF374D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Shtylla "Familja"; Fusha "Kujdesi për të moshuarit dhe qytetarët më në nevojë"</w:t>
            </w:r>
          </w:p>
        </w:tc>
        <w:tc>
          <w:tcPr>
            <w:tcW w:w="976" w:type="dxa"/>
            <w:tcBorders>
              <w:top w:val="nil"/>
              <w:left w:val="nil"/>
              <w:bottom w:val="single" w:sz="4" w:space="0" w:color="auto"/>
              <w:right w:val="single" w:sz="4" w:space="0" w:color="auto"/>
            </w:tcBorders>
            <w:shd w:val="clear" w:color="auto" w:fill="auto"/>
            <w:vAlign w:val="center"/>
            <w:hideMark/>
          </w:tcPr>
          <w:p w14:paraId="25D71E3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48AF45A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financiare  ekonomike </w:t>
            </w:r>
          </w:p>
        </w:tc>
      </w:tr>
      <w:tr w:rsidR="00B03CE4" w:rsidRPr="00727111" w14:paraId="61BBF079"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2C128DE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17</w:t>
            </w:r>
          </w:p>
        </w:tc>
        <w:tc>
          <w:tcPr>
            <w:tcW w:w="1235" w:type="dxa"/>
            <w:tcBorders>
              <w:top w:val="nil"/>
              <w:left w:val="nil"/>
              <w:bottom w:val="single" w:sz="4" w:space="0" w:color="auto"/>
              <w:right w:val="single" w:sz="4" w:space="0" w:color="auto"/>
            </w:tcBorders>
            <w:shd w:val="clear" w:color="auto" w:fill="auto"/>
            <w:vAlign w:val="center"/>
            <w:hideMark/>
          </w:tcPr>
          <w:p w14:paraId="5EDAB327"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"Për miratimin e raportit vjetor për ndihmat shtetërore të vitit 2024”</w:t>
            </w:r>
          </w:p>
        </w:tc>
        <w:tc>
          <w:tcPr>
            <w:tcW w:w="923" w:type="dxa"/>
            <w:tcBorders>
              <w:top w:val="nil"/>
              <w:left w:val="nil"/>
              <w:bottom w:val="single" w:sz="4" w:space="0" w:color="auto"/>
              <w:right w:val="single" w:sz="4" w:space="0" w:color="auto"/>
            </w:tcBorders>
            <w:shd w:val="clear" w:color="auto" w:fill="auto"/>
            <w:vAlign w:val="center"/>
            <w:hideMark/>
          </w:tcPr>
          <w:p w14:paraId="0717D00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3793CBB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3BFA45E1"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0B5796E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Pika 2, e nenit 32, të ligjit nr.9374, datë 21.4.2005, “Për ndihmën shtetërore”, të ndryshuar</w:t>
            </w:r>
          </w:p>
        </w:tc>
        <w:tc>
          <w:tcPr>
            <w:tcW w:w="2406" w:type="dxa"/>
            <w:tcBorders>
              <w:top w:val="nil"/>
              <w:left w:val="nil"/>
              <w:bottom w:val="single" w:sz="4" w:space="0" w:color="auto"/>
              <w:right w:val="single" w:sz="4" w:space="0" w:color="auto"/>
            </w:tcBorders>
            <w:shd w:val="clear" w:color="auto" w:fill="auto"/>
            <w:vAlign w:val="center"/>
            <w:hideMark/>
          </w:tcPr>
          <w:p w14:paraId="3A446D9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Miratimi i raportit për ndihmat shtetërore të vitit 2024 ku përfshihen skemat e ndihmës shtetërore dhe ndihmat individuale</w:t>
            </w:r>
          </w:p>
        </w:tc>
        <w:tc>
          <w:tcPr>
            <w:tcW w:w="899" w:type="dxa"/>
            <w:tcBorders>
              <w:top w:val="nil"/>
              <w:left w:val="nil"/>
              <w:bottom w:val="single" w:sz="4" w:space="0" w:color="auto"/>
              <w:right w:val="single" w:sz="4" w:space="0" w:color="auto"/>
            </w:tcBorders>
            <w:shd w:val="clear" w:color="auto" w:fill="auto"/>
            <w:vAlign w:val="center"/>
            <w:hideMark/>
          </w:tcPr>
          <w:p w14:paraId="6E2DF02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736228D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"Biznesi i  vogël dhe familja produktive"</w:t>
            </w:r>
          </w:p>
        </w:tc>
        <w:tc>
          <w:tcPr>
            <w:tcW w:w="976" w:type="dxa"/>
            <w:tcBorders>
              <w:top w:val="nil"/>
              <w:left w:val="nil"/>
              <w:bottom w:val="single" w:sz="4" w:space="0" w:color="auto"/>
              <w:right w:val="single" w:sz="4" w:space="0" w:color="auto"/>
            </w:tcBorders>
            <w:shd w:val="clear" w:color="auto" w:fill="auto"/>
            <w:vAlign w:val="center"/>
            <w:hideMark/>
          </w:tcPr>
          <w:p w14:paraId="17C657F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2F2962B1"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B03CE4" w:rsidRPr="00727111" w14:paraId="52826FA9"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0205397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18</w:t>
            </w:r>
          </w:p>
        </w:tc>
        <w:tc>
          <w:tcPr>
            <w:tcW w:w="1235" w:type="dxa"/>
            <w:tcBorders>
              <w:top w:val="nil"/>
              <w:left w:val="nil"/>
              <w:bottom w:val="single" w:sz="4" w:space="0" w:color="auto"/>
              <w:right w:val="single" w:sz="4" w:space="0" w:color="auto"/>
            </w:tcBorders>
            <w:shd w:val="clear" w:color="auto" w:fill="auto"/>
            <w:vAlign w:val="center"/>
            <w:hideMark/>
          </w:tcPr>
          <w:p w14:paraId="1D792B3F" w14:textId="77777777" w:rsidR="00B03CE4" w:rsidRPr="00727111" w:rsidRDefault="00B03CE4" w:rsidP="00B03CE4">
            <w:pPr>
              <w:jc w:val="center"/>
              <w:rPr>
                <w:rFonts w:ascii="Garamond" w:hAnsi="Garamond"/>
                <w:sz w:val="12"/>
                <w:szCs w:val="12"/>
                <w:lang w:eastAsia="sq-AL"/>
              </w:rPr>
            </w:pPr>
            <w:r w:rsidRPr="00727111">
              <w:rPr>
                <w:rFonts w:ascii="Garamond" w:hAnsi="Garamond"/>
                <w:sz w:val="12"/>
                <w:szCs w:val="12"/>
                <w:lang w:eastAsia="sq-AL"/>
              </w:rPr>
              <w:t>"Për rishikimin e strategjisë së zhvillimit te investimeve dhe biznesit 2021-2027"</w:t>
            </w:r>
          </w:p>
        </w:tc>
        <w:tc>
          <w:tcPr>
            <w:tcW w:w="923" w:type="dxa"/>
            <w:tcBorders>
              <w:top w:val="nil"/>
              <w:left w:val="nil"/>
              <w:bottom w:val="single" w:sz="4" w:space="0" w:color="auto"/>
              <w:right w:val="single" w:sz="4" w:space="0" w:color="auto"/>
            </w:tcBorders>
            <w:shd w:val="clear" w:color="auto" w:fill="auto"/>
            <w:vAlign w:val="center"/>
            <w:hideMark/>
          </w:tcPr>
          <w:p w14:paraId="4C7CD426"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6BE3927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1477B9B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bottom"/>
            <w:hideMark/>
          </w:tcPr>
          <w:p w14:paraId="501BDE4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Neni 100 i Kushtetutës dhe ligjet sektoriale. Ky rishikim duhet të realizohet në mënyrë që të harmonizohet me rekomandimet e kapitullit 20 për Politikat Industriale dhe SME, në kuadër të procesit të integrimit evropian, si dhe të jetë në përputhje me Reform Agjendën (Plani i Ri i Rritjes 2024-2027).</w:t>
            </w:r>
          </w:p>
        </w:tc>
        <w:tc>
          <w:tcPr>
            <w:tcW w:w="2406" w:type="dxa"/>
            <w:tcBorders>
              <w:top w:val="nil"/>
              <w:left w:val="nil"/>
              <w:bottom w:val="single" w:sz="4" w:space="0" w:color="auto"/>
              <w:right w:val="single" w:sz="4" w:space="0" w:color="auto"/>
            </w:tcBorders>
            <w:shd w:val="clear" w:color="auto" w:fill="auto"/>
            <w:vAlign w:val="center"/>
            <w:hideMark/>
          </w:tcPr>
          <w:p w14:paraId="582AD98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Rishikimi i masave te strategjise dhe vendosja e masave te reja per periudhen 2025-2027</w:t>
            </w:r>
          </w:p>
        </w:tc>
        <w:tc>
          <w:tcPr>
            <w:tcW w:w="899" w:type="dxa"/>
            <w:tcBorders>
              <w:top w:val="nil"/>
              <w:left w:val="nil"/>
              <w:bottom w:val="single" w:sz="4" w:space="0" w:color="auto"/>
              <w:right w:val="single" w:sz="4" w:space="0" w:color="auto"/>
            </w:tcBorders>
            <w:shd w:val="clear" w:color="auto" w:fill="auto"/>
            <w:vAlign w:val="center"/>
            <w:hideMark/>
          </w:tcPr>
          <w:p w14:paraId="7EE7EF6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22D90B3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"Biznesi i  vogël dhe familja produktive"</w:t>
            </w:r>
          </w:p>
        </w:tc>
        <w:tc>
          <w:tcPr>
            <w:tcW w:w="976" w:type="dxa"/>
            <w:tcBorders>
              <w:top w:val="nil"/>
              <w:left w:val="nil"/>
              <w:bottom w:val="single" w:sz="4" w:space="0" w:color="auto"/>
              <w:right w:val="single" w:sz="4" w:space="0" w:color="auto"/>
            </w:tcBorders>
            <w:shd w:val="clear" w:color="auto" w:fill="auto"/>
            <w:vAlign w:val="center"/>
            <w:hideMark/>
          </w:tcPr>
          <w:p w14:paraId="7B8FA53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te Biznesit dhe Investimeve 2021-2027 (BIDS)</w:t>
            </w:r>
          </w:p>
        </w:tc>
        <w:tc>
          <w:tcPr>
            <w:tcW w:w="975" w:type="dxa"/>
            <w:tcBorders>
              <w:top w:val="nil"/>
              <w:left w:val="nil"/>
              <w:bottom w:val="single" w:sz="4" w:space="0" w:color="auto"/>
              <w:right w:val="single" w:sz="4" w:space="0" w:color="auto"/>
            </w:tcBorders>
            <w:shd w:val="clear" w:color="auto" w:fill="auto"/>
            <w:vAlign w:val="center"/>
            <w:hideMark/>
          </w:tcPr>
          <w:p w14:paraId="50C28C0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financiare ekonomike</w:t>
            </w:r>
          </w:p>
        </w:tc>
      </w:tr>
      <w:tr w:rsidR="00B03CE4" w:rsidRPr="00727111" w14:paraId="2819BEE0"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71028A0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19</w:t>
            </w:r>
          </w:p>
        </w:tc>
        <w:tc>
          <w:tcPr>
            <w:tcW w:w="1235" w:type="dxa"/>
            <w:tcBorders>
              <w:top w:val="nil"/>
              <w:left w:val="nil"/>
              <w:bottom w:val="single" w:sz="4" w:space="0" w:color="auto"/>
              <w:right w:val="single" w:sz="4" w:space="0" w:color="auto"/>
            </w:tcBorders>
            <w:shd w:val="clear" w:color="auto" w:fill="auto"/>
            <w:vAlign w:val="center"/>
            <w:hideMark/>
          </w:tcPr>
          <w:p w14:paraId="0976DE8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 përcaktimin e procedurës dhe mënyrës së shpërblimit të drejtë për huadhënien publike"</w:t>
            </w:r>
          </w:p>
        </w:tc>
        <w:tc>
          <w:tcPr>
            <w:tcW w:w="923" w:type="dxa"/>
            <w:tcBorders>
              <w:top w:val="nil"/>
              <w:left w:val="nil"/>
              <w:bottom w:val="single" w:sz="4" w:space="0" w:color="auto"/>
              <w:right w:val="single" w:sz="4" w:space="0" w:color="auto"/>
            </w:tcBorders>
            <w:shd w:val="clear" w:color="auto" w:fill="auto"/>
            <w:vAlign w:val="center"/>
            <w:hideMark/>
          </w:tcPr>
          <w:p w14:paraId="3043B7B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30EC873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7D0BC2E8"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4741497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Pika 8, neni 32 i ligjit 35/2016 "Për të drejtat e autorit dhe të drejtat e tjera të lidhura me to", i ndryshuar</w:t>
            </w:r>
          </w:p>
        </w:tc>
        <w:tc>
          <w:tcPr>
            <w:tcW w:w="2406" w:type="dxa"/>
            <w:tcBorders>
              <w:top w:val="nil"/>
              <w:left w:val="nil"/>
              <w:bottom w:val="single" w:sz="4" w:space="0" w:color="auto"/>
              <w:right w:val="single" w:sz="4" w:space="0" w:color="auto"/>
            </w:tcBorders>
            <w:shd w:val="clear" w:color="auto" w:fill="auto"/>
            <w:vAlign w:val="center"/>
            <w:hideMark/>
          </w:tcPr>
          <w:p w14:paraId="2EAD79D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Synimi i këtij projektakti është zgjidhja e problematikave të huadhënies publike dhe përdorimin e një vepre për një periudhë të kufizuar kohe dhe jo për përfitime pasurore, rregullimi i mënyrës së përdorimit nga institucionet që lejojnë aksesin e publikut dhe përcaktimi i  procedurës dhe mënyrës së shpërblimit të drejtë për huadhënien publike</w:t>
            </w:r>
          </w:p>
        </w:tc>
        <w:tc>
          <w:tcPr>
            <w:tcW w:w="899" w:type="dxa"/>
            <w:tcBorders>
              <w:top w:val="nil"/>
              <w:left w:val="nil"/>
              <w:bottom w:val="single" w:sz="4" w:space="0" w:color="auto"/>
              <w:right w:val="single" w:sz="4" w:space="0" w:color="auto"/>
            </w:tcBorders>
            <w:shd w:val="clear" w:color="auto" w:fill="auto"/>
            <w:vAlign w:val="center"/>
            <w:hideMark/>
          </w:tcPr>
          <w:p w14:paraId="5028B5E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Kapitulli 7 "Pronësia intelektuale</w:t>
            </w:r>
          </w:p>
        </w:tc>
        <w:tc>
          <w:tcPr>
            <w:tcW w:w="1122" w:type="dxa"/>
            <w:tcBorders>
              <w:top w:val="nil"/>
              <w:left w:val="nil"/>
              <w:bottom w:val="single" w:sz="4" w:space="0" w:color="auto"/>
              <w:right w:val="single" w:sz="4" w:space="0" w:color="auto"/>
            </w:tcBorders>
            <w:shd w:val="clear" w:color="auto" w:fill="auto"/>
            <w:vAlign w:val="center"/>
            <w:hideMark/>
          </w:tcPr>
          <w:p w14:paraId="44D7359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0F30819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52E7F7C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Sociale       Ekonomike Mjedisore </w:t>
            </w:r>
          </w:p>
        </w:tc>
      </w:tr>
      <w:tr w:rsidR="00B03CE4" w:rsidRPr="00727111" w14:paraId="0BCC8612"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7EBC5D9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20</w:t>
            </w:r>
          </w:p>
        </w:tc>
        <w:tc>
          <w:tcPr>
            <w:tcW w:w="1235" w:type="dxa"/>
            <w:tcBorders>
              <w:top w:val="nil"/>
              <w:left w:val="nil"/>
              <w:bottom w:val="single" w:sz="4" w:space="0" w:color="auto"/>
              <w:right w:val="single" w:sz="4" w:space="0" w:color="auto"/>
            </w:tcBorders>
            <w:shd w:val="clear" w:color="auto" w:fill="auto"/>
            <w:vAlign w:val="center"/>
            <w:hideMark/>
          </w:tcPr>
          <w:p w14:paraId="1B5EFE8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 përcaktimin e kushteve dhe kritereve për zhvillimin e projekteve arkeologjike nënujore si dhe të</w:t>
            </w:r>
            <w:r w:rsidRPr="00727111">
              <w:rPr>
                <w:rFonts w:ascii="Garamond" w:hAnsi="Garamond"/>
                <w:color w:val="000000"/>
                <w:sz w:val="12"/>
                <w:szCs w:val="12"/>
                <w:lang w:eastAsia="sq-AL"/>
              </w:rPr>
              <w:br/>
              <w:t>aktiviteteve të tjera që prekin direkt ose indirekt tërësinë e vlerave arkeologjike dhe historike</w:t>
            </w:r>
            <w:r w:rsidRPr="00727111">
              <w:rPr>
                <w:rFonts w:ascii="Garamond" w:hAnsi="Garamond"/>
                <w:color w:val="000000"/>
                <w:sz w:val="12"/>
                <w:szCs w:val="12"/>
                <w:lang w:eastAsia="sq-AL"/>
              </w:rPr>
              <w:br/>
              <w:t>nënujore</w:t>
            </w:r>
          </w:p>
        </w:tc>
        <w:tc>
          <w:tcPr>
            <w:tcW w:w="923" w:type="dxa"/>
            <w:tcBorders>
              <w:top w:val="nil"/>
              <w:left w:val="nil"/>
              <w:bottom w:val="single" w:sz="4" w:space="0" w:color="auto"/>
              <w:right w:val="single" w:sz="4" w:space="0" w:color="auto"/>
            </w:tcBorders>
            <w:shd w:val="clear" w:color="auto" w:fill="auto"/>
            <w:vAlign w:val="center"/>
            <w:hideMark/>
          </w:tcPr>
          <w:p w14:paraId="2657ACB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0C89548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0B7D72E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66AEAF6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Neni 156 i ligjit nr.27/2018 "Për trashëgiminë kulturore dhe muzetë",</w:t>
            </w:r>
          </w:p>
        </w:tc>
        <w:tc>
          <w:tcPr>
            <w:tcW w:w="2406" w:type="dxa"/>
            <w:tcBorders>
              <w:top w:val="nil"/>
              <w:left w:val="nil"/>
              <w:bottom w:val="single" w:sz="4" w:space="0" w:color="auto"/>
              <w:right w:val="single" w:sz="4" w:space="0" w:color="auto"/>
            </w:tcBorders>
            <w:shd w:val="clear" w:color="auto" w:fill="auto"/>
            <w:vAlign w:val="center"/>
            <w:hideMark/>
          </w:tcPr>
          <w:p w14:paraId="568D1E26"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Miratimin e  kushteve dhe kritereve per hulumtimet arkeologjike nenujore dhe zhvillimin e projekteve arkeologjike nenujore </w:t>
            </w:r>
          </w:p>
        </w:tc>
        <w:tc>
          <w:tcPr>
            <w:tcW w:w="899" w:type="dxa"/>
            <w:tcBorders>
              <w:top w:val="nil"/>
              <w:left w:val="nil"/>
              <w:bottom w:val="single" w:sz="4" w:space="0" w:color="auto"/>
              <w:right w:val="single" w:sz="4" w:space="0" w:color="auto"/>
            </w:tcBorders>
            <w:shd w:val="clear" w:color="auto" w:fill="auto"/>
            <w:vAlign w:val="center"/>
            <w:hideMark/>
          </w:tcPr>
          <w:p w14:paraId="7ECA761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382030F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4604000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per Kulturen 2019-2025</w:t>
            </w:r>
          </w:p>
        </w:tc>
        <w:tc>
          <w:tcPr>
            <w:tcW w:w="975" w:type="dxa"/>
            <w:tcBorders>
              <w:top w:val="nil"/>
              <w:left w:val="nil"/>
              <w:bottom w:val="single" w:sz="4" w:space="0" w:color="auto"/>
              <w:right w:val="single" w:sz="4" w:space="0" w:color="auto"/>
            </w:tcBorders>
            <w:shd w:val="clear" w:color="auto" w:fill="auto"/>
            <w:vAlign w:val="center"/>
            <w:hideMark/>
          </w:tcPr>
          <w:p w14:paraId="2282B7A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ekonomike financiare sociale</w:t>
            </w:r>
          </w:p>
        </w:tc>
      </w:tr>
      <w:tr w:rsidR="00B03CE4" w:rsidRPr="00727111" w14:paraId="70E1288B"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40401271"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21</w:t>
            </w:r>
          </w:p>
        </w:tc>
        <w:tc>
          <w:tcPr>
            <w:tcW w:w="1235" w:type="dxa"/>
            <w:tcBorders>
              <w:top w:val="nil"/>
              <w:left w:val="nil"/>
              <w:bottom w:val="single" w:sz="4" w:space="0" w:color="auto"/>
              <w:right w:val="single" w:sz="4" w:space="0" w:color="auto"/>
            </w:tcBorders>
            <w:shd w:val="clear" w:color="auto" w:fill="auto"/>
            <w:vAlign w:val="center"/>
            <w:hideMark/>
          </w:tcPr>
          <w:p w14:paraId="751051D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 funksionimin, organizimin dhe veprimtarinë e Qendrës së Restaurimit dhe Studimit të Ikonave</w:t>
            </w:r>
          </w:p>
        </w:tc>
        <w:tc>
          <w:tcPr>
            <w:tcW w:w="923" w:type="dxa"/>
            <w:tcBorders>
              <w:top w:val="nil"/>
              <w:left w:val="nil"/>
              <w:bottom w:val="single" w:sz="4" w:space="0" w:color="auto"/>
              <w:right w:val="single" w:sz="4" w:space="0" w:color="auto"/>
            </w:tcBorders>
            <w:shd w:val="clear" w:color="auto" w:fill="auto"/>
            <w:vAlign w:val="center"/>
            <w:hideMark/>
          </w:tcPr>
          <w:p w14:paraId="0E20885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111A2B6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3400973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15B5EFA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Pika 3, neni 207 i ligjit nr. 27/2018 "Per trashëgiminë kulturore dhe muzetë" </w:t>
            </w:r>
          </w:p>
        </w:tc>
        <w:tc>
          <w:tcPr>
            <w:tcW w:w="2406" w:type="dxa"/>
            <w:tcBorders>
              <w:top w:val="nil"/>
              <w:left w:val="nil"/>
              <w:bottom w:val="single" w:sz="4" w:space="0" w:color="auto"/>
              <w:right w:val="single" w:sz="4" w:space="0" w:color="auto"/>
            </w:tcBorders>
            <w:shd w:val="clear" w:color="auto" w:fill="auto"/>
            <w:vAlign w:val="center"/>
            <w:hideMark/>
          </w:tcPr>
          <w:p w14:paraId="7FB8796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Ngritje dhe funksionimi i Qendrës së Restaurimit dhe Studimit të Ikonave prane Muzeut Kombetar te Artit Mesjetar Korçë  me synimin për të formuar restauratorët e ardhshëm në fushën e ikonografisë</w:t>
            </w:r>
          </w:p>
        </w:tc>
        <w:tc>
          <w:tcPr>
            <w:tcW w:w="899" w:type="dxa"/>
            <w:tcBorders>
              <w:top w:val="nil"/>
              <w:left w:val="nil"/>
              <w:bottom w:val="single" w:sz="4" w:space="0" w:color="auto"/>
              <w:right w:val="single" w:sz="4" w:space="0" w:color="auto"/>
            </w:tcBorders>
            <w:shd w:val="clear" w:color="auto" w:fill="auto"/>
            <w:vAlign w:val="center"/>
            <w:hideMark/>
          </w:tcPr>
          <w:p w14:paraId="6315DE5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58FFE14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6B71948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per Kulturen 2019-2025</w:t>
            </w:r>
          </w:p>
        </w:tc>
        <w:tc>
          <w:tcPr>
            <w:tcW w:w="975" w:type="dxa"/>
            <w:tcBorders>
              <w:top w:val="nil"/>
              <w:left w:val="nil"/>
              <w:bottom w:val="single" w:sz="4" w:space="0" w:color="auto"/>
              <w:right w:val="single" w:sz="4" w:space="0" w:color="auto"/>
            </w:tcBorders>
            <w:shd w:val="clear" w:color="auto" w:fill="auto"/>
            <w:vAlign w:val="center"/>
            <w:hideMark/>
          </w:tcPr>
          <w:p w14:paraId="7F5B693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Sociale </w:t>
            </w:r>
          </w:p>
        </w:tc>
      </w:tr>
      <w:tr w:rsidR="00B03CE4" w:rsidRPr="00727111" w14:paraId="289D4722"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08DD3F2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22</w:t>
            </w:r>
          </w:p>
        </w:tc>
        <w:tc>
          <w:tcPr>
            <w:tcW w:w="1235" w:type="dxa"/>
            <w:tcBorders>
              <w:top w:val="nil"/>
              <w:left w:val="nil"/>
              <w:bottom w:val="single" w:sz="4" w:space="0" w:color="auto"/>
              <w:right w:val="single" w:sz="4" w:space="0" w:color="auto"/>
            </w:tcBorders>
            <w:shd w:val="clear" w:color="auto" w:fill="auto"/>
            <w:vAlign w:val="center"/>
            <w:hideMark/>
          </w:tcPr>
          <w:p w14:paraId="2ACD83B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 ushtrimin e funksioneve të fondacionit "Marubi"</w:t>
            </w:r>
          </w:p>
        </w:tc>
        <w:tc>
          <w:tcPr>
            <w:tcW w:w="923" w:type="dxa"/>
            <w:tcBorders>
              <w:top w:val="nil"/>
              <w:left w:val="nil"/>
              <w:bottom w:val="single" w:sz="4" w:space="0" w:color="auto"/>
              <w:right w:val="single" w:sz="4" w:space="0" w:color="auto"/>
            </w:tcBorders>
            <w:shd w:val="clear" w:color="auto" w:fill="auto"/>
            <w:vAlign w:val="center"/>
            <w:hideMark/>
          </w:tcPr>
          <w:p w14:paraId="2943635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1947DD1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74F9DAA6"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304618F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Pika 4, neni 206 i ligjit nr.27/2018 "Për trashëgiminë kulturore dhe muzetë"</w:t>
            </w:r>
          </w:p>
        </w:tc>
        <w:tc>
          <w:tcPr>
            <w:tcW w:w="2406" w:type="dxa"/>
            <w:tcBorders>
              <w:top w:val="nil"/>
              <w:left w:val="nil"/>
              <w:bottom w:val="single" w:sz="4" w:space="0" w:color="auto"/>
              <w:right w:val="single" w:sz="4" w:space="0" w:color="auto"/>
            </w:tcBorders>
            <w:shd w:val="clear" w:color="auto" w:fill="auto"/>
            <w:vAlign w:val="center"/>
            <w:hideMark/>
          </w:tcPr>
          <w:p w14:paraId="0C380BD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Ngritja dhe funksionimi i fondacionit  “Marubi”, prane Muzeut Kombetar te Fotografise Marubi, Shkoder. Referuar ligjit nr.27/2018 "Per trashegimine kulturore dhe muzete". ky fondacion,midis të tjerave, shërben për formimin e restauratorëve të ardhshëm të materialeve fotografike</w:t>
            </w:r>
          </w:p>
        </w:tc>
        <w:tc>
          <w:tcPr>
            <w:tcW w:w="899" w:type="dxa"/>
            <w:tcBorders>
              <w:top w:val="nil"/>
              <w:left w:val="nil"/>
              <w:bottom w:val="single" w:sz="4" w:space="0" w:color="auto"/>
              <w:right w:val="single" w:sz="4" w:space="0" w:color="auto"/>
            </w:tcBorders>
            <w:shd w:val="clear" w:color="auto" w:fill="auto"/>
            <w:vAlign w:val="center"/>
            <w:hideMark/>
          </w:tcPr>
          <w:p w14:paraId="5D2B816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nil"/>
              <w:left w:val="nil"/>
              <w:bottom w:val="single" w:sz="4" w:space="0" w:color="auto"/>
              <w:right w:val="single" w:sz="4" w:space="0" w:color="auto"/>
            </w:tcBorders>
            <w:shd w:val="clear" w:color="auto" w:fill="auto"/>
            <w:vAlign w:val="center"/>
            <w:hideMark/>
          </w:tcPr>
          <w:p w14:paraId="6910837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single" w:sz="4" w:space="0" w:color="auto"/>
              <w:right w:val="single" w:sz="4" w:space="0" w:color="auto"/>
            </w:tcBorders>
            <w:shd w:val="clear" w:color="auto" w:fill="auto"/>
            <w:vAlign w:val="center"/>
            <w:hideMark/>
          </w:tcPr>
          <w:p w14:paraId="399062C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per Kulturen 2019-2025</w:t>
            </w:r>
          </w:p>
        </w:tc>
        <w:tc>
          <w:tcPr>
            <w:tcW w:w="975" w:type="dxa"/>
            <w:tcBorders>
              <w:top w:val="nil"/>
              <w:left w:val="nil"/>
              <w:bottom w:val="single" w:sz="4" w:space="0" w:color="auto"/>
              <w:right w:val="single" w:sz="4" w:space="0" w:color="auto"/>
            </w:tcBorders>
            <w:shd w:val="clear" w:color="auto" w:fill="auto"/>
            <w:vAlign w:val="center"/>
            <w:hideMark/>
          </w:tcPr>
          <w:p w14:paraId="7329E0A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sociale </w:t>
            </w:r>
          </w:p>
        </w:tc>
      </w:tr>
      <w:tr w:rsidR="00B03CE4" w:rsidRPr="00727111" w14:paraId="7412430E"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34BEA79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23</w:t>
            </w:r>
          </w:p>
        </w:tc>
        <w:tc>
          <w:tcPr>
            <w:tcW w:w="1235" w:type="dxa"/>
            <w:tcBorders>
              <w:top w:val="nil"/>
              <w:left w:val="nil"/>
              <w:bottom w:val="nil"/>
              <w:right w:val="single" w:sz="4" w:space="0" w:color="auto"/>
            </w:tcBorders>
            <w:shd w:val="clear" w:color="auto" w:fill="auto"/>
            <w:vAlign w:val="center"/>
            <w:hideMark/>
          </w:tcPr>
          <w:p w14:paraId="1130F7B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 planet 4 vjeçarë të strehimit</w:t>
            </w:r>
          </w:p>
        </w:tc>
        <w:tc>
          <w:tcPr>
            <w:tcW w:w="923" w:type="dxa"/>
            <w:tcBorders>
              <w:top w:val="nil"/>
              <w:left w:val="nil"/>
              <w:bottom w:val="nil"/>
              <w:right w:val="single" w:sz="4" w:space="0" w:color="auto"/>
            </w:tcBorders>
            <w:shd w:val="clear" w:color="auto" w:fill="auto"/>
            <w:vAlign w:val="center"/>
            <w:hideMark/>
          </w:tcPr>
          <w:p w14:paraId="1E9C24D6"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673DFB29"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4FD9306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nil"/>
              <w:right w:val="single" w:sz="4" w:space="0" w:color="auto"/>
            </w:tcBorders>
            <w:shd w:val="clear" w:color="auto" w:fill="auto"/>
            <w:noWrap/>
            <w:vAlign w:val="center"/>
            <w:hideMark/>
          </w:tcPr>
          <w:p w14:paraId="5A23D25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Shkronja "gj", pika 4, neni 72 i ligjit nr.22/2018 "Për strehimin social", i ndryshuar</w:t>
            </w:r>
          </w:p>
        </w:tc>
        <w:tc>
          <w:tcPr>
            <w:tcW w:w="2406" w:type="dxa"/>
            <w:tcBorders>
              <w:top w:val="nil"/>
              <w:left w:val="nil"/>
              <w:bottom w:val="nil"/>
              <w:right w:val="single" w:sz="4" w:space="0" w:color="auto"/>
            </w:tcBorders>
            <w:shd w:val="clear" w:color="auto" w:fill="auto"/>
            <w:vAlign w:val="center"/>
            <w:hideMark/>
          </w:tcPr>
          <w:p w14:paraId="2B48258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planeve 4 vjeçare të strehimit në nivel kombëtar</w:t>
            </w:r>
          </w:p>
        </w:tc>
        <w:tc>
          <w:tcPr>
            <w:tcW w:w="899" w:type="dxa"/>
            <w:tcBorders>
              <w:top w:val="nil"/>
              <w:left w:val="nil"/>
              <w:bottom w:val="nil"/>
              <w:right w:val="single" w:sz="4" w:space="0" w:color="auto"/>
            </w:tcBorders>
            <w:shd w:val="clear" w:color="auto" w:fill="auto"/>
            <w:vAlign w:val="center"/>
            <w:hideMark/>
          </w:tcPr>
          <w:p w14:paraId="09D54793"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Jo </w:t>
            </w:r>
          </w:p>
        </w:tc>
        <w:tc>
          <w:tcPr>
            <w:tcW w:w="1122" w:type="dxa"/>
            <w:tcBorders>
              <w:top w:val="nil"/>
              <w:left w:val="nil"/>
              <w:bottom w:val="nil"/>
              <w:right w:val="single" w:sz="4" w:space="0" w:color="auto"/>
            </w:tcBorders>
            <w:shd w:val="clear" w:color="auto" w:fill="auto"/>
            <w:vAlign w:val="center"/>
            <w:hideMark/>
          </w:tcPr>
          <w:p w14:paraId="56279277"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nil"/>
              <w:left w:val="nil"/>
              <w:bottom w:val="nil"/>
              <w:right w:val="single" w:sz="4" w:space="0" w:color="auto"/>
            </w:tcBorders>
            <w:shd w:val="clear" w:color="auto" w:fill="auto"/>
            <w:vAlign w:val="center"/>
            <w:hideMark/>
          </w:tcPr>
          <w:p w14:paraId="472AC4A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nil"/>
              <w:right w:val="single" w:sz="4" w:space="0" w:color="auto"/>
            </w:tcBorders>
            <w:shd w:val="clear" w:color="auto" w:fill="auto"/>
            <w:vAlign w:val="center"/>
            <w:hideMark/>
          </w:tcPr>
          <w:p w14:paraId="4EC8452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ekonomike financiare sociale</w:t>
            </w:r>
          </w:p>
        </w:tc>
      </w:tr>
      <w:tr w:rsidR="00B03CE4" w:rsidRPr="00727111" w14:paraId="50675FCB"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7BA37861"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24</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14:paraId="494E0AA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Plani i Menaxhimit te qyteteve Berat dhe Gjirokaster</w:t>
            </w:r>
          </w:p>
        </w:tc>
        <w:tc>
          <w:tcPr>
            <w:tcW w:w="923" w:type="dxa"/>
            <w:tcBorders>
              <w:top w:val="single" w:sz="4" w:space="0" w:color="auto"/>
              <w:left w:val="nil"/>
              <w:bottom w:val="single" w:sz="4" w:space="0" w:color="auto"/>
              <w:right w:val="single" w:sz="4" w:space="0" w:color="auto"/>
            </w:tcBorders>
            <w:shd w:val="clear" w:color="auto" w:fill="auto"/>
            <w:vAlign w:val="center"/>
            <w:hideMark/>
          </w:tcPr>
          <w:p w14:paraId="51FBE51D"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47915CB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2E9E570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single" w:sz="4" w:space="0" w:color="auto"/>
              <w:left w:val="nil"/>
              <w:bottom w:val="single" w:sz="4" w:space="0" w:color="auto"/>
              <w:right w:val="single" w:sz="4" w:space="0" w:color="auto"/>
            </w:tcBorders>
            <w:shd w:val="clear" w:color="000000" w:fill="FFFFFF"/>
            <w:vAlign w:val="center"/>
            <w:hideMark/>
          </w:tcPr>
          <w:p w14:paraId="0B7EA2FC"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Shkronja "a", pika 2, neni 47 i ligjit nr. 27/2018 "Për trashëgiminë kulturore dhe muzetë"</w:t>
            </w:r>
          </w:p>
        </w:tc>
        <w:tc>
          <w:tcPr>
            <w:tcW w:w="2406" w:type="dxa"/>
            <w:tcBorders>
              <w:top w:val="single" w:sz="4" w:space="0" w:color="auto"/>
              <w:left w:val="nil"/>
              <w:bottom w:val="single" w:sz="4" w:space="0" w:color="auto"/>
              <w:right w:val="single" w:sz="4" w:space="0" w:color="auto"/>
            </w:tcBorders>
            <w:shd w:val="clear" w:color="auto" w:fill="auto"/>
            <w:vAlign w:val="center"/>
            <w:hideMark/>
          </w:tcPr>
          <w:p w14:paraId="143F4A6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Vendosja në regjim dhe rregulla të veçanta të pasurive kulturore të paluajtshme të grupuara të dy qyteteve pasuri botërore sa i përket karakteristikave të përgjithshme të territorit të mbrojtur, për ruajtjen e trashëgimisë</w:t>
            </w:r>
            <w:r w:rsidRPr="00727111">
              <w:rPr>
                <w:rFonts w:ascii="Garamond" w:hAnsi="Garamond"/>
                <w:color w:val="000000"/>
                <w:sz w:val="12"/>
                <w:szCs w:val="12"/>
                <w:lang w:eastAsia="sq-AL"/>
              </w:rPr>
              <w:br/>
              <w:t>kulturore të paluajtshme, programin për ruajtjen e vlerës së paluajtshme</w:t>
            </w:r>
            <w:r w:rsidRPr="00727111">
              <w:rPr>
                <w:rFonts w:ascii="Garamond" w:hAnsi="Garamond"/>
                <w:color w:val="000000"/>
                <w:sz w:val="12"/>
                <w:szCs w:val="12"/>
                <w:lang w:eastAsia="sq-AL"/>
              </w:rPr>
              <w:br/>
              <w:t>kulturore dhe zbatimin e planit.</w:t>
            </w:r>
          </w:p>
        </w:tc>
        <w:tc>
          <w:tcPr>
            <w:tcW w:w="899" w:type="dxa"/>
            <w:tcBorders>
              <w:top w:val="single" w:sz="4" w:space="0" w:color="auto"/>
              <w:left w:val="nil"/>
              <w:bottom w:val="single" w:sz="4" w:space="0" w:color="auto"/>
              <w:right w:val="single" w:sz="4" w:space="0" w:color="auto"/>
            </w:tcBorders>
            <w:shd w:val="clear" w:color="auto" w:fill="auto"/>
            <w:vAlign w:val="center"/>
            <w:hideMark/>
          </w:tcPr>
          <w:p w14:paraId="5B17303B"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3A23235"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6" w:type="dxa"/>
            <w:tcBorders>
              <w:top w:val="single" w:sz="4" w:space="0" w:color="auto"/>
              <w:left w:val="nil"/>
              <w:bottom w:val="single" w:sz="4" w:space="0" w:color="auto"/>
              <w:right w:val="single" w:sz="4" w:space="0" w:color="auto"/>
            </w:tcBorders>
            <w:shd w:val="clear" w:color="auto" w:fill="auto"/>
            <w:vAlign w:val="center"/>
            <w:hideMark/>
          </w:tcPr>
          <w:p w14:paraId="206CEEE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per Kulturen 2019-2025</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0E14D621"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sociale</w:t>
            </w:r>
          </w:p>
        </w:tc>
      </w:tr>
      <w:tr w:rsidR="00B03CE4" w:rsidRPr="00727111" w14:paraId="68063A90" w14:textId="77777777" w:rsidTr="00B03CE4">
        <w:trPr>
          <w:trHeight w:val="180"/>
        </w:trPr>
        <w:tc>
          <w:tcPr>
            <w:tcW w:w="381" w:type="dxa"/>
            <w:tcBorders>
              <w:top w:val="nil"/>
              <w:left w:val="single" w:sz="4" w:space="0" w:color="auto"/>
              <w:bottom w:val="single" w:sz="4" w:space="0" w:color="auto"/>
              <w:right w:val="single" w:sz="4" w:space="0" w:color="auto"/>
            </w:tcBorders>
            <w:shd w:val="clear" w:color="auto" w:fill="auto"/>
            <w:vAlign w:val="center"/>
            <w:hideMark/>
          </w:tcPr>
          <w:p w14:paraId="28D2C43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25</w:t>
            </w:r>
          </w:p>
        </w:tc>
        <w:tc>
          <w:tcPr>
            <w:tcW w:w="1235" w:type="dxa"/>
            <w:tcBorders>
              <w:top w:val="nil"/>
              <w:left w:val="nil"/>
              <w:bottom w:val="single" w:sz="4" w:space="0" w:color="auto"/>
              <w:right w:val="single" w:sz="4" w:space="0" w:color="auto"/>
            </w:tcBorders>
            <w:shd w:val="clear" w:color="auto" w:fill="auto"/>
            <w:vAlign w:val="center"/>
            <w:hideMark/>
          </w:tcPr>
          <w:p w14:paraId="38BF3BAA"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Per përcaktimin  e koeficientit te indeksimit të bazës së vlerësuar  vjetore, për llogaritjen e pensioneve  </w:t>
            </w:r>
          </w:p>
        </w:tc>
        <w:tc>
          <w:tcPr>
            <w:tcW w:w="923" w:type="dxa"/>
            <w:tcBorders>
              <w:top w:val="nil"/>
              <w:left w:val="nil"/>
              <w:bottom w:val="single" w:sz="4" w:space="0" w:color="auto"/>
              <w:right w:val="single" w:sz="4" w:space="0" w:color="auto"/>
            </w:tcBorders>
            <w:shd w:val="clear" w:color="auto" w:fill="auto"/>
            <w:vAlign w:val="center"/>
            <w:hideMark/>
          </w:tcPr>
          <w:p w14:paraId="1B60CAF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958" w:type="dxa"/>
            <w:tcBorders>
              <w:top w:val="nil"/>
              <w:left w:val="nil"/>
              <w:bottom w:val="single" w:sz="4" w:space="0" w:color="auto"/>
              <w:right w:val="single" w:sz="4" w:space="0" w:color="auto"/>
            </w:tcBorders>
            <w:shd w:val="clear" w:color="auto" w:fill="auto"/>
            <w:vAlign w:val="center"/>
            <w:hideMark/>
          </w:tcPr>
          <w:p w14:paraId="6B582AC4"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Ministri i Ekonomisë, Kulturës dhe Inovacionit</w:t>
            </w:r>
          </w:p>
        </w:tc>
        <w:tc>
          <w:tcPr>
            <w:tcW w:w="1199" w:type="dxa"/>
            <w:tcBorders>
              <w:top w:val="nil"/>
              <w:left w:val="nil"/>
              <w:bottom w:val="single" w:sz="4" w:space="0" w:color="auto"/>
              <w:right w:val="single" w:sz="4" w:space="0" w:color="auto"/>
            </w:tcBorders>
            <w:shd w:val="clear" w:color="auto" w:fill="auto"/>
            <w:vAlign w:val="center"/>
            <w:hideMark/>
          </w:tcPr>
          <w:p w14:paraId="306D9FC2"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332" w:type="dxa"/>
            <w:tcBorders>
              <w:top w:val="nil"/>
              <w:left w:val="nil"/>
              <w:bottom w:val="single" w:sz="4" w:space="0" w:color="auto"/>
              <w:right w:val="single" w:sz="4" w:space="0" w:color="auto"/>
            </w:tcBorders>
            <w:shd w:val="clear" w:color="auto" w:fill="auto"/>
            <w:vAlign w:val="center"/>
            <w:hideMark/>
          </w:tcPr>
          <w:p w14:paraId="7896A75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Neneve 61 e 88 të ligjit nr. 7703, datë 11.5.1993, “Për sigurimet shoqërore në Republikën e Shqipërisë”, të ndryshuar</w:t>
            </w:r>
          </w:p>
        </w:tc>
        <w:tc>
          <w:tcPr>
            <w:tcW w:w="2406" w:type="dxa"/>
            <w:tcBorders>
              <w:top w:val="nil"/>
              <w:left w:val="nil"/>
              <w:bottom w:val="single" w:sz="4" w:space="0" w:color="auto"/>
              <w:right w:val="single" w:sz="4" w:space="0" w:color="auto"/>
            </w:tcBorders>
            <w:shd w:val="clear" w:color="auto" w:fill="auto"/>
            <w:vAlign w:val="center"/>
            <w:hideMark/>
          </w:tcPr>
          <w:p w14:paraId="469FD5C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Indeksimi i pensioneve sipas këtij projektvendimi ka për qëllim që të mbajë në nivel real masën e pensioneve dhe përfitimeve të tjera sociale duke i përshtatur me efektet e rritjes së indeksit të çmimeve të mallrave të konsumit për shportën e pensionistëve.</w:t>
            </w:r>
          </w:p>
        </w:tc>
        <w:tc>
          <w:tcPr>
            <w:tcW w:w="899" w:type="dxa"/>
            <w:tcBorders>
              <w:top w:val="nil"/>
              <w:left w:val="nil"/>
              <w:bottom w:val="single" w:sz="4" w:space="0" w:color="auto"/>
              <w:right w:val="single" w:sz="4" w:space="0" w:color="auto"/>
            </w:tcBorders>
            <w:shd w:val="clear" w:color="auto" w:fill="auto"/>
            <w:vAlign w:val="center"/>
            <w:hideMark/>
          </w:tcPr>
          <w:p w14:paraId="7CDA280F"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Kapitulli 19 "Politikat sociale dhe të punësimit"</w:t>
            </w:r>
          </w:p>
        </w:tc>
        <w:tc>
          <w:tcPr>
            <w:tcW w:w="1122" w:type="dxa"/>
            <w:tcBorders>
              <w:top w:val="nil"/>
              <w:left w:val="nil"/>
              <w:bottom w:val="single" w:sz="4" w:space="0" w:color="auto"/>
              <w:right w:val="single" w:sz="4" w:space="0" w:color="auto"/>
            </w:tcBorders>
            <w:shd w:val="clear" w:color="auto" w:fill="auto"/>
            <w:vAlign w:val="center"/>
            <w:hideMark/>
          </w:tcPr>
          <w:p w14:paraId="583FBAB0"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Shtylla "Familja"; Fusha "Kujdesi për të moshuarit dhe qytetarët më në nevojë"</w:t>
            </w:r>
          </w:p>
        </w:tc>
        <w:tc>
          <w:tcPr>
            <w:tcW w:w="976" w:type="dxa"/>
            <w:tcBorders>
              <w:top w:val="nil"/>
              <w:left w:val="nil"/>
              <w:bottom w:val="single" w:sz="4" w:space="0" w:color="auto"/>
              <w:right w:val="single" w:sz="4" w:space="0" w:color="auto"/>
            </w:tcBorders>
            <w:shd w:val="clear" w:color="auto" w:fill="auto"/>
            <w:vAlign w:val="center"/>
            <w:hideMark/>
          </w:tcPr>
          <w:p w14:paraId="1FE9D9DE"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75" w:type="dxa"/>
            <w:tcBorders>
              <w:top w:val="nil"/>
              <w:left w:val="nil"/>
              <w:bottom w:val="single" w:sz="4" w:space="0" w:color="auto"/>
              <w:right w:val="single" w:sz="4" w:space="0" w:color="auto"/>
            </w:tcBorders>
            <w:shd w:val="clear" w:color="auto" w:fill="auto"/>
            <w:vAlign w:val="center"/>
            <w:hideMark/>
          </w:tcPr>
          <w:p w14:paraId="6957CAA6" w14:textId="77777777" w:rsidR="00B03CE4" w:rsidRPr="00727111" w:rsidRDefault="00B03CE4" w:rsidP="00B03CE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financiare  ekonomike </w:t>
            </w:r>
          </w:p>
        </w:tc>
      </w:tr>
    </w:tbl>
    <w:p w14:paraId="6B26BAE2" w14:textId="47DC6BBC" w:rsidR="00B03CE4" w:rsidRPr="00727111" w:rsidRDefault="00B03CE4" w:rsidP="00593BF4">
      <w:pPr>
        <w:ind w:firstLine="284"/>
        <w:jc w:val="both"/>
        <w:rPr>
          <w:rFonts w:ascii="Garamond" w:hAnsi="Garamond"/>
          <w:b/>
          <w:sz w:val="24"/>
        </w:rPr>
      </w:pPr>
    </w:p>
    <w:p w14:paraId="6E1DDA0B" w14:textId="72347BD4" w:rsidR="00B03CE4" w:rsidRPr="00727111" w:rsidRDefault="00B03CE4" w:rsidP="00593BF4">
      <w:pPr>
        <w:ind w:firstLine="284"/>
        <w:jc w:val="both"/>
        <w:rPr>
          <w:rFonts w:ascii="Garamond" w:hAnsi="Garamond"/>
          <w:b/>
          <w:sz w:val="24"/>
        </w:rPr>
      </w:pPr>
    </w:p>
    <w:tbl>
      <w:tblPr>
        <w:tblW w:w="14534" w:type="dxa"/>
        <w:jc w:val="center"/>
        <w:tblLayout w:type="fixed"/>
        <w:tblLook w:val="04A0" w:firstRow="1" w:lastRow="0" w:firstColumn="1" w:lastColumn="0" w:noHBand="0" w:noVBand="1"/>
      </w:tblPr>
      <w:tblGrid>
        <w:gridCol w:w="390"/>
        <w:gridCol w:w="3007"/>
        <w:gridCol w:w="1560"/>
        <w:gridCol w:w="1701"/>
        <w:gridCol w:w="1134"/>
        <w:gridCol w:w="1656"/>
        <w:gridCol w:w="1277"/>
        <w:gridCol w:w="835"/>
        <w:gridCol w:w="1030"/>
        <w:gridCol w:w="864"/>
        <w:gridCol w:w="1080"/>
      </w:tblGrid>
      <w:tr w:rsidR="00667D44" w:rsidRPr="00727111" w14:paraId="138FE1D7" w14:textId="77777777" w:rsidTr="00667D44">
        <w:trPr>
          <w:trHeight w:val="180"/>
          <w:jc w:val="center"/>
        </w:trPr>
        <w:tc>
          <w:tcPr>
            <w:tcW w:w="14534"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71D1AABC" w14:textId="77777777" w:rsidR="00667D44" w:rsidRPr="00727111" w:rsidRDefault="00667D44" w:rsidP="00667D44">
            <w:pPr>
              <w:jc w:val="center"/>
              <w:rPr>
                <w:rFonts w:ascii="Garamond" w:hAnsi="Garamond"/>
                <w:b/>
                <w:bCs/>
                <w:color w:val="000000"/>
                <w:sz w:val="12"/>
                <w:szCs w:val="12"/>
                <w:lang w:eastAsia="sq-AL"/>
              </w:rPr>
            </w:pPr>
            <w:bookmarkStart w:id="10" w:name="RANGE!A1:K15"/>
            <w:r w:rsidRPr="00727111">
              <w:rPr>
                <w:rFonts w:ascii="Garamond" w:hAnsi="Garamond"/>
                <w:b/>
                <w:bCs/>
                <w:color w:val="000000"/>
                <w:sz w:val="12"/>
                <w:szCs w:val="12"/>
                <w:lang w:eastAsia="sq-AL"/>
              </w:rPr>
              <w:t>Programi i Përgjithshëm Analitik i Projektakteve për vitin 2025</w:t>
            </w:r>
            <w:bookmarkEnd w:id="10"/>
          </w:p>
        </w:tc>
      </w:tr>
      <w:tr w:rsidR="00667D44" w:rsidRPr="00727111" w14:paraId="19F52799" w14:textId="77777777" w:rsidTr="00667D44">
        <w:trPr>
          <w:trHeight w:val="180"/>
          <w:jc w:val="center"/>
        </w:trPr>
        <w:tc>
          <w:tcPr>
            <w:tcW w:w="14534"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11D7AC2E" w14:textId="77777777" w:rsidR="00667D44" w:rsidRPr="00727111" w:rsidRDefault="00667D44" w:rsidP="00667D44">
            <w:pPr>
              <w:jc w:val="center"/>
              <w:rPr>
                <w:rFonts w:ascii="Garamond" w:hAnsi="Garamond"/>
                <w:b/>
                <w:bCs/>
                <w:color w:val="000000"/>
                <w:sz w:val="12"/>
                <w:szCs w:val="12"/>
                <w:lang w:eastAsia="sq-AL"/>
              </w:rPr>
            </w:pPr>
            <w:r w:rsidRPr="00727111">
              <w:rPr>
                <w:rFonts w:ascii="Garamond" w:hAnsi="Garamond"/>
                <w:b/>
                <w:bCs/>
                <w:color w:val="000000"/>
                <w:sz w:val="12"/>
                <w:szCs w:val="12"/>
                <w:lang w:eastAsia="sq-AL"/>
              </w:rPr>
              <w:t>Ministria për Evropen dhe Punët e Jashtme</w:t>
            </w:r>
          </w:p>
        </w:tc>
      </w:tr>
      <w:tr w:rsidR="00667D44" w:rsidRPr="00727111" w14:paraId="6067AD3B"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000000" w:fill="C00000"/>
            <w:vAlign w:val="center"/>
            <w:hideMark/>
          </w:tcPr>
          <w:p w14:paraId="6CFCC59D"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Nr.</w:t>
            </w:r>
          </w:p>
        </w:tc>
        <w:tc>
          <w:tcPr>
            <w:tcW w:w="3007" w:type="dxa"/>
            <w:tcBorders>
              <w:top w:val="nil"/>
              <w:left w:val="nil"/>
              <w:bottom w:val="single" w:sz="4" w:space="0" w:color="auto"/>
              <w:right w:val="single" w:sz="4" w:space="0" w:color="auto"/>
            </w:tcBorders>
            <w:shd w:val="clear" w:color="000000" w:fill="C00000"/>
            <w:vAlign w:val="center"/>
            <w:hideMark/>
          </w:tcPr>
          <w:p w14:paraId="3835F83E"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Titulli i projektaktit</w:t>
            </w:r>
          </w:p>
        </w:tc>
        <w:tc>
          <w:tcPr>
            <w:tcW w:w="1560" w:type="dxa"/>
            <w:tcBorders>
              <w:top w:val="nil"/>
              <w:left w:val="nil"/>
              <w:bottom w:val="single" w:sz="4" w:space="0" w:color="auto"/>
              <w:right w:val="single" w:sz="4" w:space="0" w:color="auto"/>
            </w:tcBorders>
            <w:shd w:val="clear" w:color="000000" w:fill="C00000"/>
            <w:vAlign w:val="center"/>
            <w:hideMark/>
          </w:tcPr>
          <w:p w14:paraId="0981450F"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Lloji i projektaktit</w:t>
            </w:r>
          </w:p>
        </w:tc>
        <w:tc>
          <w:tcPr>
            <w:tcW w:w="1701" w:type="dxa"/>
            <w:tcBorders>
              <w:top w:val="nil"/>
              <w:left w:val="nil"/>
              <w:bottom w:val="single" w:sz="4" w:space="0" w:color="auto"/>
              <w:right w:val="single" w:sz="4" w:space="0" w:color="auto"/>
            </w:tcBorders>
            <w:shd w:val="clear" w:color="000000" w:fill="C00000"/>
            <w:vAlign w:val="center"/>
            <w:hideMark/>
          </w:tcPr>
          <w:p w14:paraId="3F42FE75"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Ministri propozues</w:t>
            </w:r>
          </w:p>
        </w:tc>
        <w:tc>
          <w:tcPr>
            <w:tcW w:w="1134" w:type="dxa"/>
            <w:tcBorders>
              <w:top w:val="nil"/>
              <w:left w:val="nil"/>
              <w:bottom w:val="single" w:sz="4" w:space="0" w:color="auto"/>
              <w:right w:val="single" w:sz="4" w:space="0" w:color="auto"/>
            </w:tcBorders>
            <w:shd w:val="clear" w:color="000000" w:fill="C00000"/>
            <w:vAlign w:val="center"/>
            <w:hideMark/>
          </w:tcPr>
          <w:p w14:paraId="08289637"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Katër mujori</w:t>
            </w:r>
          </w:p>
        </w:tc>
        <w:tc>
          <w:tcPr>
            <w:tcW w:w="1656" w:type="dxa"/>
            <w:tcBorders>
              <w:top w:val="nil"/>
              <w:left w:val="nil"/>
              <w:bottom w:val="single" w:sz="4" w:space="0" w:color="auto"/>
              <w:right w:val="single" w:sz="4" w:space="0" w:color="auto"/>
            </w:tcBorders>
            <w:shd w:val="clear" w:color="000000" w:fill="C00000"/>
            <w:vAlign w:val="center"/>
            <w:hideMark/>
          </w:tcPr>
          <w:p w14:paraId="181768F1"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Arsyet kryesore për propozimin e projektaktit</w:t>
            </w:r>
          </w:p>
        </w:tc>
        <w:tc>
          <w:tcPr>
            <w:tcW w:w="1277" w:type="dxa"/>
            <w:tcBorders>
              <w:top w:val="nil"/>
              <w:left w:val="nil"/>
              <w:bottom w:val="single" w:sz="4" w:space="0" w:color="auto"/>
              <w:right w:val="single" w:sz="4" w:space="0" w:color="auto"/>
            </w:tcBorders>
            <w:shd w:val="clear" w:color="000000" w:fill="C00000"/>
            <w:vAlign w:val="center"/>
            <w:hideMark/>
          </w:tcPr>
          <w:p w14:paraId="5521986D"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 xml:space="preserve">Çështjet kryesore që parashikon të rregullojë projektakti </w:t>
            </w:r>
          </w:p>
        </w:tc>
        <w:tc>
          <w:tcPr>
            <w:tcW w:w="835" w:type="dxa"/>
            <w:tcBorders>
              <w:top w:val="nil"/>
              <w:left w:val="nil"/>
              <w:bottom w:val="single" w:sz="4" w:space="0" w:color="auto"/>
              <w:right w:val="single" w:sz="4" w:space="0" w:color="auto"/>
            </w:tcBorders>
            <w:shd w:val="clear" w:color="000000" w:fill="C00000"/>
            <w:vAlign w:val="center"/>
            <w:hideMark/>
          </w:tcPr>
          <w:p w14:paraId="04E17441"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 është parashikuar projektakti në PKIE?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po, të specifikohet kapitulli përkatës</w:t>
            </w:r>
          </w:p>
        </w:tc>
        <w:tc>
          <w:tcPr>
            <w:tcW w:w="1030" w:type="dxa"/>
            <w:tcBorders>
              <w:top w:val="nil"/>
              <w:left w:val="nil"/>
              <w:bottom w:val="single" w:sz="4" w:space="0" w:color="auto"/>
              <w:right w:val="single" w:sz="4" w:space="0" w:color="auto"/>
            </w:tcBorders>
            <w:shd w:val="clear" w:color="000000" w:fill="C00000"/>
            <w:vAlign w:val="center"/>
            <w:hideMark/>
          </w:tcPr>
          <w:p w14:paraId="58358F3E"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Përputhshmëria e projektaktit me programin politik qeverisës 2021-2025</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përputhet, të jepet  referenca e saktë në progam</w:t>
            </w:r>
          </w:p>
        </w:tc>
        <w:tc>
          <w:tcPr>
            <w:tcW w:w="864" w:type="dxa"/>
            <w:tcBorders>
              <w:top w:val="nil"/>
              <w:left w:val="nil"/>
              <w:bottom w:val="single" w:sz="4" w:space="0" w:color="auto"/>
              <w:right w:val="single" w:sz="4" w:space="0" w:color="auto"/>
            </w:tcBorders>
            <w:shd w:val="clear" w:color="000000" w:fill="C00000"/>
            <w:vAlign w:val="center"/>
            <w:hideMark/>
          </w:tcPr>
          <w:p w14:paraId="19C52F1E"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Lidhja e projektaktit me strategjitë kombëtare dhe sektoriale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lidhet, të specifikohen strategjitë</w:t>
            </w:r>
          </w:p>
        </w:tc>
        <w:tc>
          <w:tcPr>
            <w:tcW w:w="1080" w:type="dxa"/>
            <w:tcBorders>
              <w:top w:val="nil"/>
              <w:left w:val="nil"/>
              <w:bottom w:val="single" w:sz="4" w:space="0" w:color="auto"/>
              <w:right w:val="single" w:sz="4" w:space="0" w:color="auto"/>
            </w:tcBorders>
            <w:shd w:val="clear" w:color="000000" w:fill="C00000"/>
            <w:vAlign w:val="center"/>
            <w:hideMark/>
          </w:tcPr>
          <w:p w14:paraId="3CAD5376" w14:textId="77777777" w:rsidR="00667D44" w:rsidRPr="00727111" w:rsidRDefault="00667D44" w:rsidP="00667D44">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Ndikimet e mundshme ekonomike, financiare, sociale dhe mjedisore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 xml:space="preserve">Përgjigjuni me Po/Jo për ndikimet përkatëse </w:t>
            </w:r>
          </w:p>
        </w:tc>
      </w:tr>
      <w:tr w:rsidR="00667D44" w:rsidRPr="00727111" w14:paraId="4DD1CE96"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46DA8B3"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1</w:t>
            </w:r>
          </w:p>
        </w:tc>
        <w:tc>
          <w:tcPr>
            <w:tcW w:w="3007" w:type="dxa"/>
            <w:tcBorders>
              <w:top w:val="nil"/>
              <w:left w:val="nil"/>
              <w:bottom w:val="single" w:sz="4" w:space="0" w:color="auto"/>
              <w:right w:val="single" w:sz="4" w:space="0" w:color="auto"/>
            </w:tcBorders>
            <w:shd w:val="clear" w:color="auto" w:fill="auto"/>
            <w:vAlign w:val="center"/>
            <w:hideMark/>
          </w:tcPr>
          <w:p w14:paraId="7DED7C97"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Për miratimin e Marrëveshjes ndërmjet Republikës së Shqipërisë dhe Bankës Evropiane të Investimeve lidhur me hapjen e përfaqësisë së Bankës Evropiane të Investimeve në Shqipëri</w:t>
            </w:r>
          </w:p>
        </w:tc>
        <w:tc>
          <w:tcPr>
            <w:tcW w:w="1560" w:type="dxa"/>
            <w:tcBorders>
              <w:top w:val="nil"/>
              <w:left w:val="nil"/>
              <w:bottom w:val="single" w:sz="4" w:space="0" w:color="auto"/>
              <w:right w:val="single" w:sz="4" w:space="0" w:color="auto"/>
            </w:tcBorders>
            <w:shd w:val="clear" w:color="auto" w:fill="auto"/>
            <w:vAlign w:val="center"/>
            <w:hideMark/>
          </w:tcPr>
          <w:p w14:paraId="1AD1BB72"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 xml:space="preserve">Projektligj </w:t>
            </w:r>
          </w:p>
        </w:tc>
        <w:tc>
          <w:tcPr>
            <w:tcW w:w="1701" w:type="dxa"/>
            <w:tcBorders>
              <w:top w:val="nil"/>
              <w:left w:val="nil"/>
              <w:bottom w:val="single" w:sz="4" w:space="0" w:color="auto"/>
              <w:right w:val="single" w:sz="4" w:space="0" w:color="auto"/>
            </w:tcBorders>
            <w:shd w:val="clear" w:color="auto" w:fill="auto"/>
            <w:vAlign w:val="center"/>
            <w:hideMark/>
          </w:tcPr>
          <w:p w14:paraId="7B10D15D"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4F3CCB87"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1656" w:type="dxa"/>
            <w:tcBorders>
              <w:top w:val="nil"/>
              <w:left w:val="nil"/>
              <w:bottom w:val="single" w:sz="4" w:space="0" w:color="auto"/>
              <w:right w:val="single" w:sz="4" w:space="0" w:color="auto"/>
            </w:tcBorders>
            <w:shd w:val="clear" w:color="auto" w:fill="auto"/>
            <w:vAlign w:val="center"/>
            <w:hideMark/>
          </w:tcPr>
          <w:p w14:paraId="6A58E5DD"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Miratimi pas nënshkrimit është kusht për hyrjen në fuqi të marrëveshjes, në zbatim të ligjit nr.43/2016 "Për marrëveshjet ndërkombëtare në Republikën e Shqipërisë",  i ndryshuar</w:t>
            </w:r>
          </w:p>
        </w:tc>
        <w:tc>
          <w:tcPr>
            <w:tcW w:w="1277" w:type="dxa"/>
            <w:tcBorders>
              <w:top w:val="nil"/>
              <w:left w:val="nil"/>
              <w:bottom w:val="single" w:sz="4" w:space="0" w:color="auto"/>
              <w:right w:val="single" w:sz="4" w:space="0" w:color="auto"/>
            </w:tcBorders>
            <w:shd w:val="clear" w:color="auto" w:fill="auto"/>
            <w:vAlign w:val="center"/>
            <w:hideMark/>
          </w:tcPr>
          <w:p w14:paraId="6F7737BC"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Krijimin e kushteve protokollare dhe lehtësirave për ushtrimin e funksioneve të Bankës Evropiane të Investimeve si zyrë përfaqësimi në Shqipëri</w:t>
            </w:r>
          </w:p>
        </w:tc>
        <w:tc>
          <w:tcPr>
            <w:tcW w:w="835" w:type="dxa"/>
            <w:tcBorders>
              <w:top w:val="nil"/>
              <w:left w:val="nil"/>
              <w:bottom w:val="single" w:sz="4" w:space="0" w:color="auto"/>
              <w:right w:val="single" w:sz="4" w:space="0" w:color="auto"/>
            </w:tcBorders>
            <w:shd w:val="clear" w:color="auto" w:fill="auto"/>
            <w:vAlign w:val="center"/>
            <w:hideMark/>
          </w:tcPr>
          <w:p w14:paraId="4BA20914"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22431FC1"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Konsolidimi i imazhit dhe rolit të Shqipërisë</w:t>
            </w:r>
          </w:p>
        </w:tc>
        <w:tc>
          <w:tcPr>
            <w:tcW w:w="864" w:type="dxa"/>
            <w:tcBorders>
              <w:top w:val="nil"/>
              <w:left w:val="nil"/>
              <w:bottom w:val="single" w:sz="4" w:space="0" w:color="auto"/>
              <w:right w:val="single" w:sz="4" w:space="0" w:color="auto"/>
            </w:tcBorders>
            <w:shd w:val="clear" w:color="auto" w:fill="auto"/>
            <w:vAlign w:val="center"/>
            <w:hideMark/>
          </w:tcPr>
          <w:p w14:paraId="042600A4"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Jo</w:t>
            </w:r>
          </w:p>
        </w:tc>
        <w:tc>
          <w:tcPr>
            <w:tcW w:w="1080" w:type="dxa"/>
            <w:tcBorders>
              <w:top w:val="nil"/>
              <w:left w:val="nil"/>
              <w:bottom w:val="single" w:sz="4" w:space="0" w:color="auto"/>
              <w:right w:val="single" w:sz="4" w:space="0" w:color="auto"/>
            </w:tcBorders>
            <w:shd w:val="clear" w:color="auto" w:fill="auto"/>
            <w:vAlign w:val="center"/>
            <w:hideMark/>
          </w:tcPr>
          <w:p w14:paraId="40F338AB"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Jo</w:t>
            </w:r>
          </w:p>
        </w:tc>
      </w:tr>
      <w:tr w:rsidR="00667D44" w:rsidRPr="00727111" w14:paraId="38692E42"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4EF41DD"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2</w:t>
            </w:r>
          </w:p>
        </w:tc>
        <w:tc>
          <w:tcPr>
            <w:tcW w:w="3007" w:type="dxa"/>
            <w:tcBorders>
              <w:top w:val="nil"/>
              <w:left w:val="nil"/>
              <w:bottom w:val="single" w:sz="4" w:space="0" w:color="auto"/>
              <w:right w:val="single" w:sz="4" w:space="0" w:color="auto"/>
            </w:tcBorders>
            <w:shd w:val="clear" w:color="auto" w:fill="auto"/>
            <w:vAlign w:val="center"/>
            <w:hideMark/>
          </w:tcPr>
          <w:p w14:paraId="69BE67F1"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Për miratimin e Marrëveshjes për bashkëpunimin në fushën e sigurisë dhe mbështetjes afatgjatë ndërmjet Republikës së Shqipërisë dhe Ukrainës</w:t>
            </w:r>
          </w:p>
        </w:tc>
        <w:tc>
          <w:tcPr>
            <w:tcW w:w="1560" w:type="dxa"/>
            <w:tcBorders>
              <w:top w:val="nil"/>
              <w:left w:val="nil"/>
              <w:bottom w:val="single" w:sz="4" w:space="0" w:color="auto"/>
              <w:right w:val="single" w:sz="4" w:space="0" w:color="auto"/>
            </w:tcBorders>
            <w:shd w:val="clear" w:color="auto" w:fill="auto"/>
            <w:vAlign w:val="center"/>
            <w:hideMark/>
          </w:tcPr>
          <w:p w14:paraId="48A66C48"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3394D6EE"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70063AF4"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1656" w:type="dxa"/>
            <w:tcBorders>
              <w:top w:val="nil"/>
              <w:left w:val="nil"/>
              <w:bottom w:val="single" w:sz="4" w:space="0" w:color="auto"/>
              <w:right w:val="single" w:sz="4" w:space="0" w:color="auto"/>
            </w:tcBorders>
            <w:shd w:val="clear" w:color="auto" w:fill="auto"/>
            <w:vAlign w:val="center"/>
            <w:hideMark/>
          </w:tcPr>
          <w:p w14:paraId="3A10A252"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Përmbushjen e angazhimeve të ndërmarra në kuadër të Traktatit të Miqësisë dhe Bashkëpunimit, nënshkruar me Ukrainën, në Tiranë, më 28.2.2024, por edhe nga angazhimet që Shqipëria ka marrë në kuadrin shumëpalësh, si:</w:t>
            </w:r>
            <w:r w:rsidRPr="00727111">
              <w:rPr>
                <w:rFonts w:ascii="Garamond" w:hAnsi="Garamond"/>
                <w:color w:val="000000"/>
                <w:sz w:val="12"/>
                <w:szCs w:val="12"/>
                <w:lang w:eastAsia="sq-AL"/>
              </w:rPr>
              <w:br/>
              <w:t xml:space="preserve">- Deklarata e Përbashkët e G7, e datës 12 korrik 2023, së cilës i janë bashkuar shumë vende të tjera, përfshi dhe Shqipërinë, </w:t>
            </w:r>
            <w:r w:rsidRPr="00727111">
              <w:rPr>
                <w:rFonts w:ascii="Garamond" w:hAnsi="Garamond"/>
                <w:color w:val="000000"/>
                <w:sz w:val="12"/>
                <w:szCs w:val="12"/>
                <w:lang w:eastAsia="sq-AL"/>
              </w:rPr>
              <w:br/>
              <w:t xml:space="preserve">- Deklarata e Përbashkët Shqipëri-Ukrainë, nënshkruar nga Kryeministri Rama dhe Presidenti Zelenskyy në Nju Jork, më 20 shtator 2023, </w:t>
            </w:r>
            <w:r w:rsidRPr="00727111">
              <w:rPr>
                <w:rFonts w:ascii="Garamond" w:hAnsi="Garamond"/>
                <w:color w:val="000000"/>
                <w:sz w:val="12"/>
                <w:szCs w:val="12"/>
                <w:lang w:eastAsia="sq-AL"/>
              </w:rPr>
              <w:br/>
              <w:t xml:space="preserve">- Deklarata e Përbashkët e G7 dhe BE, miratuar në Samitin e NATO-s, në Vilnius, më 11 korrik 2023, si dhe, </w:t>
            </w:r>
            <w:r w:rsidRPr="00727111">
              <w:rPr>
                <w:rFonts w:ascii="Garamond" w:hAnsi="Garamond"/>
                <w:color w:val="000000"/>
                <w:sz w:val="12"/>
                <w:szCs w:val="12"/>
                <w:lang w:eastAsia="sq-AL"/>
              </w:rPr>
              <w:br/>
              <w:t xml:space="preserve">- Kompakti për Ukrainën, i inicuar dhe miratuar më 11 korrik 2024, në Samitin e NATO-s, në Uashington. </w:t>
            </w:r>
          </w:p>
        </w:tc>
        <w:tc>
          <w:tcPr>
            <w:tcW w:w="1277" w:type="dxa"/>
            <w:tcBorders>
              <w:top w:val="nil"/>
              <w:left w:val="nil"/>
              <w:bottom w:val="single" w:sz="4" w:space="0" w:color="auto"/>
              <w:right w:val="single" w:sz="4" w:space="0" w:color="auto"/>
            </w:tcBorders>
            <w:shd w:val="clear" w:color="auto" w:fill="auto"/>
            <w:vAlign w:val="center"/>
            <w:hideMark/>
          </w:tcPr>
          <w:p w14:paraId="2B2FEB0C"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Mbështetjen afatgjatë  politike, ushtarake, teknike, mbrojtëse dhe humanitare të vendit tonë për pavarësinë, sovranitetin dhe integritetin territorial të Ukrainës brenda kufijve të saj të njohur ndërkombëtarisht që nga viti 1991 dhe të drejtën e saj të natyrshme për vetëmbrojtje kundër agresionit të Rusisë. </w:t>
            </w:r>
          </w:p>
        </w:tc>
        <w:tc>
          <w:tcPr>
            <w:tcW w:w="835" w:type="dxa"/>
            <w:tcBorders>
              <w:top w:val="nil"/>
              <w:left w:val="nil"/>
              <w:bottom w:val="single" w:sz="4" w:space="0" w:color="auto"/>
              <w:right w:val="single" w:sz="4" w:space="0" w:color="auto"/>
            </w:tcBorders>
            <w:shd w:val="clear" w:color="auto" w:fill="auto"/>
            <w:vAlign w:val="center"/>
            <w:hideMark/>
          </w:tcPr>
          <w:p w14:paraId="6858FB3B"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38AAF866"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e Sigurisë</w:t>
            </w:r>
          </w:p>
        </w:tc>
        <w:tc>
          <w:tcPr>
            <w:tcW w:w="864" w:type="dxa"/>
            <w:tcBorders>
              <w:top w:val="nil"/>
              <w:left w:val="nil"/>
              <w:bottom w:val="single" w:sz="4" w:space="0" w:color="auto"/>
              <w:right w:val="single" w:sz="4" w:space="0" w:color="auto"/>
            </w:tcBorders>
            <w:shd w:val="clear" w:color="auto" w:fill="auto"/>
            <w:vAlign w:val="center"/>
            <w:hideMark/>
          </w:tcPr>
          <w:p w14:paraId="12084576"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Jo</w:t>
            </w:r>
          </w:p>
        </w:tc>
        <w:tc>
          <w:tcPr>
            <w:tcW w:w="1080" w:type="dxa"/>
            <w:tcBorders>
              <w:top w:val="nil"/>
              <w:left w:val="nil"/>
              <w:bottom w:val="single" w:sz="4" w:space="0" w:color="auto"/>
              <w:right w:val="single" w:sz="4" w:space="0" w:color="auto"/>
            </w:tcBorders>
            <w:shd w:val="clear" w:color="auto" w:fill="auto"/>
            <w:vAlign w:val="center"/>
            <w:hideMark/>
          </w:tcPr>
          <w:p w14:paraId="625D82A0"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Jo</w:t>
            </w:r>
          </w:p>
        </w:tc>
      </w:tr>
      <w:tr w:rsidR="00667D44" w:rsidRPr="00727111" w14:paraId="44D155C5"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62076AA"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3</w:t>
            </w:r>
          </w:p>
        </w:tc>
        <w:tc>
          <w:tcPr>
            <w:tcW w:w="3007" w:type="dxa"/>
            <w:tcBorders>
              <w:top w:val="nil"/>
              <w:left w:val="nil"/>
              <w:bottom w:val="single" w:sz="4" w:space="0" w:color="auto"/>
              <w:right w:val="single" w:sz="4" w:space="0" w:color="auto"/>
            </w:tcBorders>
            <w:shd w:val="clear" w:color="auto" w:fill="auto"/>
            <w:vAlign w:val="center"/>
            <w:hideMark/>
          </w:tcPr>
          <w:p w14:paraId="167525B0"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Për disa shtesa dhe ndryshime në Vendimin e Këshillit të Ministrave nr. 470, datë 26.07.2018 “Për krijimin, organizimin dhe funksionimin e Qendrave Kulturore për Diasporën”</w:t>
            </w:r>
          </w:p>
        </w:tc>
        <w:tc>
          <w:tcPr>
            <w:tcW w:w="1560" w:type="dxa"/>
            <w:tcBorders>
              <w:top w:val="nil"/>
              <w:left w:val="nil"/>
              <w:bottom w:val="single" w:sz="4" w:space="0" w:color="auto"/>
              <w:right w:val="single" w:sz="4" w:space="0" w:color="auto"/>
            </w:tcBorders>
            <w:shd w:val="clear" w:color="auto" w:fill="auto"/>
            <w:vAlign w:val="center"/>
            <w:hideMark/>
          </w:tcPr>
          <w:p w14:paraId="273380D2"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 xml:space="preserve">Projektvendim </w:t>
            </w:r>
          </w:p>
        </w:tc>
        <w:tc>
          <w:tcPr>
            <w:tcW w:w="1701" w:type="dxa"/>
            <w:tcBorders>
              <w:top w:val="nil"/>
              <w:left w:val="nil"/>
              <w:bottom w:val="single" w:sz="4" w:space="0" w:color="auto"/>
              <w:right w:val="single" w:sz="4" w:space="0" w:color="auto"/>
            </w:tcBorders>
            <w:shd w:val="clear" w:color="auto" w:fill="auto"/>
            <w:vAlign w:val="center"/>
            <w:hideMark/>
          </w:tcPr>
          <w:p w14:paraId="7DE1AE62"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55EBEB59"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1656" w:type="dxa"/>
            <w:tcBorders>
              <w:top w:val="nil"/>
              <w:left w:val="nil"/>
              <w:bottom w:val="single" w:sz="4" w:space="0" w:color="auto"/>
              <w:right w:val="single" w:sz="4" w:space="0" w:color="auto"/>
            </w:tcBorders>
            <w:shd w:val="clear" w:color="auto" w:fill="auto"/>
            <w:vAlign w:val="center"/>
            <w:hideMark/>
          </w:tcPr>
          <w:p w14:paraId="56B09803"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Përputhshmëria me ndryshimet ligjore të propozuara nga Ministria për Evropën dhe Punët e Jashtme në Ligjin nr. 16/2018 “Për Diasporën” konkretisht në nenin 6. Këshilli i Ministrave ka miratuar Vendimin nr.81, datë 09.02.2022 “Për përcaktimin e fushës së përgjegjësisë shtetërore të Ministrisë për Evropën dhe Punët e Jashtme”, sipas të cilit MEPJ caktohet si institucion përgjegjës për diasporën, përgjegjësi kjo që më parë i përkiste Ministrit të Shtetit për Diasporën. Në këto kushte, Ministrisë për Evropën dhe Punët e Jashtme i lindi detyrimi për të bërë një analizë të kuadrit ligjor në fuqi për çështjet e diasporës, duke mbajtur në konsideratë politikën shtetërore dhe objektivat e MEPJ-së për mbrojtjen e të drejtave dhe interesave të shtetasve shqiptarë, që jetojnë jashtë kufijve të Republikën e Shqipërisë dhe ndryshimeve ligjore të propozuara në Ligjin nr.23/2015 “Për shërbimin e jashtëm në Republikën e Shqipërisë”. Projekt Vendimi i propozuar do të draftohet pas miratimit të amendimeve në Ligjin nr. 16/2018 “Për Diasporën” dhe në Ligjin nr.23/2015.</w:t>
            </w:r>
          </w:p>
        </w:tc>
        <w:tc>
          <w:tcPr>
            <w:tcW w:w="1277" w:type="dxa"/>
            <w:tcBorders>
              <w:top w:val="nil"/>
              <w:left w:val="nil"/>
              <w:bottom w:val="single" w:sz="4" w:space="0" w:color="auto"/>
              <w:right w:val="single" w:sz="4" w:space="0" w:color="auto"/>
            </w:tcBorders>
            <w:shd w:val="clear" w:color="auto" w:fill="auto"/>
            <w:vAlign w:val="center"/>
            <w:hideMark/>
          </w:tcPr>
          <w:p w14:paraId="4FC48D65"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Të qartësojë mënyrën e funksionimit, varësinë dhe mënyrën e financimit të Qendrave Kulturore për Diasporën”.</w:t>
            </w:r>
          </w:p>
        </w:tc>
        <w:tc>
          <w:tcPr>
            <w:tcW w:w="835" w:type="dxa"/>
            <w:tcBorders>
              <w:top w:val="nil"/>
              <w:left w:val="nil"/>
              <w:bottom w:val="single" w:sz="4" w:space="0" w:color="auto"/>
              <w:right w:val="single" w:sz="4" w:space="0" w:color="auto"/>
            </w:tcBorders>
            <w:shd w:val="clear" w:color="auto" w:fill="auto"/>
            <w:vAlign w:val="center"/>
            <w:hideMark/>
          </w:tcPr>
          <w:p w14:paraId="42714185"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0DEB5F64"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Konsolidimi i imazhit dhe rolit të Shqipërisë dhe pika 5</w:t>
            </w:r>
          </w:p>
        </w:tc>
        <w:tc>
          <w:tcPr>
            <w:tcW w:w="864" w:type="dxa"/>
            <w:tcBorders>
              <w:top w:val="nil"/>
              <w:left w:val="nil"/>
              <w:bottom w:val="single" w:sz="4" w:space="0" w:color="auto"/>
              <w:right w:val="single" w:sz="4" w:space="0" w:color="auto"/>
            </w:tcBorders>
            <w:shd w:val="clear" w:color="auto" w:fill="auto"/>
            <w:vAlign w:val="center"/>
            <w:hideMark/>
          </w:tcPr>
          <w:p w14:paraId="19B72B2A"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Strategjia Kombëtare e Diasporës 2021-2025.</w:t>
            </w:r>
          </w:p>
        </w:tc>
        <w:tc>
          <w:tcPr>
            <w:tcW w:w="1080" w:type="dxa"/>
            <w:tcBorders>
              <w:top w:val="nil"/>
              <w:left w:val="nil"/>
              <w:bottom w:val="single" w:sz="4" w:space="0" w:color="auto"/>
              <w:right w:val="single" w:sz="4" w:space="0" w:color="auto"/>
            </w:tcBorders>
            <w:shd w:val="clear" w:color="auto" w:fill="auto"/>
            <w:vAlign w:val="center"/>
            <w:hideMark/>
          </w:tcPr>
          <w:p w14:paraId="22FFA7B3"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ndikime financiare</w:t>
            </w:r>
          </w:p>
        </w:tc>
      </w:tr>
      <w:tr w:rsidR="00667D44" w:rsidRPr="00727111" w14:paraId="1C33C3C0"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DD434F1"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4</w:t>
            </w:r>
          </w:p>
        </w:tc>
        <w:tc>
          <w:tcPr>
            <w:tcW w:w="3007" w:type="dxa"/>
            <w:tcBorders>
              <w:top w:val="nil"/>
              <w:left w:val="nil"/>
              <w:bottom w:val="single" w:sz="4" w:space="0" w:color="auto"/>
              <w:right w:val="single" w:sz="4" w:space="0" w:color="auto"/>
            </w:tcBorders>
            <w:shd w:val="clear" w:color="auto" w:fill="auto"/>
            <w:vAlign w:val="center"/>
            <w:hideMark/>
          </w:tcPr>
          <w:p w14:paraId="40FFDB3D"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Për hapjen dhe mbylljen e misioneve diplomatike apo posteve konsullore të Republikës së Shqipërisë</w:t>
            </w:r>
          </w:p>
        </w:tc>
        <w:tc>
          <w:tcPr>
            <w:tcW w:w="1560" w:type="dxa"/>
            <w:tcBorders>
              <w:top w:val="nil"/>
              <w:left w:val="nil"/>
              <w:bottom w:val="single" w:sz="4" w:space="0" w:color="auto"/>
              <w:right w:val="single" w:sz="4" w:space="0" w:color="auto"/>
            </w:tcBorders>
            <w:shd w:val="clear" w:color="auto" w:fill="auto"/>
            <w:vAlign w:val="center"/>
            <w:hideMark/>
          </w:tcPr>
          <w:p w14:paraId="328A9D42"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0ABFCE9D"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7B660425"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1656" w:type="dxa"/>
            <w:tcBorders>
              <w:top w:val="nil"/>
              <w:left w:val="nil"/>
              <w:bottom w:val="single" w:sz="4" w:space="0" w:color="auto"/>
              <w:right w:val="single" w:sz="4" w:space="0" w:color="auto"/>
            </w:tcBorders>
            <w:shd w:val="clear" w:color="auto" w:fill="auto"/>
            <w:vAlign w:val="center"/>
            <w:hideMark/>
          </w:tcPr>
          <w:p w14:paraId="13B9F89A"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Nisur nga nevoja e e zhvillimit të marrëdhienieve diplomatike mes  shtetit shqiptar dhe  shteteve; organizatave ndërkombetare; mbrojtja e interesave të shtetasve shqiptar</w:t>
            </w:r>
          </w:p>
        </w:tc>
        <w:tc>
          <w:tcPr>
            <w:tcW w:w="1277" w:type="dxa"/>
            <w:tcBorders>
              <w:top w:val="nil"/>
              <w:left w:val="nil"/>
              <w:bottom w:val="single" w:sz="4" w:space="0" w:color="auto"/>
              <w:right w:val="single" w:sz="4" w:space="0" w:color="auto"/>
            </w:tcBorders>
            <w:shd w:val="clear" w:color="auto" w:fill="auto"/>
            <w:vAlign w:val="center"/>
            <w:hideMark/>
          </w:tcPr>
          <w:p w14:paraId="6082FAD8"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Zhvillimi i marrëdhënieve diplomatike mes shtetit shqiptar dhe shteteve  apo organizatave ndërkombetare,  mbrojtja e interesave të shtetasve shqiptar</w:t>
            </w:r>
          </w:p>
        </w:tc>
        <w:tc>
          <w:tcPr>
            <w:tcW w:w="835" w:type="dxa"/>
            <w:tcBorders>
              <w:top w:val="nil"/>
              <w:left w:val="nil"/>
              <w:bottom w:val="single" w:sz="4" w:space="0" w:color="auto"/>
              <w:right w:val="single" w:sz="4" w:space="0" w:color="auto"/>
            </w:tcBorders>
            <w:shd w:val="clear" w:color="auto" w:fill="auto"/>
            <w:vAlign w:val="center"/>
            <w:hideMark/>
          </w:tcPr>
          <w:p w14:paraId="1BDE1493"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31C818A8"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Po, fusha Konsolidimi i imazhit dhe rolit të Shqipërisë, pika 112</w:t>
            </w:r>
          </w:p>
        </w:tc>
        <w:tc>
          <w:tcPr>
            <w:tcW w:w="864" w:type="dxa"/>
            <w:tcBorders>
              <w:top w:val="nil"/>
              <w:left w:val="nil"/>
              <w:bottom w:val="single" w:sz="4" w:space="0" w:color="auto"/>
              <w:right w:val="single" w:sz="4" w:space="0" w:color="auto"/>
            </w:tcBorders>
            <w:shd w:val="clear" w:color="auto" w:fill="auto"/>
            <w:vAlign w:val="center"/>
            <w:hideMark/>
          </w:tcPr>
          <w:p w14:paraId="6466A2EC"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80" w:type="dxa"/>
            <w:tcBorders>
              <w:top w:val="nil"/>
              <w:left w:val="nil"/>
              <w:bottom w:val="single" w:sz="4" w:space="0" w:color="auto"/>
              <w:right w:val="single" w:sz="4" w:space="0" w:color="auto"/>
            </w:tcBorders>
            <w:shd w:val="clear" w:color="auto" w:fill="auto"/>
            <w:vAlign w:val="center"/>
            <w:hideMark/>
          </w:tcPr>
          <w:p w14:paraId="508512EC"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po, ndikime financiare</w:t>
            </w:r>
          </w:p>
        </w:tc>
      </w:tr>
      <w:tr w:rsidR="00667D44" w:rsidRPr="00727111" w14:paraId="2D5D34B2"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8E95254"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5</w:t>
            </w:r>
          </w:p>
        </w:tc>
        <w:tc>
          <w:tcPr>
            <w:tcW w:w="3007" w:type="dxa"/>
            <w:tcBorders>
              <w:top w:val="nil"/>
              <w:left w:val="nil"/>
              <w:bottom w:val="single" w:sz="4" w:space="0" w:color="auto"/>
              <w:right w:val="single" w:sz="4" w:space="0" w:color="auto"/>
            </w:tcBorders>
            <w:shd w:val="clear" w:color="auto" w:fill="auto"/>
            <w:vAlign w:val="center"/>
            <w:hideMark/>
          </w:tcPr>
          <w:p w14:paraId="7A080F1E"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Për disa shtesa dhe ndryshime në Vendimin e Këshillit të Ministrave Nr. 339, datë 06.06.2018 “Për kriteret dhe mënyrën e ndarjes së çmimit “Ambasador i Kombit”</w:t>
            </w:r>
          </w:p>
        </w:tc>
        <w:tc>
          <w:tcPr>
            <w:tcW w:w="1560" w:type="dxa"/>
            <w:tcBorders>
              <w:top w:val="nil"/>
              <w:left w:val="nil"/>
              <w:bottom w:val="single" w:sz="4" w:space="0" w:color="auto"/>
              <w:right w:val="single" w:sz="4" w:space="0" w:color="auto"/>
            </w:tcBorders>
            <w:shd w:val="clear" w:color="auto" w:fill="auto"/>
            <w:vAlign w:val="center"/>
            <w:hideMark/>
          </w:tcPr>
          <w:p w14:paraId="2238F15B"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 xml:space="preserve">Projektvendim </w:t>
            </w:r>
          </w:p>
        </w:tc>
        <w:tc>
          <w:tcPr>
            <w:tcW w:w="1701" w:type="dxa"/>
            <w:tcBorders>
              <w:top w:val="nil"/>
              <w:left w:val="nil"/>
              <w:bottom w:val="single" w:sz="4" w:space="0" w:color="auto"/>
              <w:right w:val="single" w:sz="4" w:space="0" w:color="auto"/>
            </w:tcBorders>
            <w:shd w:val="clear" w:color="auto" w:fill="auto"/>
            <w:vAlign w:val="center"/>
            <w:hideMark/>
          </w:tcPr>
          <w:p w14:paraId="7D8FE27B"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13F09241"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1656" w:type="dxa"/>
            <w:tcBorders>
              <w:top w:val="nil"/>
              <w:left w:val="nil"/>
              <w:bottom w:val="single" w:sz="4" w:space="0" w:color="auto"/>
              <w:right w:val="single" w:sz="4" w:space="0" w:color="auto"/>
            </w:tcBorders>
            <w:shd w:val="clear" w:color="auto" w:fill="auto"/>
            <w:vAlign w:val="center"/>
            <w:hideMark/>
          </w:tcPr>
          <w:p w14:paraId="0F278DF9"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Këshilli i Ministrave ka miratuar Vendimin nr.81, datë 09.02.2022 “Për përcaktimin e fushës së përgjegjësisë shtetërore të Ministrisë për Evropën dhe Punët e Jashtme”, sipas të cilit MEPJ caktohet si institucion përgjegjës për diasporën, përgjegjësi kjo që më parë i përkiste Ministrit të Shtetit për Diasporën. Në këto kushte, Ministrisë për Evropën dhe Punët e Jashtme i lindi detyrimi për të bërë një analizë të kuadrit ligjor në fuqi për çështjet e diasporës, duke mbajtur në konsideratë politikën shtetërore dhe objektivat e MEPJ-së për mbrojtjen e të drejtave dhe interesave të shtetasve shqiptarë, që jetojnë jashtë kufijve të Republikën e Shqipërisë. Projekt Vendimi i propozuar do të draftohet pas miratimit të amendimeve në Ligjin nr. 16/2018 “Për Diasporën” neni 15.</w:t>
            </w:r>
          </w:p>
        </w:tc>
        <w:tc>
          <w:tcPr>
            <w:tcW w:w="1277" w:type="dxa"/>
            <w:tcBorders>
              <w:top w:val="nil"/>
              <w:left w:val="nil"/>
              <w:bottom w:val="single" w:sz="4" w:space="0" w:color="auto"/>
              <w:right w:val="single" w:sz="4" w:space="0" w:color="auto"/>
            </w:tcBorders>
            <w:shd w:val="clear" w:color="auto" w:fill="auto"/>
            <w:vAlign w:val="center"/>
            <w:hideMark/>
          </w:tcPr>
          <w:p w14:paraId="7B7E526F"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Duke patur një gamë të gjerë të fushave në të cilat shqiptarët spikasin dhe janë të sukseshëm Vendimi i Këshillit të Ministrave aktualisht në zbatim ka nevojë për disa shtesa pasi është i kufizuar vetëm në një lloj çmimi atë të Ambasador Kombi. Për këtë qëllim lind nevoja për zgjerim të çmimeve të akorduara duke mos u kufizuar vetëm në akordimin e çmimit të Abasador Kombi por të pasurohet dhe me kategori të tjera çmimesh.</w:t>
            </w:r>
          </w:p>
        </w:tc>
        <w:tc>
          <w:tcPr>
            <w:tcW w:w="835" w:type="dxa"/>
            <w:tcBorders>
              <w:top w:val="nil"/>
              <w:left w:val="nil"/>
              <w:bottom w:val="single" w:sz="4" w:space="0" w:color="auto"/>
              <w:right w:val="single" w:sz="4" w:space="0" w:color="auto"/>
            </w:tcBorders>
            <w:shd w:val="clear" w:color="auto" w:fill="auto"/>
            <w:vAlign w:val="center"/>
            <w:hideMark/>
          </w:tcPr>
          <w:p w14:paraId="382D6961"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41308E39"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Konsolidimi i imazhit dhe rolit të Shqipërisë dhe pika 5</w:t>
            </w:r>
          </w:p>
        </w:tc>
        <w:tc>
          <w:tcPr>
            <w:tcW w:w="864" w:type="dxa"/>
            <w:tcBorders>
              <w:top w:val="nil"/>
              <w:left w:val="nil"/>
              <w:bottom w:val="single" w:sz="4" w:space="0" w:color="auto"/>
              <w:right w:val="single" w:sz="4" w:space="0" w:color="auto"/>
            </w:tcBorders>
            <w:shd w:val="clear" w:color="auto" w:fill="auto"/>
            <w:vAlign w:val="center"/>
            <w:hideMark/>
          </w:tcPr>
          <w:p w14:paraId="7ECCEE54"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Strategjia Kombëtare e Diasporës 2021-2025.</w:t>
            </w:r>
          </w:p>
        </w:tc>
        <w:tc>
          <w:tcPr>
            <w:tcW w:w="1080" w:type="dxa"/>
            <w:tcBorders>
              <w:top w:val="nil"/>
              <w:left w:val="nil"/>
              <w:bottom w:val="single" w:sz="4" w:space="0" w:color="auto"/>
              <w:right w:val="single" w:sz="4" w:space="0" w:color="auto"/>
            </w:tcBorders>
            <w:shd w:val="clear" w:color="auto" w:fill="auto"/>
            <w:vAlign w:val="center"/>
            <w:hideMark/>
          </w:tcPr>
          <w:p w14:paraId="16E0139D"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ndikime financiare</w:t>
            </w:r>
          </w:p>
        </w:tc>
      </w:tr>
      <w:tr w:rsidR="00667D44" w:rsidRPr="00727111" w14:paraId="6E8B16F8"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BBB4F27"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6</w:t>
            </w:r>
          </w:p>
        </w:tc>
        <w:tc>
          <w:tcPr>
            <w:tcW w:w="3007" w:type="dxa"/>
            <w:tcBorders>
              <w:top w:val="nil"/>
              <w:left w:val="nil"/>
              <w:bottom w:val="single" w:sz="4" w:space="0" w:color="auto"/>
              <w:right w:val="single" w:sz="4" w:space="0" w:color="auto"/>
            </w:tcBorders>
            <w:shd w:val="clear" w:color="auto" w:fill="auto"/>
            <w:vAlign w:val="center"/>
            <w:hideMark/>
          </w:tcPr>
          <w:p w14:paraId="0BD877BE"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 xml:space="preserve">Për disa shtesa dhe ndryshime në Vendimin e Këshillit të Ministrave nr.320, datë 15.05.2019 “Për statusin e anëtarëve të Këshillit Koordinues të Diasporës </w:t>
            </w:r>
          </w:p>
        </w:tc>
        <w:tc>
          <w:tcPr>
            <w:tcW w:w="1560" w:type="dxa"/>
            <w:tcBorders>
              <w:top w:val="nil"/>
              <w:left w:val="nil"/>
              <w:bottom w:val="single" w:sz="4" w:space="0" w:color="auto"/>
              <w:right w:val="single" w:sz="4" w:space="0" w:color="auto"/>
            </w:tcBorders>
            <w:shd w:val="clear" w:color="auto" w:fill="auto"/>
            <w:vAlign w:val="center"/>
            <w:hideMark/>
          </w:tcPr>
          <w:p w14:paraId="0A766F25"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 xml:space="preserve">Projektvendim </w:t>
            </w:r>
          </w:p>
        </w:tc>
        <w:tc>
          <w:tcPr>
            <w:tcW w:w="1701" w:type="dxa"/>
            <w:tcBorders>
              <w:top w:val="nil"/>
              <w:left w:val="nil"/>
              <w:bottom w:val="single" w:sz="4" w:space="0" w:color="auto"/>
              <w:right w:val="single" w:sz="4" w:space="0" w:color="auto"/>
            </w:tcBorders>
            <w:shd w:val="clear" w:color="auto" w:fill="auto"/>
            <w:vAlign w:val="center"/>
            <w:hideMark/>
          </w:tcPr>
          <w:p w14:paraId="7C929DFA"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1FC38139"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1656" w:type="dxa"/>
            <w:tcBorders>
              <w:top w:val="nil"/>
              <w:left w:val="nil"/>
              <w:bottom w:val="single" w:sz="4" w:space="0" w:color="auto"/>
              <w:right w:val="single" w:sz="4" w:space="0" w:color="auto"/>
            </w:tcBorders>
            <w:shd w:val="clear" w:color="auto" w:fill="auto"/>
            <w:vAlign w:val="center"/>
            <w:hideMark/>
          </w:tcPr>
          <w:p w14:paraId="2A4135DC"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Përputhshmëria me ndryshimet ligjore të propozuara nga MEPJ në Ligjin për Diasporën nr. 16/2018 Këshilli i Ministrave ka miratuar Vendimin nr.81, datë 09.02.2022 “Për përcaktimin e fushës së përgjegjësisë shtetërore të Ministrisë për Evropën dhe Punët e Jashtme”, sipas të cilit MEPJ caktohet si institucion përgjegjës për diasporën, përgjegjësi kjo që më parë i përkiste Ministrit të Shtetit për Diasporën.Në këto kushte, Ministrisë për Evropën dhe Punët e Jashtme i lindi detyrimi për të bërë një analizë të kuadrit ligjor në fuqi për çështjet e diasporës, duke mbajtur në konsideratë politikën shtetërore dhe objektivat e MEPJ-së për mbrojtjen e të drejtave dhe interesave të shtetasve shqiptarë, që jetojnë jashtë kufijve të Republikën e Shqipërisë. Projekt Vendimi i propozuar do të draftohet pas miratimit të amendimeve në Ligjin nr. 16/2018 “Për Diasporën”.</w:t>
            </w:r>
          </w:p>
        </w:tc>
        <w:tc>
          <w:tcPr>
            <w:tcW w:w="1277" w:type="dxa"/>
            <w:tcBorders>
              <w:top w:val="nil"/>
              <w:left w:val="nil"/>
              <w:bottom w:val="single" w:sz="4" w:space="0" w:color="auto"/>
              <w:right w:val="single" w:sz="4" w:space="0" w:color="auto"/>
            </w:tcBorders>
            <w:shd w:val="clear" w:color="auto" w:fill="auto"/>
            <w:vAlign w:val="center"/>
            <w:hideMark/>
          </w:tcPr>
          <w:p w14:paraId="22BBFDB5"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Forcimi i lidhjeve midis Këshillit Koordinues të Diasporës, diasporës me institucionet e Republikës së Shqipërisë.</w:t>
            </w:r>
          </w:p>
        </w:tc>
        <w:tc>
          <w:tcPr>
            <w:tcW w:w="835" w:type="dxa"/>
            <w:tcBorders>
              <w:top w:val="nil"/>
              <w:left w:val="nil"/>
              <w:bottom w:val="single" w:sz="4" w:space="0" w:color="auto"/>
              <w:right w:val="single" w:sz="4" w:space="0" w:color="auto"/>
            </w:tcBorders>
            <w:shd w:val="clear" w:color="auto" w:fill="auto"/>
            <w:vAlign w:val="center"/>
            <w:hideMark/>
          </w:tcPr>
          <w:p w14:paraId="2100D8DB"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388C03B4"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Konsolidimi i imazhit dhe rolit të Shqipërisë dhe pika 5</w:t>
            </w:r>
          </w:p>
        </w:tc>
        <w:tc>
          <w:tcPr>
            <w:tcW w:w="864" w:type="dxa"/>
            <w:tcBorders>
              <w:top w:val="nil"/>
              <w:left w:val="nil"/>
              <w:bottom w:val="single" w:sz="4" w:space="0" w:color="auto"/>
              <w:right w:val="single" w:sz="4" w:space="0" w:color="auto"/>
            </w:tcBorders>
            <w:shd w:val="clear" w:color="auto" w:fill="auto"/>
            <w:vAlign w:val="center"/>
            <w:hideMark/>
          </w:tcPr>
          <w:p w14:paraId="6E76E86E"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Strategjia Kombëtare e Diasporës 2021-2025.</w:t>
            </w:r>
          </w:p>
        </w:tc>
        <w:tc>
          <w:tcPr>
            <w:tcW w:w="1080" w:type="dxa"/>
            <w:tcBorders>
              <w:top w:val="nil"/>
              <w:left w:val="nil"/>
              <w:bottom w:val="single" w:sz="4" w:space="0" w:color="auto"/>
              <w:right w:val="single" w:sz="4" w:space="0" w:color="auto"/>
            </w:tcBorders>
            <w:shd w:val="clear" w:color="auto" w:fill="auto"/>
            <w:vAlign w:val="center"/>
            <w:hideMark/>
          </w:tcPr>
          <w:p w14:paraId="62BFAE35"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ndikime financiare</w:t>
            </w:r>
          </w:p>
        </w:tc>
      </w:tr>
      <w:tr w:rsidR="00667D44" w:rsidRPr="00727111" w14:paraId="75C1B71C"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8FD21A0"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7</w:t>
            </w:r>
          </w:p>
        </w:tc>
        <w:tc>
          <w:tcPr>
            <w:tcW w:w="3007" w:type="dxa"/>
            <w:tcBorders>
              <w:top w:val="nil"/>
              <w:left w:val="nil"/>
              <w:bottom w:val="single" w:sz="4" w:space="0" w:color="auto"/>
              <w:right w:val="single" w:sz="4" w:space="0" w:color="auto"/>
            </w:tcBorders>
            <w:shd w:val="clear" w:color="auto" w:fill="auto"/>
            <w:vAlign w:val="center"/>
            <w:hideMark/>
          </w:tcPr>
          <w:p w14:paraId="51FFE8F1"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Për disa shtesa dhe ndryshime në Vendimin e Këshillit të Ministrave nr. 780 datë 6.11.2019 “Për caktimin e oficerëve koordinues për çështjet e diasporës shqiptare në konsullatat shqiptare në Itali dhe Greqi”</w:t>
            </w:r>
          </w:p>
        </w:tc>
        <w:tc>
          <w:tcPr>
            <w:tcW w:w="1560" w:type="dxa"/>
            <w:tcBorders>
              <w:top w:val="nil"/>
              <w:left w:val="nil"/>
              <w:bottom w:val="single" w:sz="4" w:space="0" w:color="auto"/>
              <w:right w:val="single" w:sz="4" w:space="0" w:color="auto"/>
            </w:tcBorders>
            <w:shd w:val="clear" w:color="auto" w:fill="auto"/>
            <w:vAlign w:val="center"/>
            <w:hideMark/>
          </w:tcPr>
          <w:p w14:paraId="61983C04"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 xml:space="preserve">Projektvendim </w:t>
            </w:r>
          </w:p>
        </w:tc>
        <w:tc>
          <w:tcPr>
            <w:tcW w:w="1701" w:type="dxa"/>
            <w:tcBorders>
              <w:top w:val="nil"/>
              <w:left w:val="nil"/>
              <w:bottom w:val="single" w:sz="4" w:space="0" w:color="auto"/>
              <w:right w:val="single" w:sz="4" w:space="0" w:color="auto"/>
            </w:tcBorders>
            <w:shd w:val="clear" w:color="auto" w:fill="auto"/>
            <w:vAlign w:val="center"/>
            <w:hideMark/>
          </w:tcPr>
          <w:p w14:paraId="284356D2"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3A66894F"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1656" w:type="dxa"/>
            <w:tcBorders>
              <w:top w:val="nil"/>
              <w:left w:val="nil"/>
              <w:bottom w:val="single" w:sz="4" w:space="0" w:color="auto"/>
              <w:right w:val="single" w:sz="4" w:space="0" w:color="auto"/>
            </w:tcBorders>
            <w:shd w:val="clear" w:color="auto" w:fill="auto"/>
            <w:vAlign w:val="center"/>
            <w:hideMark/>
          </w:tcPr>
          <w:p w14:paraId="0AAE7F6F"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Këshilli i Ministrave ka miratuar Vendimin nr.81, datë 09.02.2022 “Për përcaktimin e fushës së përgjegjësisë shtetërore të Ministrisë për Evropën dhe Punët e Jashtme”, sipas të cilit MEPJ caktohet si institucion përgjegjës për diasporën, përgjegjësi kjo që më parë i përkiste Ministrit të Shtetit për Diasporën. Në këto kushte, Ministrisë për Evropën dhe Punët e Jashtme i lindi detyrimi për të bërë një analizë të kuadrit ligjor në fuqi për çështjet e diasporës, duke mbajtur në konsideratë politikën shtetërore dhe objektivat e MEPJ-së për mbrojtjen e të drejtave dhe interesave të shtetasve shqiptarë, që jetojnë jashtë kufijve të Republikën e Shqipërisë dhe ndryshimeve ligjore të propozuara në Ligjin nr.23/2015 “Për shërbimin e jashtëm në Republikën e Shqipërisë”. Projekt Vendimi i propozuar do të draftohet pas miratimit të amendimeve në Ligjin nr. 16/2018 “Për Diasporën dhe në Ligjin nr.23/2015</w:t>
            </w:r>
          </w:p>
        </w:tc>
        <w:tc>
          <w:tcPr>
            <w:tcW w:w="1277" w:type="dxa"/>
            <w:tcBorders>
              <w:top w:val="nil"/>
              <w:left w:val="nil"/>
              <w:bottom w:val="single" w:sz="4" w:space="0" w:color="auto"/>
              <w:right w:val="single" w:sz="4" w:space="0" w:color="auto"/>
            </w:tcBorders>
            <w:shd w:val="clear" w:color="auto" w:fill="auto"/>
            <w:vAlign w:val="center"/>
            <w:hideMark/>
          </w:tcPr>
          <w:p w14:paraId="635B6FBB"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Qartësimi i autoriteteve shtetërore përgjegjëse për zbatimin e Vendimit Këshillit të Ministrave.</w:t>
            </w:r>
          </w:p>
        </w:tc>
        <w:tc>
          <w:tcPr>
            <w:tcW w:w="835" w:type="dxa"/>
            <w:tcBorders>
              <w:top w:val="nil"/>
              <w:left w:val="nil"/>
              <w:bottom w:val="single" w:sz="4" w:space="0" w:color="auto"/>
              <w:right w:val="single" w:sz="4" w:space="0" w:color="auto"/>
            </w:tcBorders>
            <w:shd w:val="clear" w:color="auto" w:fill="auto"/>
            <w:vAlign w:val="center"/>
            <w:hideMark/>
          </w:tcPr>
          <w:p w14:paraId="45DA51CB"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6380B20F"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Konsolidimi i imazhit dhe rolit të Shqipërisë dhe pika 5</w:t>
            </w:r>
          </w:p>
        </w:tc>
        <w:tc>
          <w:tcPr>
            <w:tcW w:w="864" w:type="dxa"/>
            <w:tcBorders>
              <w:top w:val="nil"/>
              <w:left w:val="nil"/>
              <w:bottom w:val="single" w:sz="4" w:space="0" w:color="auto"/>
              <w:right w:val="single" w:sz="4" w:space="0" w:color="auto"/>
            </w:tcBorders>
            <w:shd w:val="clear" w:color="auto" w:fill="auto"/>
            <w:vAlign w:val="center"/>
            <w:hideMark/>
          </w:tcPr>
          <w:p w14:paraId="5B3BD711"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Strategjia Kombëtare e Diasporës 2021-2025.</w:t>
            </w:r>
          </w:p>
        </w:tc>
        <w:tc>
          <w:tcPr>
            <w:tcW w:w="1080" w:type="dxa"/>
            <w:tcBorders>
              <w:top w:val="nil"/>
              <w:left w:val="nil"/>
              <w:bottom w:val="single" w:sz="4" w:space="0" w:color="auto"/>
              <w:right w:val="single" w:sz="4" w:space="0" w:color="auto"/>
            </w:tcBorders>
            <w:shd w:val="clear" w:color="auto" w:fill="auto"/>
            <w:vAlign w:val="center"/>
            <w:hideMark/>
          </w:tcPr>
          <w:p w14:paraId="21B69D6A"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ndikime financiare</w:t>
            </w:r>
          </w:p>
        </w:tc>
      </w:tr>
      <w:tr w:rsidR="00667D44" w:rsidRPr="00727111" w14:paraId="5367B56C"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39A9194"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8</w:t>
            </w:r>
          </w:p>
        </w:tc>
        <w:tc>
          <w:tcPr>
            <w:tcW w:w="3007" w:type="dxa"/>
            <w:tcBorders>
              <w:top w:val="nil"/>
              <w:left w:val="nil"/>
              <w:bottom w:val="single" w:sz="4" w:space="0" w:color="auto"/>
              <w:right w:val="single" w:sz="4" w:space="0" w:color="auto"/>
            </w:tcBorders>
            <w:shd w:val="clear" w:color="auto" w:fill="auto"/>
            <w:vAlign w:val="center"/>
            <w:hideMark/>
          </w:tcPr>
          <w:p w14:paraId="7BCF9D86"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Për disa ndryshime në Vendimin nr.718, datë 29.10.2004 të Këshillit të Ministrave "Mbi listën e personave të shpallur financues të terrorizmit, të ndryshuar</w:t>
            </w:r>
          </w:p>
        </w:tc>
        <w:tc>
          <w:tcPr>
            <w:tcW w:w="1560" w:type="dxa"/>
            <w:tcBorders>
              <w:top w:val="nil"/>
              <w:left w:val="nil"/>
              <w:bottom w:val="single" w:sz="4" w:space="0" w:color="auto"/>
              <w:right w:val="single" w:sz="4" w:space="0" w:color="auto"/>
            </w:tcBorders>
            <w:shd w:val="clear" w:color="auto" w:fill="auto"/>
            <w:vAlign w:val="center"/>
            <w:hideMark/>
          </w:tcPr>
          <w:p w14:paraId="66DB17D0"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7E2D6365"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2E4B1BEB"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1656" w:type="dxa"/>
            <w:tcBorders>
              <w:top w:val="nil"/>
              <w:left w:val="nil"/>
              <w:bottom w:val="single" w:sz="4" w:space="0" w:color="auto"/>
              <w:right w:val="single" w:sz="4" w:space="0" w:color="auto"/>
            </w:tcBorders>
            <w:shd w:val="clear" w:color="auto" w:fill="auto"/>
            <w:vAlign w:val="center"/>
            <w:hideMark/>
          </w:tcPr>
          <w:p w14:paraId="127AD486"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Përmbushjen e detyrimeve ligjore,  ligji nr. 157/2013 "Pë ndalimin e financimit të terrrrorizmit, i ndryshuar,  në varësi të shpalljeve nga KS i OKB</w:t>
            </w:r>
          </w:p>
        </w:tc>
        <w:tc>
          <w:tcPr>
            <w:tcW w:w="1277" w:type="dxa"/>
            <w:tcBorders>
              <w:top w:val="nil"/>
              <w:left w:val="nil"/>
              <w:bottom w:val="single" w:sz="4" w:space="0" w:color="auto"/>
              <w:right w:val="single" w:sz="4" w:space="0" w:color="auto"/>
            </w:tcBorders>
            <w:shd w:val="clear" w:color="auto" w:fill="auto"/>
            <w:vAlign w:val="center"/>
            <w:hideMark/>
          </w:tcPr>
          <w:p w14:paraId="0D37DD78"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Përditësimin e listës së sanksioneve të shpallura nga Komiteti i Këshillit të Sigurimit të Kombeve të Bashkuara.</w:t>
            </w:r>
          </w:p>
        </w:tc>
        <w:tc>
          <w:tcPr>
            <w:tcW w:w="835" w:type="dxa"/>
            <w:tcBorders>
              <w:top w:val="nil"/>
              <w:left w:val="nil"/>
              <w:bottom w:val="single" w:sz="4" w:space="0" w:color="auto"/>
              <w:right w:val="single" w:sz="4" w:space="0" w:color="auto"/>
            </w:tcBorders>
            <w:shd w:val="clear" w:color="auto" w:fill="auto"/>
            <w:vAlign w:val="center"/>
            <w:hideMark/>
          </w:tcPr>
          <w:p w14:paraId="3337EE54"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Jo </w:t>
            </w:r>
          </w:p>
        </w:tc>
        <w:tc>
          <w:tcPr>
            <w:tcW w:w="1030" w:type="dxa"/>
            <w:tcBorders>
              <w:top w:val="nil"/>
              <w:left w:val="nil"/>
              <w:bottom w:val="single" w:sz="4" w:space="0" w:color="auto"/>
              <w:right w:val="single" w:sz="4" w:space="0" w:color="auto"/>
            </w:tcBorders>
            <w:shd w:val="clear" w:color="auto" w:fill="auto"/>
            <w:vAlign w:val="center"/>
            <w:hideMark/>
          </w:tcPr>
          <w:p w14:paraId="03BEED07"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Integrimi Evropian</w:t>
            </w:r>
          </w:p>
        </w:tc>
        <w:tc>
          <w:tcPr>
            <w:tcW w:w="864" w:type="dxa"/>
            <w:tcBorders>
              <w:top w:val="nil"/>
              <w:left w:val="nil"/>
              <w:bottom w:val="single" w:sz="4" w:space="0" w:color="auto"/>
              <w:right w:val="single" w:sz="4" w:space="0" w:color="auto"/>
            </w:tcBorders>
            <w:shd w:val="clear" w:color="auto" w:fill="auto"/>
            <w:vAlign w:val="center"/>
            <w:hideMark/>
          </w:tcPr>
          <w:p w14:paraId="4E97D738"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 xml:space="preserve">Jo </w:t>
            </w:r>
          </w:p>
        </w:tc>
        <w:tc>
          <w:tcPr>
            <w:tcW w:w="1080" w:type="dxa"/>
            <w:tcBorders>
              <w:top w:val="nil"/>
              <w:left w:val="nil"/>
              <w:bottom w:val="single" w:sz="4" w:space="0" w:color="auto"/>
              <w:right w:val="single" w:sz="4" w:space="0" w:color="auto"/>
            </w:tcBorders>
            <w:shd w:val="clear" w:color="auto" w:fill="auto"/>
            <w:vAlign w:val="center"/>
            <w:hideMark/>
          </w:tcPr>
          <w:p w14:paraId="32286998"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Jo</w:t>
            </w:r>
          </w:p>
        </w:tc>
      </w:tr>
      <w:tr w:rsidR="00667D44" w:rsidRPr="00727111" w14:paraId="4E1B7616"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CA7DBD5"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9</w:t>
            </w:r>
          </w:p>
        </w:tc>
        <w:tc>
          <w:tcPr>
            <w:tcW w:w="3007" w:type="dxa"/>
            <w:tcBorders>
              <w:top w:val="nil"/>
              <w:left w:val="nil"/>
              <w:bottom w:val="single" w:sz="4" w:space="0" w:color="auto"/>
              <w:right w:val="single" w:sz="4" w:space="0" w:color="auto"/>
            </w:tcBorders>
            <w:shd w:val="clear" w:color="auto" w:fill="auto"/>
            <w:vAlign w:val="center"/>
            <w:hideMark/>
          </w:tcPr>
          <w:p w14:paraId="5EA94DEC"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Për miratimin e Marrëveshjes ndërmjet Këshillit të Ministrave të Republikës së Shqipërisë dhe Qeverisë së Republikës Domenikane, për heqjen e vizave për shtetasit mbajtës të pasaportave diplomatike, të shërbimit dhe zyrtare</w:t>
            </w:r>
          </w:p>
        </w:tc>
        <w:tc>
          <w:tcPr>
            <w:tcW w:w="1560" w:type="dxa"/>
            <w:tcBorders>
              <w:top w:val="nil"/>
              <w:left w:val="nil"/>
              <w:bottom w:val="single" w:sz="4" w:space="0" w:color="auto"/>
              <w:right w:val="single" w:sz="4" w:space="0" w:color="auto"/>
            </w:tcBorders>
            <w:shd w:val="clear" w:color="auto" w:fill="auto"/>
            <w:vAlign w:val="center"/>
            <w:hideMark/>
          </w:tcPr>
          <w:p w14:paraId="201F44E2"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6AA24606"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6E654FA9"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656" w:type="dxa"/>
            <w:tcBorders>
              <w:top w:val="nil"/>
              <w:left w:val="nil"/>
              <w:bottom w:val="single" w:sz="4" w:space="0" w:color="auto"/>
              <w:right w:val="single" w:sz="4" w:space="0" w:color="auto"/>
            </w:tcBorders>
            <w:shd w:val="clear" w:color="auto" w:fill="auto"/>
            <w:vAlign w:val="center"/>
            <w:hideMark/>
          </w:tcPr>
          <w:p w14:paraId="3FADED6C"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Miratimi pas nënshkrimit është kusht për hyrjen në fuqi të marrëveshjes, në zbatim të ligjit nr.43/2016 "Për marrëveshjet ndërkombëtare në Republikën e Shqipërisë", I ndryshuar</w:t>
            </w:r>
          </w:p>
        </w:tc>
        <w:tc>
          <w:tcPr>
            <w:tcW w:w="1277" w:type="dxa"/>
            <w:tcBorders>
              <w:top w:val="nil"/>
              <w:left w:val="nil"/>
              <w:bottom w:val="single" w:sz="4" w:space="0" w:color="auto"/>
              <w:right w:val="single" w:sz="4" w:space="0" w:color="auto"/>
            </w:tcBorders>
            <w:shd w:val="clear" w:color="auto" w:fill="auto"/>
            <w:vAlign w:val="center"/>
            <w:hideMark/>
          </w:tcPr>
          <w:p w14:paraId="0E7A18C9"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Lehtësiminn e lëvizjes për shtetasit shqiptarë mbajtës së pasaportave diplomatike dhe të shërbimit dhe ta domenikanë mbajtës të pasaportave diplomatike dhe të zyrtarëve publikë.</w:t>
            </w:r>
          </w:p>
        </w:tc>
        <w:tc>
          <w:tcPr>
            <w:tcW w:w="835" w:type="dxa"/>
            <w:tcBorders>
              <w:top w:val="nil"/>
              <w:left w:val="nil"/>
              <w:bottom w:val="single" w:sz="4" w:space="0" w:color="auto"/>
              <w:right w:val="single" w:sz="4" w:space="0" w:color="auto"/>
            </w:tcBorders>
            <w:shd w:val="clear" w:color="auto" w:fill="auto"/>
            <w:vAlign w:val="center"/>
            <w:hideMark/>
          </w:tcPr>
          <w:p w14:paraId="7D15949B"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3FF30A5A"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Konsolidimi i imazhit dhe rolit të Shqipërisë</w:t>
            </w:r>
          </w:p>
        </w:tc>
        <w:tc>
          <w:tcPr>
            <w:tcW w:w="864" w:type="dxa"/>
            <w:tcBorders>
              <w:top w:val="nil"/>
              <w:left w:val="nil"/>
              <w:bottom w:val="single" w:sz="4" w:space="0" w:color="auto"/>
              <w:right w:val="single" w:sz="4" w:space="0" w:color="auto"/>
            </w:tcBorders>
            <w:shd w:val="clear" w:color="auto" w:fill="auto"/>
            <w:vAlign w:val="center"/>
            <w:hideMark/>
          </w:tcPr>
          <w:p w14:paraId="69E0E4E7"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Jo</w:t>
            </w:r>
          </w:p>
        </w:tc>
        <w:tc>
          <w:tcPr>
            <w:tcW w:w="1080" w:type="dxa"/>
            <w:tcBorders>
              <w:top w:val="nil"/>
              <w:left w:val="nil"/>
              <w:bottom w:val="single" w:sz="4" w:space="0" w:color="auto"/>
              <w:right w:val="single" w:sz="4" w:space="0" w:color="auto"/>
            </w:tcBorders>
            <w:shd w:val="clear" w:color="auto" w:fill="auto"/>
            <w:vAlign w:val="center"/>
            <w:hideMark/>
          </w:tcPr>
          <w:p w14:paraId="73BA5352"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Jo</w:t>
            </w:r>
          </w:p>
        </w:tc>
      </w:tr>
      <w:tr w:rsidR="00667D44" w:rsidRPr="00727111" w14:paraId="02D4A4C8"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E8E093B"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10</w:t>
            </w:r>
          </w:p>
        </w:tc>
        <w:tc>
          <w:tcPr>
            <w:tcW w:w="3007" w:type="dxa"/>
            <w:tcBorders>
              <w:top w:val="nil"/>
              <w:left w:val="nil"/>
              <w:bottom w:val="single" w:sz="4" w:space="0" w:color="auto"/>
              <w:right w:val="single" w:sz="4" w:space="0" w:color="auto"/>
            </w:tcBorders>
            <w:shd w:val="clear" w:color="auto" w:fill="auto"/>
            <w:vAlign w:val="center"/>
            <w:hideMark/>
          </w:tcPr>
          <w:p w14:paraId="7A04CABC"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Për krijimin, organizimin dhe funksionimin e Qendrës së Studimeve dhe Publikimeve për Arbëreshët</w:t>
            </w:r>
          </w:p>
        </w:tc>
        <w:tc>
          <w:tcPr>
            <w:tcW w:w="1560" w:type="dxa"/>
            <w:tcBorders>
              <w:top w:val="nil"/>
              <w:left w:val="nil"/>
              <w:bottom w:val="single" w:sz="4" w:space="0" w:color="auto"/>
              <w:right w:val="single" w:sz="4" w:space="0" w:color="auto"/>
            </w:tcBorders>
            <w:shd w:val="clear" w:color="auto" w:fill="auto"/>
            <w:vAlign w:val="center"/>
            <w:hideMark/>
          </w:tcPr>
          <w:p w14:paraId="24E2983E"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23F74570"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602F9507"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656" w:type="dxa"/>
            <w:tcBorders>
              <w:top w:val="nil"/>
              <w:left w:val="nil"/>
              <w:bottom w:val="single" w:sz="4" w:space="0" w:color="auto"/>
              <w:right w:val="single" w:sz="4" w:space="0" w:color="auto"/>
            </w:tcBorders>
            <w:shd w:val="clear" w:color="auto" w:fill="auto"/>
            <w:vAlign w:val="center"/>
            <w:hideMark/>
          </w:tcPr>
          <w:p w14:paraId="1C75285A"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Nevoja për ndryshimin e projektaktit që rregullon QSPA-në, vjen si domosdoshmëri e rregullimit të kuadrit ligjor të strukturës përgjegjëse për diasporën historike arbëreshe në varësi të MEPJ-së, të cilat lidhen me organizimin dhe funksionimin e QSPA-së.</w:t>
            </w:r>
          </w:p>
        </w:tc>
        <w:tc>
          <w:tcPr>
            <w:tcW w:w="1277" w:type="dxa"/>
            <w:tcBorders>
              <w:top w:val="nil"/>
              <w:left w:val="nil"/>
              <w:bottom w:val="single" w:sz="4" w:space="0" w:color="auto"/>
              <w:right w:val="single" w:sz="4" w:space="0" w:color="auto"/>
            </w:tcBorders>
            <w:shd w:val="clear" w:color="auto" w:fill="auto"/>
            <w:vAlign w:val="center"/>
            <w:hideMark/>
          </w:tcPr>
          <w:p w14:paraId="5599D35E"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Akti synon të rregulloj statusin e Qendrës së Studimeve dhe Publikimeve për Arbëreshët, detyrat dhe funksionet e tij, ngritja e Këshillit Akademik Teknik për Botimet si organ kolegjial vendimarrës</w:t>
            </w:r>
          </w:p>
        </w:tc>
        <w:tc>
          <w:tcPr>
            <w:tcW w:w="835" w:type="dxa"/>
            <w:tcBorders>
              <w:top w:val="nil"/>
              <w:left w:val="nil"/>
              <w:bottom w:val="single" w:sz="4" w:space="0" w:color="auto"/>
              <w:right w:val="single" w:sz="4" w:space="0" w:color="auto"/>
            </w:tcBorders>
            <w:shd w:val="clear" w:color="auto" w:fill="auto"/>
            <w:vAlign w:val="center"/>
            <w:hideMark/>
          </w:tcPr>
          <w:p w14:paraId="094EB2B7"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Jo </w:t>
            </w:r>
          </w:p>
        </w:tc>
        <w:tc>
          <w:tcPr>
            <w:tcW w:w="1030" w:type="dxa"/>
            <w:tcBorders>
              <w:top w:val="nil"/>
              <w:left w:val="nil"/>
              <w:bottom w:val="single" w:sz="4" w:space="0" w:color="auto"/>
              <w:right w:val="single" w:sz="4" w:space="0" w:color="auto"/>
            </w:tcBorders>
            <w:shd w:val="clear" w:color="auto" w:fill="auto"/>
            <w:vAlign w:val="center"/>
            <w:hideMark/>
          </w:tcPr>
          <w:p w14:paraId="2B2AC9BC"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Po, fusha Konsolidimi i imazhit dhe rolit të Shqipërisë</w:t>
            </w:r>
          </w:p>
        </w:tc>
        <w:tc>
          <w:tcPr>
            <w:tcW w:w="864" w:type="dxa"/>
            <w:tcBorders>
              <w:top w:val="nil"/>
              <w:left w:val="nil"/>
              <w:bottom w:val="single" w:sz="4" w:space="0" w:color="auto"/>
              <w:right w:val="single" w:sz="4" w:space="0" w:color="auto"/>
            </w:tcBorders>
            <w:shd w:val="clear" w:color="auto" w:fill="auto"/>
            <w:vAlign w:val="center"/>
            <w:hideMark/>
          </w:tcPr>
          <w:p w14:paraId="2389EE11"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Strategjia Kombëtare e Diasporës Shqiptare 2021 – 2025 dhe Planin të Veprimit</w:t>
            </w:r>
          </w:p>
        </w:tc>
        <w:tc>
          <w:tcPr>
            <w:tcW w:w="1080" w:type="dxa"/>
            <w:tcBorders>
              <w:top w:val="nil"/>
              <w:left w:val="nil"/>
              <w:bottom w:val="single" w:sz="4" w:space="0" w:color="auto"/>
              <w:right w:val="single" w:sz="4" w:space="0" w:color="auto"/>
            </w:tcBorders>
            <w:shd w:val="clear" w:color="auto" w:fill="auto"/>
            <w:vAlign w:val="center"/>
            <w:hideMark/>
          </w:tcPr>
          <w:p w14:paraId="7D7EC190"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667D44" w:rsidRPr="00727111" w14:paraId="10B897A0"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2C23CB0"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11</w:t>
            </w:r>
          </w:p>
        </w:tc>
        <w:tc>
          <w:tcPr>
            <w:tcW w:w="3007" w:type="dxa"/>
            <w:tcBorders>
              <w:top w:val="nil"/>
              <w:left w:val="nil"/>
              <w:bottom w:val="single" w:sz="4" w:space="0" w:color="auto"/>
              <w:right w:val="single" w:sz="4" w:space="0" w:color="auto"/>
            </w:tcBorders>
            <w:shd w:val="clear" w:color="auto" w:fill="auto"/>
            <w:vAlign w:val="center"/>
            <w:hideMark/>
          </w:tcPr>
          <w:p w14:paraId="609EEFF9"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Për disa shtesa dhe ndryshime në Vendimin e Këshillit të Ministrave Nr.340, datë 6. 6. 2018 “Për përcaktimin e rregullave të hollësishme për kushtet dhe mënyrën e zgjedhjes së përfaqësuesve të Këshillit Koordinues të Diasporës”</w:t>
            </w:r>
          </w:p>
        </w:tc>
        <w:tc>
          <w:tcPr>
            <w:tcW w:w="1560" w:type="dxa"/>
            <w:tcBorders>
              <w:top w:val="nil"/>
              <w:left w:val="nil"/>
              <w:bottom w:val="single" w:sz="4" w:space="0" w:color="auto"/>
              <w:right w:val="single" w:sz="4" w:space="0" w:color="auto"/>
            </w:tcBorders>
            <w:shd w:val="clear" w:color="auto" w:fill="auto"/>
            <w:vAlign w:val="center"/>
            <w:hideMark/>
          </w:tcPr>
          <w:p w14:paraId="4C69119A"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 xml:space="preserve">Projektvendim </w:t>
            </w:r>
          </w:p>
        </w:tc>
        <w:tc>
          <w:tcPr>
            <w:tcW w:w="1701" w:type="dxa"/>
            <w:tcBorders>
              <w:top w:val="nil"/>
              <w:left w:val="nil"/>
              <w:bottom w:val="single" w:sz="4" w:space="0" w:color="auto"/>
              <w:right w:val="single" w:sz="4" w:space="0" w:color="auto"/>
            </w:tcBorders>
            <w:shd w:val="clear" w:color="auto" w:fill="auto"/>
            <w:vAlign w:val="center"/>
            <w:hideMark/>
          </w:tcPr>
          <w:p w14:paraId="75D51B3B"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0B82A1EB"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656" w:type="dxa"/>
            <w:tcBorders>
              <w:top w:val="nil"/>
              <w:left w:val="nil"/>
              <w:bottom w:val="single" w:sz="4" w:space="0" w:color="auto"/>
              <w:right w:val="single" w:sz="4" w:space="0" w:color="auto"/>
            </w:tcBorders>
            <w:shd w:val="clear" w:color="auto" w:fill="auto"/>
            <w:vAlign w:val="center"/>
            <w:hideMark/>
          </w:tcPr>
          <w:p w14:paraId="2D8A7509"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Përputhshmëria me ndryshimet ligjore të propozuara nga MEPJ  në Ligjin për Diasporën nr. 16/2018, në nenin 19 dhe nenin 20. Këshilli i Ministrave ka miratuar Vendimin nr.81, datë 09.02.2022 “Për përcaktimin e fushës së përgjegjësisë shtetërore të Ministrisë për Evropën dhe Punët e Jashtme”, sipas të cilit MEPJ caktohet si institucion përgjegjës për diasporën, përgjegjësi kjo që më parë i përkiste Ministrit të Shtetit për Diasporën. Në këto kushte, Ministrisë për Evropën dhe Punët e Jashtme i lindi detyrimi për të bërë një analizë të kuadrit ligjor në fuqi për çështjet e diasporës, duke mbajtur në konsideratë politikën shtetërore dhe objektivat e MEPJ-së për mbrojtjen e të drejtave dhe interesave të shtetasve shqiptarë, që jetojnë jashtë kufijve të Republikën e Shqipërisë. Projekt Vendimi i propozuar do të draftohet pas miratimit të amendimeve në Ligjin nr. 16/2018 “Për Diasporën”.</w:t>
            </w:r>
          </w:p>
        </w:tc>
        <w:tc>
          <w:tcPr>
            <w:tcW w:w="1277" w:type="dxa"/>
            <w:tcBorders>
              <w:top w:val="nil"/>
              <w:left w:val="nil"/>
              <w:bottom w:val="single" w:sz="4" w:space="0" w:color="auto"/>
              <w:right w:val="single" w:sz="4" w:space="0" w:color="auto"/>
            </w:tcBorders>
            <w:shd w:val="clear" w:color="auto" w:fill="auto"/>
            <w:vAlign w:val="center"/>
            <w:hideMark/>
          </w:tcPr>
          <w:p w14:paraId="33B8AABE"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Pasja e një kuadri të plotë institucional mbi mënyrën e përzgjedhjes dhe rritja e numrit të anëtarëve të Këshillit Koordinues të Diasporës për një përfaqësim më të gjerë të diasporës shqiptare nga shtete ose kontinente ende të pambuluara.</w:t>
            </w:r>
          </w:p>
        </w:tc>
        <w:tc>
          <w:tcPr>
            <w:tcW w:w="835" w:type="dxa"/>
            <w:tcBorders>
              <w:top w:val="nil"/>
              <w:left w:val="nil"/>
              <w:bottom w:val="single" w:sz="4" w:space="0" w:color="auto"/>
              <w:right w:val="single" w:sz="4" w:space="0" w:color="auto"/>
            </w:tcBorders>
            <w:shd w:val="clear" w:color="auto" w:fill="auto"/>
            <w:vAlign w:val="center"/>
            <w:hideMark/>
          </w:tcPr>
          <w:p w14:paraId="4E7B1802"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6354EE86"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Konsolidimi i imazhit dhe rolit të Shqipërisë dhe pika 5</w:t>
            </w:r>
          </w:p>
        </w:tc>
        <w:tc>
          <w:tcPr>
            <w:tcW w:w="864" w:type="dxa"/>
            <w:tcBorders>
              <w:top w:val="nil"/>
              <w:left w:val="nil"/>
              <w:bottom w:val="single" w:sz="4" w:space="0" w:color="auto"/>
              <w:right w:val="single" w:sz="4" w:space="0" w:color="auto"/>
            </w:tcBorders>
            <w:shd w:val="clear" w:color="auto" w:fill="auto"/>
            <w:vAlign w:val="center"/>
            <w:hideMark/>
          </w:tcPr>
          <w:p w14:paraId="4C4F76CD"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Strategjia Kombëtare e Diasporës 2021-2025.</w:t>
            </w:r>
          </w:p>
        </w:tc>
        <w:tc>
          <w:tcPr>
            <w:tcW w:w="1080" w:type="dxa"/>
            <w:tcBorders>
              <w:top w:val="nil"/>
              <w:left w:val="nil"/>
              <w:bottom w:val="single" w:sz="4" w:space="0" w:color="auto"/>
              <w:right w:val="single" w:sz="4" w:space="0" w:color="auto"/>
            </w:tcBorders>
            <w:shd w:val="clear" w:color="auto" w:fill="auto"/>
            <w:vAlign w:val="center"/>
            <w:hideMark/>
          </w:tcPr>
          <w:p w14:paraId="1F8D746F"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Jo</w:t>
            </w:r>
          </w:p>
        </w:tc>
      </w:tr>
      <w:tr w:rsidR="00667D44" w:rsidRPr="00727111" w14:paraId="3A265115" w14:textId="77777777" w:rsidTr="00667D44">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149D8BAD"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12</w:t>
            </w:r>
          </w:p>
        </w:tc>
        <w:tc>
          <w:tcPr>
            <w:tcW w:w="3007" w:type="dxa"/>
            <w:tcBorders>
              <w:top w:val="nil"/>
              <w:left w:val="nil"/>
              <w:bottom w:val="single" w:sz="4" w:space="0" w:color="auto"/>
              <w:right w:val="single" w:sz="4" w:space="0" w:color="auto"/>
            </w:tcBorders>
            <w:shd w:val="clear" w:color="auto" w:fill="auto"/>
            <w:vAlign w:val="center"/>
            <w:hideMark/>
          </w:tcPr>
          <w:p w14:paraId="7B042850"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Për miratimin e Strategjisë Kombëtare të Diasporës 2026-2030”</w:t>
            </w:r>
          </w:p>
        </w:tc>
        <w:tc>
          <w:tcPr>
            <w:tcW w:w="1560" w:type="dxa"/>
            <w:tcBorders>
              <w:top w:val="nil"/>
              <w:left w:val="nil"/>
              <w:bottom w:val="single" w:sz="4" w:space="0" w:color="auto"/>
              <w:right w:val="single" w:sz="4" w:space="0" w:color="auto"/>
            </w:tcBorders>
            <w:shd w:val="clear" w:color="auto" w:fill="auto"/>
            <w:vAlign w:val="center"/>
            <w:hideMark/>
          </w:tcPr>
          <w:p w14:paraId="698B754E"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 xml:space="preserve">Projektvendim </w:t>
            </w:r>
          </w:p>
        </w:tc>
        <w:tc>
          <w:tcPr>
            <w:tcW w:w="1701" w:type="dxa"/>
            <w:tcBorders>
              <w:top w:val="nil"/>
              <w:left w:val="nil"/>
              <w:bottom w:val="single" w:sz="4" w:space="0" w:color="auto"/>
              <w:right w:val="single" w:sz="4" w:space="0" w:color="auto"/>
            </w:tcBorders>
            <w:shd w:val="clear" w:color="auto" w:fill="auto"/>
            <w:vAlign w:val="center"/>
            <w:hideMark/>
          </w:tcPr>
          <w:p w14:paraId="26200F13"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Ministri për Evropën dhe Punët e Jashtme</w:t>
            </w:r>
          </w:p>
        </w:tc>
        <w:tc>
          <w:tcPr>
            <w:tcW w:w="1134" w:type="dxa"/>
            <w:tcBorders>
              <w:top w:val="nil"/>
              <w:left w:val="nil"/>
              <w:bottom w:val="single" w:sz="4" w:space="0" w:color="auto"/>
              <w:right w:val="single" w:sz="4" w:space="0" w:color="auto"/>
            </w:tcBorders>
            <w:shd w:val="clear" w:color="auto" w:fill="auto"/>
            <w:vAlign w:val="center"/>
            <w:hideMark/>
          </w:tcPr>
          <w:p w14:paraId="36EF084C"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656" w:type="dxa"/>
            <w:tcBorders>
              <w:top w:val="nil"/>
              <w:left w:val="nil"/>
              <w:bottom w:val="single" w:sz="4" w:space="0" w:color="auto"/>
              <w:right w:val="single" w:sz="4" w:space="0" w:color="auto"/>
            </w:tcBorders>
            <w:shd w:val="clear" w:color="auto" w:fill="auto"/>
            <w:vAlign w:val="center"/>
            <w:hideMark/>
          </w:tcPr>
          <w:p w14:paraId="0B1E0E86"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e Diasporës 2021–2025”, është miratuar me Vendim të Këshillit të Ministrave nr.585 datë 22.07.2020. Strategjia përcakton parimet e politikës shtetërore të Republikës së Shqipërisë për mbështetjen e komuniteteve shqiptare që jetojnë në vendet pritëse në mënyrë të ligjshme. Vizioni i saj ka për synim rivlerësimin e angazhimit të diasporës duke u bazuar në strukturën e marrëdhënieve aktuale të shtetit shqiptar me diasporën.</w:t>
            </w:r>
            <w:r w:rsidRPr="00727111">
              <w:rPr>
                <w:rFonts w:ascii="Garamond" w:hAnsi="Garamond"/>
                <w:color w:val="000000"/>
                <w:sz w:val="12"/>
                <w:szCs w:val="12"/>
                <w:lang w:eastAsia="sq-AL"/>
              </w:rPr>
              <w:br/>
              <w:t xml:space="preserve">Kjo Strategji është në vitin e katërt të zbatimit të saj dhe vitin e ardhshëm lind nevoja e ndërrmarrjes së hapave të nevojshëm për hartimin e Strategjisë së re për Diasporën. </w:t>
            </w:r>
          </w:p>
        </w:tc>
        <w:tc>
          <w:tcPr>
            <w:tcW w:w="1277" w:type="dxa"/>
            <w:tcBorders>
              <w:top w:val="nil"/>
              <w:left w:val="nil"/>
              <w:bottom w:val="single" w:sz="4" w:space="0" w:color="auto"/>
              <w:right w:val="single" w:sz="4" w:space="0" w:color="auto"/>
            </w:tcBorders>
            <w:shd w:val="clear" w:color="auto" w:fill="auto"/>
            <w:vAlign w:val="center"/>
            <w:hideMark/>
          </w:tcPr>
          <w:p w14:paraId="1B1FE607"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Marrëdhënia shtetërore me diasporën </w:t>
            </w:r>
            <w:r w:rsidRPr="00727111">
              <w:rPr>
                <w:rFonts w:ascii="Garamond" w:hAnsi="Garamond"/>
                <w:color w:val="000000"/>
                <w:sz w:val="12"/>
                <w:szCs w:val="12"/>
                <w:lang w:eastAsia="sq-AL"/>
              </w:rPr>
              <w:br/>
              <w:t xml:space="preserve">Organizimi i diasporës </w:t>
            </w:r>
            <w:r w:rsidRPr="00727111">
              <w:rPr>
                <w:rFonts w:ascii="Garamond" w:hAnsi="Garamond"/>
                <w:color w:val="000000"/>
                <w:sz w:val="12"/>
                <w:szCs w:val="12"/>
                <w:lang w:eastAsia="sq-AL"/>
              </w:rPr>
              <w:br/>
              <w:t xml:space="preserve">Ekonomia dhe biznesi </w:t>
            </w:r>
            <w:r w:rsidRPr="00727111">
              <w:rPr>
                <w:rFonts w:ascii="Garamond" w:hAnsi="Garamond"/>
                <w:color w:val="000000"/>
                <w:sz w:val="12"/>
                <w:szCs w:val="12"/>
                <w:lang w:eastAsia="sq-AL"/>
              </w:rPr>
              <w:br/>
              <w:t xml:space="preserve">Arsimi dhe mësimdhënia </w:t>
            </w:r>
            <w:r w:rsidRPr="00727111">
              <w:rPr>
                <w:rFonts w:ascii="Garamond" w:hAnsi="Garamond"/>
                <w:color w:val="000000"/>
                <w:sz w:val="12"/>
                <w:szCs w:val="12"/>
                <w:lang w:eastAsia="sq-AL"/>
              </w:rPr>
              <w:br/>
              <w:t>Media, komunikimi dhe inovacioni</w:t>
            </w:r>
            <w:r w:rsidRPr="00727111">
              <w:rPr>
                <w:rFonts w:ascii="Garamond" w:hAnsi="Garamond"/>
                <w:color w:val="000000"/>
                <w:sz w:val="12"/>
                <w:szCs w:val="12"/>
                <w:lang w:eastAsia="sq-AL"/>
              </w:rPr>
              <w:br/>
              <w:t>Monitorimi dhe transparenca</w:t>
            </w:r>
          </w:p>
        </w:tc>
        <w:tc>
          <w:tcPr>
            <w:tcW w:w="835" w:type="dxa"/>
            <w:tcBorders>
              <w:top w:val="nil"/>
              <w:left w:val="nil"/>
              <w:bottom w:val="single" w:sz="4" w:space="0" w:color="auto"/>
              <w:right w:val="single" w:sz="4" w:space="0" w:color="auto"/>
            </w:tcBorders>
            <w:shd w:val="clear" w:color="auto" w:fill="auto"/>
            <w:vAlign w:val="center"/>
            <w:hideMark/>
          </w:tcPr>
          <w:p w14:paraId="31C848A0" w14:textId="77777777" w:rsidR="00667D44" w:rsidRPr="00727111" w:rsidRDefault="00667D44" w:rsidP="00667D44">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vAlign w:val="center"/>
            <w:hideMark/>
          </w:tcPr>
          <w:p w14:paraId="6B96F0CC"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Po, fusha Konsolidimi i imazhit dhe rolit të Shqipërisë dhe pika 5</w:t>
            </w:r>
          </w:p>
        </w:tc>
        <w:tc>
          <w:tcPr>
            <w:tcW w:w="864" w:type="dxa"/>
            <w:tcBorders>
              <w:top w:val="nil"/>
              <w:left w:val="nil"/>
              <w:bottom w:val="single" w:sz="4" w:space="0" w:color="auto"/>
              <w:right w:val="single" w:sz="4" w:space="0" w:color="auto"/>
            </w:tcBorders>
            <w:shd w:val="clear" w:color="auto" w:fill="auto"/>
            <w:vAlign w:val="center"/>
            <w:hideMark/>
          </w:tcPr>
          <w:p w14:paraId="18A0B7AD"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Strategjia Kombëtare e Diasporës 2021-2025.</w:t>
            </w:r>
          </w:p>
        </w:tc>
        <w:tc>
          <w:tcPr>
            <w:tcW w:w="1080" w:type="dxa"/>
            <w:tcBorders>
              <w:top w:val="nil"/>
              <w:left w:val="nil"/>
              <w:bottom w:val="single" w:sz="4" w:space="0" w:color="auto"/>
              <w:right w:val="single" w:sz="4" w:space="0" w:color="auto"/>
            </w:tcBorders>
            <w:shd w:val="clear" w:color="auto" w:fill="auto"/>
            <w:vAlign w:val="center"/>
            <w:hideMark/>
          </w:tcPr>
          <w:p w14:paraId="68B31B2C" w14:textId="77777777" w:rsidR="00667D44" w:rsidRPr="00727111" w:rsidRDefault="00667D44" w:rsidP="00667D44">
            <w:pPr>
              <w:jc w:val="center"/>
              <w:rPr>
                <w:rFonts w:ascii="Garamond" w:hAnsi="Garamond"/>
                <w:sz w:val="12"/>
                <w:szCs w:val="12"/>
                <w:lang w:eastAsia="sq-AL"/>
              </w:rPr>
            </w:pPr>
            <w:r w:rsidRPr="00727111">
              <w:rPr>
                <w:rFonts w:ascii="Garamond" w:hAnsi="Garamond"/>
                <w:sz w:val="12"/>
                <w:szCs w:val="12"/>
                <w:lang w:eastAsia="sq-AL"/>
              </w:rPr>
              <w:t>Jo</w:t>
            </w:r>
          </w:p>
        </w:tc>
      </w:tr>
    </w:tbl>
    <w:p w14:paraId="627F6561" w14:textId="1C02C8C4" w:rsidR="00667D44" w:rsidRPr="00727111" w:rsidRDefault="00667D44" w:rsidP="00593BF4">
      <w:pPr>
        <w:ind w:firstLine="284"/>
        <w:jc w:val="both"/>
        <w:rPr>
          <w:rFonts w:ascii="Garamond" w:hAnsi="Garamond"/>
          <w:b/>
          <w:sz w:val="24"/>
        </w:rPr>
      </w:pPr>
    </w:p>
    <w:p w14:paraId="31DCC28C" w14:textId="7D20494D" w:rsidR="0039211A" w:rsidRPr="00727111" w:rsidRDefault="0039211A" w:rsidP="00593BF4">
      <w:pPr>
        <w:ind w:firstLine="284"/>
        <w:jc w:val="both"/>
        <w:rPr>
          <w:rFonts w:ascii="Garamond" w:hAnsi="Garamond"/>
          <w:b/>
          <w:sz w:val="24"/>
        </w:rPr>
      </w:pPr>
    </w:p>
    <w:p w14:paraId="5AA90402" w14:textId="1A56CB59" w:rsidR="0039211A" w:rsidRPr="00727111" w:rsidRDefault="0039211A" w:rsidP="00593BF4">
      <w:pPr>
        <w:ind w:firstLine="284"/>
        <w:jc w:val="both"/>
        <w:rPr>
          <w:rFonts w:ascii="Garamond" w:hAnsi="Garamond"/>
          <w:b/>
          <w:sz w:val="24"/>
        </w:rPr>
      </w:pPr>
    </w:p>
    <w:p w14:paraId="0EC3C271" w14:textId="070729DE" w:rsidR="008E0890" w:rsidRPr="00727111" w:rsidRDefault="008E0890" w:rsidP="00593BF4">
      <w:pPr>
        <w:ind w:firstLine="284"/>
        <w:jc w:val="both"/>
        <w:rPr>
          <w:rFonts w:ascii="Garamond" w:hAnsi="Garamond"/>
          <w:b/>
          <w:sz w:val="24"/>
        </w:rPr>
      </w:pPr>
    </w:p>
    <w:p w14:paraId="38DDE1B2" w14:textId="33283E69" w:rsidR="008E0890" w:rsidRPr="00727111" w:rsidRDefault="008E0890" w:rsidP="00593BF4">
      <w:pPr>
        <w:ind w:firstLine="284"/>
        <w:jc w:val="both"/>
        <w:rPr>
          <w:rFonts w:ascii="Garamond" w:hAnsi="Garamond"/>
          <w:b/>
          <w:sz w:val="24"/>
        </w:rPr>
      </w:pPr>
    </w:p>
    <w:p w14:paraId="29EF0655" w14:textId="51D2A998" w:rsidR="008E0890" w:rsidRPr="00727111" w:rsidRDefault="008E0890" w:rsidP="00593BF4">
      <w:pPr>
        <w:ind w:firstLine="284"/>
        <w:jc w:val="both"/>
        <w:rPr>
          <w:rFonts w:ascii="Garamond" w:hAnsi="Garamond"/>
          <w:b/>
          <w:sz w:val="24"/>
        </w:rPr>
      </w:pPr>
    </w:p>
    <w:p w14:paraId="19C10756" w14:textId="1D431CED" w:rsidR="008E0890" w:rsidRPr="00727111" w:rsidRDefault="008E0890" w:rsidP="00593BF4">
      <w:pPr>
        <w:ind w:firstLine="284"/>
        <w:jc w:val="both"/>
        <w:rPr>
          <w:rFonts w:ascii="Garamond" w:hAnsi="Garamond"/>
          <w:b/>
          <w:sz w:val="24"/>
        </w:rPr>
      </w:pPr>
    </w:p>
    <w:p w14:paraId="32B969CB" w14:textId="0E1C6558" w:rsidR="008E0890" w:rsidRPr="00727111" w:rsidRDefault="008E0890" w:rsidP="00593BF4">
      <w:pPr>
        <w:ind w:firstLine="284"/>
        <w:jc w:val="both"/>
        <w:rPr>
          <w:rFonts w:ascii="Garamond" w:hAnsi="Garamond"/>
          <w:b/>
          <w:sz w:val="24"/>
        </w:rPr>
      </w:pPr>
    </w:p>
    <w:p w14:paraId="72689737" w14:textId="317E064D" w:rsidR="008E0890" w:rsidRPr="00727111" w:rsidRDefault="008E0890" w:rsidP="00593BF4">
      <w:pPr>
        <w:ind w:firstLine="284"/>
        <w:jc w:val="both"/>
        <w:rPr>
          <w:rFonts w:ascii="Garamond" w:hAnsi="Garamond"/>
          <w:b/>
          <w:sz w:val="24"/>
        </w:rPr>
      </w:pPr>
    </w:p>
    <w:p w14:paraId="4AC49269" w14:textId="7231A932" w:rsidR="008E0890" w:rsidRPr="00727111" w:rsidRDefault="008E0890" w:rsidP="00593BF4">
      <w:pPr>
        <w:ind w:firstLine="284"/>
        <w:jc w:val="both"/>
        <w:rPr>
          <w:rFonts w:ascii="Garamond" w:hAnsi="Garamond"/>
          <w:b/>
          <w:sz w:val="24"/>
        </w:rPr>
      </w:pPr>
    </w:p>
    <w:p w14:paraId="7634E84F" w14:textId="66C1165C" w:rsidR="008E0890" w:rsidRPr="00727111" w:rsidRDefault="008E0890" w:rsidP="00593BF4">
      <w:pPr>
        <w:ind w:firstLine="284"/>
        <w:jc w:val="both"/>
        <w:rPr>
          <w:rFonts w:ascii="Garamond" w:hAnsi="Garamond"/>
          <w:b/>
          <w:sz w:val="24"/>
        </w:rPr>
      </w:pPr>
    </w:p>
    <w:p w14:paraId="1883A469" w14:textId="0D471395" w:rsidR="008E0890" w:rsidRPr="00727111" w:rsidRDefault="008E0890" w:rsidP="00593BF4">
      <w:pPr>
        <w:ind w:firstLine="284"/>
        <w:jc w:val="both"/>
        <w:rPr>
          <w:rFonts w:ascii="Garamond" w:hAnsi="Garamond"/>
          <w:b/>
          <w:sz w:val="24"/>
        </w:rPr>
      </w:pPr>
    </w:p>
    <w:tbl>
      <w:tblPr>
        <w:tblW w:w="15023" w:type="dxa"/>
        <w:jc w:val="center"/>
        <w:tblLook w:val="04A0" w:firstRow="1" w:lastRow="0" w:firstColumn="1" w:lastColumn="0" w:noHBand="0" w:noVBand="1"/>
      </w:tblPr>
      <w:tblGrid>
        <w:gridCol w:w="390"/>
        <w:gridCol w:w="1737"/>
        <w:gridCol w:w="1701"/>
        <w:gridCol w:w="1701"/>
        <w:gridCol w:w="1134"/>
        <w:gridCol w:w="2059"/>
        <w:gridCol w:w="1357"/>
        <w:gridCol w:w="1329"/>
        <w:gridCol w:w="1266"/>
        <w:gridCol w:w="1195"/>
        <w:gridCol w:w="1144"/>
        <w:gridCol w:w="10"/>
      </w:tblGrid>
      <w:tr w:rsidR="008E0890" w:rsidRPr="00727111" w14:paraId="344EB80A" w14:textId="77777777" w:rsidTr="00FA18CD">
        <w:trPr>
          <w:trHeight w:val="180"/>
          <w:jc w:val="center"/>
        </w:trPr>
        <w:tc>
          <w:tcPr>
            <w:tcW w:w="15023" w:type="dxa"/>
            <w:gridSpan w:val="12"/>
            <w:tcBorders>
              <w:top w:val="single" w:sz="4" w:space="0" w:color="FFFFFF"/>
              <w:left w:val="nil"/>
              <w:bottom w:val="single" w:sz="4" w:space="0" w:color="FFFFFF"/>
              <w:right w:val="nil"/>
            </w:tcBorders>
            <w:shd w:val="clear" w:color="000000" w:fill="F2F2F2"/>
            <w:vAlign w:val="center"/>
            <w:hideMark/>
          </w:tcPr>
          <w:p w14:paraId="2B6A9E7C" w14:textId="77777777" w:rsidR="008E0890" w:rsidRPr="00727111" w:rsidRDefault="008E0890" w:rsidP="008E0890">
            <w:pPr>
              <w:jc w:val="center"/>
              <w:rPr>
                <w:rFonts w:ascii="Garamond" w:hAnsi="Garamond"/>
                <w:b/>
                <w:bCs/>
                <w:color w:val="000000"/>
                <w:sz w:val="12"/>
                <w:szCs w:val="12"/>
                <w:lang w:eastAsia="sq-AL"/>
              </w:rPr>
            </w:pPr>
            <w:bookmarkStart w:id="11" w:name="RANGE!A1:L22"/>
            <w:r w:rsidRPr="00727111">
              <w:rPr>
                <w:rFonts w:ascii="Garamond" w:hAnsi="Garamond"/>
                <w:b/>
                <w:bCs/>
                <w:color w:val="000000"/>
                <w:sz w:val="12"/>
                <w:szCs w:val="12"/>
                <w:lang w:eastAsia="sq-AL"/>
              </w:rPr>
              <w:t xml:space="preserve">Programi i Përgjithshëm Analitik i Projektakteve për vitin 2025 </w:t>
            </w:r>
            <w:bookmarkEnd w:id="11"/>
          </w:p>
        </w:tc>
      </w:tr>
      <w:tr w:rsidR="008E0890" w:rsidRPr="00727111" w14:paraId="075D0A34" w14:textId="77777777" w:rsidTr="00FA18CD">
        <w:trPr>
          <w:trHeight w:val="180"/>
          <w:jc w:val="center"/>
        </w:trPr>
        <w:tc>
          <w:tcPr>
            <w:tcW w:w="15023" w:type="dxa"/>
            <w:gridSpan w:val="12"/>
            <w:tcBorders>
              <w:top w:val="single" w:sz="4" w:space="0" w:color="FFFFFF"/>
              <w:left w:val="nil"/>
              <w:bottom w:val="nil"/>
              <w:right w:val="nil"/>
            </w:tcBorders>
            <w:shd w:val="clear" w:color="000000" w:fill="F2F2F2"/>
            <w:vAlign w:val="center"/>
            <w:hideMark/>
          </w:tcPr>
          <w:p w14:paraId="4AF72BED" w14:textId="77777777" w:rsidR="008E0890" w:rsidRPr="00727111" w:rsidRDefault="008E0890" w:rsidP="008E0890">
            <w:pPr>
              <w:jc w:val="center"/>
              <w:rPr>
                <w:rFonts w:ascii="Garamond" w:hAnsi="Garamond"/>
                <w:b/>
                <w:bCs/>
                <w:color w:val="000000"/>
                <w:sz w:val="12"/>
                <w:szCs w:val="12"/>
                <w:lang w:eastAsia="sq-AL"/>
              </w:rPr>
            </w:pPr>
            <w:r w:rsidRPr="00727111">
              <w:rPr>
                <w:rFonts w:ascii="Garamond" w:hAnsi="Garamond"/>
                <w:b/>
                <w:bCs/>
                <w:color w:val="000000"/>
                <w:sz w:val="12"/>
                <w:szCs w:val="12"/>
                <w:lang w:eastAsia="sq-AL"/>
              </w:rPr>
              <w:t>Ministria e Financave</w:t>
            </w:r>
          </w:p>
        </w:tc>
      </w:tr>
      <w:tr w:rsidR="008E0890" w:rsidRPr="00727111" w14:paraId="50FB70DC" w14:textId="77777777" w:rsidTr="00FA18CD">
        <w:trPr>
          <w:gridAfter w:val="1"/>
          <w:wAfter w:w="10" w:type="dxa"/>
          <w:trHeight w:val="180"/>
          <w:jc w:val="center"/>
        </w:trPr>
        <w:tc>
          <w:tcPr>
            <w:tcW w:w="39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175D1DF9"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Nr.</w:t>
            </w:r>
          </w:p>
        </w:tc>
        <w:tc>
          <w:tcPr>
            <w:tcW w:w="1737" w:type="dxa"/>
            <w:tcBorders>
              <w:top w:val="single" w:sz="4" w:space="0" w:color="auto"/>
              <w:left w:val="nil"/>
              <w:bottom w:val="single" w:sz="4" w:space="0" w:color="auto"/>
              <w:right w:val="single" w:sz="4" w:space="0" w:color="auto"/>
            </w:tcBorders>
            <w:shd w:val="clear" w:color="000000" w:fill="C00000"/>
            <w:vAlign w:val="center"/>
            <w:hideMark/>
          </w:tcPr>
          <w:p w14:paraId="6A538BF5"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Titulli i projektaktit</w:t>
            </w:r>
          </w:p>
        </w:tc>
        <w:tc>
          <w:tcPr>
            <w:tcW w:w="1701" w:type="dxa"/>
            <w:tcBorders>
              <w:top w:val="single" w:sz="4" w:space="0" w:color="auto"/>
              <w:left w:val="nil"/>
              <w:bottom w:val="single" w:sz="4" w:space="0" w:color="auto"/>
              <w:right w:val="single" w:sz="4" w:space="0" w:color="auto"/>
            </w:tcBorders>
            <w:shd w:val="clear" w:color="000000" w:fill="C00000"/>
            <w:vAlign w:val="center"/>
            <w:hideMark/>
          </w:tcPr>
          <w:p w14:paraId="222D202E"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Lloji i projektaktit</w:t>
            </w:r>
          </w:p>
        </w:tc>
        <w:tc>
          <w:tcPr>
            <w:tcW w:w="1701" w:type="dxa"/>
            <w:tcBorders>
              <w:top w:val="single" w:sz="4" w:space="0" w:color="auto"/>
              <w:left w:val="nil"/>
              <w:bottom w:val="single" w:sz="4" w:space="0" w:color="auto"/>
              <w:right w:val="single" w:sz="4" w:space="0" w:color="auto"/>
            </w:tcBorders>
            <w:shd w:val="clear" w:color="000000" w:fill="C00000"/>
            <w:vAlign w:val="center"/>
            <w:hideMark/>
          </w:tcPr>
          <w:p w14:paraId="383846F3"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Ministri propozues</w:t>
            </w:r>
          </w:p>
        </w:tc>
        <w:tc>
          <w:tcPr>
            <w:tcW w:w="1134" w:type="dxa"/>
            <w:tcBorders>
              <w:top w:val="single" w:sz="4" w:space="0" w:color="auto"/>
              <w:left w:val="nil"/>
              <w:bottom w:val="single" w:sz="4" w:space="0" w:color="auto"/>
              <w:right w:val="single" w:sz="4" w:space="0" w:color="auto"/>
            </w:tcBorders>
            <w:shd w:val="clear" w:color="000000" w:fill="C00000"/>
            <w:vAlign w:val="center"/>
            <w:hideMark/>
          </w:tcPr>
          <w:p w14:paraId="6206A1A1"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Katër mujori</w:t>
            </w:r>
          </w:p>
        </w:tc>
        <w:tc>
          <w:tcPr>
            <w:tcW w:w="2059" w:type="dxa"/>
            <w:tcBorders>
              <w:top w:val="single" w:sz="4" w:space="0" w:color="auto"/>
              <w:left w:val="nil"/>
              <w:bottom w:val="single" w:sz="4" w:space="0" w:color="auto"/>
              <w:right w:val="single" w:sz="4" w:space="0" w:color="auto"/>
            </w:tcBorders>
            <w:shd w:val="clear" w:color="000000" w:fill="C00000"/>
            <w:vAlign w:val="center"/>
            <w:hideMark/>
          </w:tcPr>
          <w:p w14:paraId="33739706"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Arsyet kryesore për propozimin e projektaktit</w:t>
            </w:r>
          </w:p>
        </w:tc>
        <w:tc>
          <w:tcPr>
            <w:tcW w:w="1357" w:type="dxa"/>
            <w:tcBorders>
              <w:top w:val="single" w:sz="4" w:space="0" w:color="auto"/>
              <w:left w:val="nil"/>
              <w:bottom w:val="single" w:sz="4" w:space="0" w:color="auto"/>
              <w:right w:val="single" w:sz="4" w:space="0" w:color="auto"/>
            </w:tcBorders>
            <w:shd w:val="clear" w:color="000000" w:fill="C00000"/>
            <w:vAlign w:val="center"/>
            <w:hideMark/>
          </w:tcPr>
          <w:p w14:paraId="74758C7B"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 xml:space="preserve">Çështjet kryesore që parashikon të rregullojë projektakti </w:t>
            </w:r>
          </w:p>
        </w:tc>
        <w:tc>
          <w:tcPr>
            <w:tcW w:w="1329" w:type="dxa"/>
            <w:tcBorders>
              <w:top w:val="single" w:sz="4" w:space="0" w:color="auto"/>
              <w:left w:val="nil"/>
              <w:bottom w:val="single" w:sz="4" w:space="0" w:color="auto"/>
              <w:right w:val="single" w:sz="4" w:space="0" w:color="auto"/>
            </w:tcBorders>
            <w:shd w:val="clear" w:color="000000" w:fill="C00000"/>
            <w:vAlign w:val="center"/>
            <w:hideMark/>
          </w:tcPr>
          <w:p w14:paraId="5C9B3993"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 është parashikuar projektakti në PKIE?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po, të specifikohet kapitulli përkatës</w:t>
            </w:r>
          </w:p>
        </w:tc>
        <w:tc>
          <w:tcPr>
            <w:tcW w:w="1266" w:type="dxa"/>
            <w:tcBorders>
              <w:top w:val="single" w:sz="4" w:space="0" w:color="auto"/>
              <w:left w:val="nil"/>
              <w:bottom w:val="single" w:sz="4" w:space="0" w:color="auto"/>
              <w:right w:val="single" w:sz="4" w:space="0" w:color="auto"/>
            </w:tcBorders>
            <w:shd w:val="clear" w:color="000000" w:fill="C00000"/>
            <w:vAlign w:val="center"/>
            <w:hideMark/>
          </w:tcPr>
          <w:p w14:paraId="49FCB603"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Përputhshmëria e projektaktit me programin politik qeverisës 2021-2025</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përputhet, të jepet  referenca e saktë në progam</w:t>
            </w:r>
          </w:p>
        </w:tc>
        <w:tc>
          <w:tcPr>
            <w:tcW w:w="1195" w:type="dxa"/>
            <w:tcBorders>
              <w:top w:val="single" w:sz="4" w:space="0" w:color="auto"/>
              <w:left w:val="nil"/>
              <w:bottom w:val="single" w:sz="4" w:space="0" w:color="auto"/>
              <w:right w:val="single" w:sz="4" w:space="0" w:color="auto"/>
            </w:tcBorders>
            <w:shd w:val="clear" w:color="000000" w:fill="C00000"/>
            <w:vAlign w:val="center"/>
            <w:hideMark/>
          </w:tcPr>
          <w:p w14:paraId="7EDF635C"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Lidhja e projektaktit me strategjitë kombëtare dhe sektoriale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lidhet, të specifikohen strategjitë</w:t>
            </w:r>
          </w:p>
        </w:tc>
        <w:tc>
          <w:tcPr>
            <w:tcW w:w="1144" w:type="dxa"/>
            <w:tcBorders>
              <w:top w:val="single" w:sz="4" w:space="0" w:color="auto"/>
              <w:left w:val="nil"/>
              <w:bottom w:val="single" w:sz="4" w:space="0" w:color="auto"/>
              <w:right w:val="single" w:sz="4" w:space="0" w:color="auto"/>
            </w:tcBorders>
            <w:shd w:val="clear" w:color="000000" w:fill="C00000"/>
            <w:vAlign w:val="center"/>
            <w:hideMark/>
          </w:tcPr>
          <w:p w14:paraId="5AF3AB32" w14:textId="77777777" w:rsidR="008E0890" w:rsidRPr="00727111" w:rsidRDefault="008E0890" w:rsidP="008E0890">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Ndikimet e mundshme ekonomike, financiare, sociale dhe mjedisore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 xml:space="preserve">Përgjigjuni me Po/Jo për ndikimet përkatëse </w:t>
            </w:r>
          </w:p>
        </w:tc>
      </w:tr>
      <w:tr w:rsidR="008E0890" w:rsidRPr="00727111" w14:paraId="15775203"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59257DA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w:t>
            </w:r>
          </w:p>
        </w:tc>
        <w:tc>
          <w:tcPr>
            <w:tcW w:w="1737" w:type="dxa"/>
            <w:tcBorders>
              <w:top w:val="nil"/>
              <w:left w:val="nil"/>
              <w:bottom w:val="single" w:sz="4" w:space="0" w:color="auto"/>
              <w:right w:val="single" w:sz="4" w:space="0" w:color="auto"/>
            </w:tcBorders>
            <w:shd w:val="clear" w:color="000000" w:fill="FFFFFF"/>
            <w:vAlign w:val="center"/>
            <w:hideMark/>
          </w:tcPr>
          <w:p w14:paraId="0E51CEA1" w14:textId="77777777" w:rsidR="008E0890" w:rsidRPr="00727111" w:rsidRDefault="008E0890" w:rsidP="008E0890">
            <w:pPr>
              <w:spacing w:after="240"/>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miratimin e "Kuadrit Makroekonomik e Fiskal për periudhën 2026-2028" </w:t>
            </w:r>
          </w:p>
        </w:tc>
        <w:tc>
          <w:tcPr>
            <w:tcW w:w="1701" w:type="dxa"/>
            <w:tcBorders>
              <w:top w:val="nil"/>
              <w:left w:val="nil"/>
              <w:bottom w:val="single" w:sz="4" w:space="0" w:color="auto"/>
              <w:right w:val="single" w:sz="4" w:space="0" w:color="auto"/>
            </w:tcBorders>
            <w:shd w:val="clear" w:color="auto" w:fill="auto"/>
            <w:vAlign w:val="center"/>
            <w:hideMark/>
          </w:tcPr>
          <w:p w14:paraId="7370A5F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439CE14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auto" w:fill="auto"/>
            <w:vAlign w:val="center"/>
            <w:hideMark/>
          </w:tcPr>
          <w:p w14:paraId="747A6EA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59" w:type="dxa"/>
            <w:tcBorders>
              <w:top w:val="nil"/>
              <w:left w:val="nil"/>
              <w:bottom w:val="single" w:sz="4" w:space="0" w:color="auto"/>
              <w:right w:val="single" w:sz="4" w:space="0" w:color="auto"/>
            </w:tcBorders>
            <w:shd w:val="clear" w:color="auto" w:fill="auto"/>
            <w:vAlign w:val="center"/>
            <w:hideMark/>
          </w:tcPr>
          <w:p w14:paraId="17F4CA8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KMF shërben si bazë për përcaktimin e tavaneve në fazën e dytë të procesit të përgatitjes së Programit Buxhetor Afatmesëm (PBA) 2025 – 2027 në nivel ministrie</w:t>
            </w:r>
            <w:r w:rsidRPr="00727111">
              <w:rPr>
                <w:rFonts w:ascii="Garamond" w:hAnsi="Garamond"/>
                <w:color w:val="000000"/>
                <w:sz w:val="12"/>
                <w:szCs w:val="12"/>
                <w:lang w:eastAsia="sq-AL"/>
              </w:rPr>
              <w:br/>
              <w:t>KMF ka për qëllim përcaktimin e përparësive strategjike të qeverisë, projekton pritshmërinë makroekonomike në horizontin kohor afat-mesëm</w:t>
            </w:r>
          </w:p>
        </w:tc>
        <w:tc>
          <w:tcPr>
            <w:tcW w:w="1357" w:type="dxa"/>
            <w:tcBorders>
              <w:top w:val="nil"/>
              <w:left w:val="nil"/>
              <w:bottom w:val="single" w:sz="4" w:space="0" w:color="auto"/>
              <w:right w:val="single" w:sz="4" w:space="0" w:color="auto"/>
            </w:tcBorders>
            <w:shd w:val="clear" w:color="auto" w:fill="auto"/>
            <w:vAlign w:val="center"/>
            <w:hideMark/>
          </w:tcPr>
          <w:p w14:paraId="250B45B0"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KMF përmban dy komponentë kryesore: (i) parashikimet për treguesit kryesorë makroekonomikë të cilët paraqesin pritshmërinë ekonomike për vitin aktual dhe tre vitet e ardhshme dhe (ii) parashikimet dhe objektivat për treguesit fiskal të cilët paraqesin burimet e pritshme në dispozicion të qeverisë për vitet 2025–2027 dhe shpërndarjen e tyre për këtë periudhë sipas buxhetit të konsoliduar.</w:t>
            </w:r>
          </w:p>
        </w:tc>
        <w:tc>
          <w:tcPr>
            <w:tcW w:w="1329" w:type="dxa"/>
            <w:tcBorders>
              <w:top w:val="nil"/>
              <w:left w:val="nil"/>
              <w:bottom w:val="single" w:sz="4" w:space="0" w:color="auto"/>
              <w:right w:val="single" w:sz="4" w:space="0" w:color="auto"/>
            </w:tcBorders>
            <w:shd w:val="clear" w:color="auto" w:fill="auto"/>
            <w:vAlign w:val="center"/>
            <w:hideMark/>
          </w:tcPr>
          <w:p w14:paraId="3C7D28D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auto" w:fill="auto"/>
            <w:vAlign w:val="center"/>
            <w:hideMark/>
          </w:tcPr>
          <w:p w14:paraId="2894608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 “Konsolidim i përshpejtuar fiskal duke synuar borxh nën 60% në fund të mandatit.” (fq. 16)</w:t>
            </w:r>
            <w:r w:rsidRPr="00727111">
              <w:rPr>
                <w:rFonts w:ascii="Garamond" w:hAnsi="Garamond"/>
                <w:color w:val="000000"/>
                <w:sz w:val="12"/>
                <w:szCs w:val="12"/>
                <w:lang w:eastAsia="sq-AL"/>
              </w:rPr>
              <w:br/>
              <w:t xml:space="preserve">2.  Rrisim të ardhurat e disponueshme me 20% deri në fund të mandati (fq.16) </w:t>
            </w:r>
          </w:p>
        </w:tc>
        <w:tc>
          <w:tcPr>
            <w:tcW w:w="1195" w:type="dxa"/>
            <w:tcBorders>
              <w:top w:val="nil"/>
              <w:left w:val="nil"/>
              <w:bottom w:val="single" w:sz="4" w:space="0" w:color="auto"/>
              <w:right w:val="single" w:sz="4" w:space="0" w:color="auto"/>
            </w:tcBorders>
            <w:shd w:val="clear" w:color="auto" w:fill="auto"/>
            <w:vAlign w:val="center"/>
            <w:hideMark/>
          </w:tcPr>
          <w:p w14:paraId="5F48CDA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 Strategjia Kombetare per Zhvillim dhe Integrim Europian 2030</w:t>
            </w:r>
            <w:r w:rsidRPr="00727111">
              <w:rPr>
                <w:rFonts w:ascii="Garamond" w:hAnsi="Garamond"/>
                <w:color w:val="000000"/>
                <w:sz w:val="12"/>
                <w:szCs w:val="12"/>
                <w:lang w:eastAsia="sq-AL"/>
              </w:rPr>
              <w:br/>
              <w:t>2. Dokumentit të Politikave Prioritare 2024–2026</w:t>
            </w:r>
          </w:p>
        </w:tc>
        <w:tc>
          <w:tcPr>
            <w:tcW w:w="1144" w:type="dxa"/>
            <w:tcBorders>
              <w:top w:val="nil"/>
              <w:left w:val="nil"/>
              <w:bottom w:val="single" w:sz="4" w:space="0" w:color="auto"/>
              <w:right w:val="single" w:sz="4" w:space="0" w:color="auto"/>
            </w:tcBorders>
            <w:shd w:val="clear" w:color="auto" w:fill="auto"/>
            <w:vAlign w:val="center"/>
            <w:hideMark/>
          </w:tcPr>
          <w:p w14:paraId="07063DA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Ndikime ekonomike pozitive.</w:t>
            </w:r>
            <w:r w:rsidRPr="00727111">
              <w:rPr>
                <w:rFonts w:ascii="Garamond" w:hAnsi="Garamond"/>
                <w:color w:val="000000"/>
                <w:sz w:val="12"/>
                <w:szCs w:val="12"/>
                <w:lang w:eastAsia="sq-AL"/>
              </w:rPr>
              <w:br/>
              <w:t>Ndikime sociale dhe mjedisore nuk ka.</w:t>
            </w:r>
          </w:p>
        </w:tc>
      </w:tr>
      <w:tr w:rsidR="008E0890" w:rsidRPr="00727111" w14:paraId="1B81E89B"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1D91EE9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2</w:t>
            </w:r>
          </w:p>
        </w:tc>
        <w:tc>
          <w:tcPr>
            <w:tcW w:w="1737" w:type="dxa"/>
            <w:tcBorders>
              <w:top w:val="nil"/>
              <w:left w:val="nil"/>
              <w:bottom w:val="single" w:sz="4" w:space="0" w:color="auto"/>
              <w:right w:val="single" w:sz="4" w:space="0" w:color="auto"/>
            </w:tcBorders>
            <w:shd w:val="clear" w:color="000000" w:fill="FFFFFF"/>
            <w:vAlign w:val="center"/>
            <w:hideMark/>
          </w:tcPr>
          <w:p w14:paraId="027BFFB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punonjësit me kontratë të përkohshme për vitin 2025 në njësitë e qeverisjes qendrore</w:t>
            </w:r>
          </w:p>
        </w:tc>
        <w:tc>
          <w:tcPr>
            <w:tcW w:w="1701" w:type="dxa"/>
            <w:tcBorders>
              <w:top w:val="nil"/>
              <w:left w:val="nil"/>
              <w:bottom w:val="single" w:sz="4" w:space="0" w:color="auto"/>
              <w:right w:val="single" w:sz="4" w:space="0" w:color="auto"/>
            </w:tcBorders>
            <w:shd w:val="clear" w:color="auto" w:fill="auto"/>
            <w:vAlign w:val="center"/>
            <w:hideMark/>
          </w:tcPr>
          <w:p w14:paraId="6A0DBA90"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2BBB112A"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auto" w:fill="auto"/>
            <w:vAlign w:val="center"/>
            <w:hideMark/>
          </w:tcPr>
          <w:p w14:paraId="428E437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59" w:type="dxa"/>
            <w:tcBorders>
              <w:top w:val="nil"/>
              <w:left w:val="nil"/>
              <w:bottom w:val="single" w:sz="4" w:space="0" w:color="auto"/>
              <w:right w:val="single" w:sz="4" w:space="0" w:color="auto"/>
            </w:tcBorders>
            <w:shd w:val="clear" w:color="auto" w:fill="auto"/>
            <w:vAlign w:val="center"/>
            <w:hideMark/>
          </w:tcPr>
          <w:p w14:paraId="66BFD3F8"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Projektakt i përvitshëm sipas përcaktimeve të Kodit të Punës dhe të Ligjit Vjetor të Buxhtetit</w:t>
            </w:r>
          </w:p>
        </w:tc>
        <w:tc>
          <w:tcPr>
            <w:tcW w:w="1357" w:type="dxa"/>
            <w:tcBorders>
              <w:top w:val="nil"/>
              <w:left w:val="nil"/>
              <w:bottom w:val="single" w:sz="4" w:space="0" w:color="auto"/>
              <w:right w:val="single" w:sz="4" w:space="0" w:color="auto"/>
            </w:tcBorders>
            <w:shd w:val="clear" w:color="auto" w:fill="auto"/>
            <w:vAlign w:val="center"/>
            <w:hideMark/>
          </w:tcPr>
          <w:p w14:paraId="6833CED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Shpërndarja e numrit të punonjësve me kontratë të përkohshme, në njësite e qeverisjes qëndrore për vitin 2025</w:t>
            </w:r>
          </w:p>
        </w:tc>
        <w:tc>
          <w:tcPr>
            <w:tcW w:w="1329" w:type="dxa"/>
            <w:tcBorders>
              <w:top w:val="nil"/>
              <w:left w:val="nil"/>
              <w:bottom w:val="single" w:sz="4" w:space="0" w:color="auto"/>
              <w:right w:val="single" w:sz="4" w:space="0" w:color="auto"/>
            </w:tcBorders>
            <w:shd w:val="clear" w:color="000000" w:fill="FFFFFF"/>
            <w:vAlign w:val="center"/>
            <w:hideMark/>
          </w:tcPr>
          <w:p w14:paraId="2692468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54A9572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000000" w:fill="FFFFFF"/>
            <w:vAlign w:val="center"/>
            <w:hideMark/>
          </w:tcPr>
          <w:p w14:paraId="7F815B64"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209BFE9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8E0890" w:rsidRPr="00727111" w14:paraId="73CF38EE"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61C5334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3</w:t>
            </w:r>
          </w:p>
        </w:tc>
        <w:tc>
          <w:tcPr>
            <w:tcW w:w="1737" w:type="dxa"/>
            <w:tcBorders>
              <w:top w:val="nil"/>
              <w:left w:val="nil"/>
              <w:bottom w:val="single" w:sz="4" w:space="0" w:color="auto"/>
              <w:right w:val="single" w:sz="4" w:space="0" w:color="auto"/>
            </w:tcBorders>
            <w:shd w:val="clear" w:color="FFFFFF" w:fill="FFFFFF"/>
            <w:vAlign w:val="center"/>
            <w:hideMark/>
          </w:tcPr>
          <w:p w14:paraId="654E55F5"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tavaneve përgatitore të shpenzimeve të programit buxhetor afatmesëm 2026-2028</w:t>
            </w:r>
          </w:p>
        </w:tc>
        <w:tc>
          <w:tcPr>
            <w:tcW w:w="1701" w:type="dxa"/>
            <w:tcBorders>
              <w:top w:val="nil"/>
              <w:left w:val="nil"/>
              <w:bottom w:val="single" w:sz="4" w:space="0" w:color="auto"/>
              <w:right w:val="single" w:sz="4" w:space="0" w:color="auto"/>
            </w:tcBorders>
            <w:shd w:val="clear" w:color="auto" w:fill="auto"/>
            <w:vAlign w:val="center"/>
            <w:hideMark/>
          </w:tcPr>
          <w:p w14:paraId="0944864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24E0F9D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auto" w:fill="auto"/>
            <w:vAlign w:val="center"/>
            <w:hideMark/>
          </w:tcPr>
          <w:p w14:paraId="65DD539E"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59" w:type="dxa"/>
            <w:tcBorders>
              <w:top w:val="nil"/>
              <w:left w:val="nil"/>
              <w:bottom w:val="single" w:sz="4" w:space="0" w:color="auto"/>
              <w:right w:val="single" w:sz="4" w:space="0" w:color="auto"/>
            </w:tcBorders>
            <w:shd w:val="clear" w:color="auto" w:fill="auto"/>
            <w:vAlign w:val="center"/>
            <w:hideMark/>
          </w:tcPr>
          <w:p w14:paraId="76DDBC2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Projektakt i përvitshëm sipas përcaktimeve të Ligjit nr.9936 datë 26.06.2008 </w:t>
            </w:r>
            <w:r w:rsidRPr="00727111">
              <w:rPr>
                <w:rFonts w:ascii="Garamond" w:hAnsi="Garamond"/>
                <w:i/>
                <w:iCs/>
                <w:color w:val="000000"/>
                <w:sz w:val="12"/>
                <w:szCs w:val="12"/>
                <w:lang w:eastAsia="sq-AL"/>
              </w:rPr>
              <w:t>“Për menaxhimin e sistemit buxhetor në Republikën e Shqipërisë</w:t>
            </w:r>
            <w:r w:rsidRPr="00727111">
              <w:rPr>
                <w:rFonts w:ascii="Garamond" w:hAnsi="Garamond"/>
                <w:color w:val="000000"/>
                <w:sz w:val="12"/>
                <w:szCs w:val="12"/>
                <w:lang w:eastAsia="sq-AL"/>
              </w:rPr>
              <w:t>”, i ndryshuar</w:t>
            </w:r>
          </w:p>
        </w:tc>
        <w:tc>
          <w:tcPr>
            <w:tcW w:w="1357" w:type="dxa"/>
            <w:tcBorders>
              <w:top w:val="nil"/>
              <w:left w:val="nil"/>
              <w:bottom w:val="single" w:sz="4" w:space="0" w:color="auto"/>
              <w:right w:val="single" w:sz="4" w:space="0" w:color="auto"/>
            </w:tcBorders>
            <w:shd w:val="clear" w:color="auto" w:fill="auto"/>
            <w:vAlign w:val="center"/>
            <w:hideMark/>
          </w:tcPr>
          <w:p w14:paraId="3388D3C7"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Përcaktimi i tavaneve paraprake të shpenzimeve për periudhën afatmesme për cdo institucion buxhetor</w:t>
            </w:r>
          </w:p>
        </w:tc>
        <w:tc>
          <w:tcPr>
            <w:tcW w:w="1329" w:type="dxa"/>
            <w:tcBorders>
              <w:top w:val="nil"/>
              <w:left w:val="nil"/>
              <w:bottom w:val="single" w:sz="4" w:space="0" w:color="auto"/>
              <w:right w:val="single" w:sz="4" w:space="0" w:color="auto"/>
            </w:tcBorders>
            <w:shd w:val="clear" w:color="000000" w:fill="FFFFFF"/>
            <w:vAlign w:val="center"/>
            <w:hideMark/>
          </w:tcPr>
          <w:p w14:paraId="2331536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365A908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000000" w:fill="FFFFFF"/>
            <w:vAlign w:val="center"/>
            <w:hideMark/>
          </w:tcPr>
          <w:p w14:paraId="4B66942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394DAC1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8E0890" w:rsidRPr="00727111" w14:paraId="319E1EB0"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6FC7EF1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4</w:t>
            </w:r>
          </w:p>
        </w:tc>
        <w:tc>
          <w:tcPr>
            <w:tcW w:w="1737" w:type="dxa"/>
            <w:tcBorders>
              <w:top w:val="nil"/>
              <w:left w:val="nil"/>
              <w:bottom w:val="single" w:sz="4" w:space="0" w:color="auto"/>
              <w:right w:val="single" w:sz="4" w:space="0" w:color="auto"/>
            </w:tcBorders>
            <w:shd w:val="clear" w:color="auto" w:fill="auto"/>
            <w:vAlign w:val="center"/>
            <w:hideMark/>
          </w:tcPr>
          <w:p w14:paraId="642CC755"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Strategjisë Kombëtare Kundër Mashtrimit, "</w:t>
            </w:r>
            <w:r w:rsidRPr="00727111">
              <w:rPr>
                <w:rFonts w:ascii="Garamond" w:hAnsi="Garamond"/>
                <w:i/>
                <w:iCs/>
                <w:color w:val="000000"/>
                <w:sz w:val="12"/>
                <w:szCs w:val="12"/>
                <w:lang w:eastAsia="sq-AL"/>
              </w:rPr>
              <w:t>Për mbrojtjen e interesave financiare të Bashkimit Evropian</w:t>
            </w:r>
            <w:r w:rsidRPr="00727111">
              <w:rPr>
                <w:rFonts w:ascii="Garamond" w:hAnsi="Garamond"/>
                <w:color w:val="000000"/>
                <w:sz w:val="12"/>
                <w:szCs w:val="12"/>
                <w:lang w:eastAsia="sq-AL"/>
              </w:rPr>
              <w:t>"</w:t>
            </w:r>
          </w:p>
        </w:tc>
        <w:tc>
          <w:tcPr>
            <w:tcW w:w="1701" w:type="dxa"/>
            <w:tcBorders>
              <w:top w:val="nil"/>
              <w:left w:val="nil"/>
              <w:bottom w:val="single" w:sz="4" w:space="0" w:color="auto"/>
              <w:right w:val="single" w:sz="4" w:space="0" w:color="auto"/>
            </w:tcBorders>
            <w:shd w:val="clear" w:color="auto" w:fill="auto"/>
            <w:vAlign w:val="center"/>
            <w:hideMark/>
          </w:tcPr>
          <w:p w14:paraId="24E7F0B5"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710A07A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auto" w:fill="auto"/>
            <w:vAlign w:val="center"/>
            <w:hideMark/>
          </w:tcPr>
          <w:p w14:paraId="28D4587A"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59" w:type="dxa"/>
            <w:tcBorders>
              <w:top w:val="nil"/>
              <w:left w:val="nil"/>
              <w:bottom w:val="single" w:sz="4" w:space="0" w:color="auto"/>
              <w:right w:val="single" w:sz="4" w:space="0" w:color="auto"/>
            </w:tcBorders>
            <w:shd w:val="clear" w:color="auto" w:fill="auto"/>
            <w:vAlign w:val="center"/>
            <w:hideMark/>
          </w:tcPr>
          <w:p w14:paraId="75530CD2"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Detyrime që rrjedhin nga procesi i integrimit të Shqipërisë në Bashkimin Europian. Referuar rekomandimeve tw paraqitura në Progres Raportet e Bashkimit Europian për Shqipërinë si dhe në kërkesat e Zyrës Europiane Kundër Mashtrimit (OLAF).</w:t>
            </w:r>
          </w:p>
        </w:tc>
        <w:tc>
          <w:tcPr>
            <w:tcW w:w="1357" w:type="dxa"/>
            <w:tcBorders>
              <w:top w:val="nil"/>
              <w:left w:val="nil"/>
              <w:bottom w:val="single" w:sz="4" w:space="0" w:color="auto"/>
              <w:right w:val="single" w:sz="4" w:space="0" w:color="auto"/>
            </w:tcBorders>
            <w:shd w:val="clear" w:color="auto" w:fill="auto"/>
            <w:vAlign w:val="center"/>
            <w:hideMark/>
          </w:tcPr>
          <w:p w14:paraId="0E1FBF97"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 xml:space="preserve">Kjo Strategji nëpërmjet vizionit që ka synon forcimin e kapaciteteve të Shqipërisë në funksion të parandalimit të mashtrimit, duke intensifikuar përpjekjet dhe siguruar në këtë mënyrë një mbrojtje cilësore dhe efikase të interesave financiare të BE-së, në të njëjtën masë si mbrojtja e burimeve të veta. </w:t>
            </w:r>
            <w:r w:rsidRPr="00727111">
              <w:rPr>
                <w:rFonts w:ascii="Garamond" w:hAnsi="Garamond"/>
                <w:sz w:val="12"/>
                <w:szCs w:val="12"/>
                <w:lang w:eastAsia="sq-AL"/>
              </w:rPr>
              <w:br/>
            </w:r>
            <w:r w:rsidRPr="00727111">
              <w:rPr>
                <w:rFonts w:ascii="Garamond" w:hAnsi="Garamond"/>
                <w:sz w:val="12"/>
                <w:szCs w:val="12"/>
                <w:lang w:eastAsia="sq-AL"/>
              </w:rPr>
              <w:br/>
              <w:t xml:space="preserve">Qëllimi kryesor i kësaj Strategjie është përmirësimi i parandalimit, zbulimit dhe kundërveprimit ndaj parregullsive serioze dhe mashtrimit. </w:t>
            </w:r>
          </w:p>
        </w:tc>
        <w:tc>
          <w:tcPr>
            <w:tcW w:w="1329" w:type="dxa"/>
            <w:tcBorders>
              <w:top w:val="nil"/>
              <w:left w:val="nil"/>
              <w:bottom w:val="single" w:sz="4" w:space="0" w:color="auto"/>
              <w:right w:val="single" w:sz="4" w:space="0" w:color="auto"/>
            </w:tcBorders>
            <w:shd w:val="clear" w:color="auto" w:fill="auto"/>
            <w:vAlign w:val="center"/>
            <w:hideMark/>
          </w:tcPr>
          <w:p w14:paraId="7305BB8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 është planifikuar në PKIE, në Kapitullin 32 "Menaxhimi Financiar dhe Kontrolli"/Nënkapitulli III "Mbrojtja e Interesave Financiare të Bashkimit Evropian"</w:t>
            </w:r>
          </w:p>
        </w:tc>
        <w:tc>
          <w:tcPr>
            <w:tcW w:w="1266" w:type="dxa"/>
            <w:tcBorders>
              <w:top w:val="nil"/>
              <w:left w:val="nil"/>
              <w:bottom w:val="single" w:sz="4" w:space="0" w:color="auto"/>
              <w:right w:val="single" w:sz="4" w:space="0" w:color="auto"/>
            </w:tcBorders>
            <w:shd w:val="clear" w:color="auto" w:fill="auto"/>
            <w:vAlign w:val="center"/>
            <w:hideMark/>
          </w:tcPr>
          <w:p w14:paraId="3DF8024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Programi i Qeverisë 2021-2025 paraqet si prioritete kryesore politike Integrimin Evropian. Meqenëse zhvillimi i një NAFS është një kërkesë për të gjitha Shtetet Anëtare të BE-së dhe vendet e anëtarësimit në BE, detyrimisht është e lidhur drejtpërdrejt me Programin e Qeverisë.</w:t>
            </w:r>
          </w:p>
        </w:tc>
        <w:tc>
          <w:tcPr>
            <w:tcW w:w="1195" w:type="dxa"/>
            <w:tcBorders>
              <w:top w:val="nil"/>
              <w:left w:val="nil"/>
              <w:bottom w:val="single" w:sz="4" w:space="0" w:color="auto"/>
              <w:right w:val="single" w:sz="4" w:space="0" w:color="auto"/>
            </w:tcBorders>
            <w:shd w:val="clear" w:color="auto" w:fill="auto"/>
            <w:vAlign w:val="center"/>
            <w:hideMark/>
          </w:tcPr>
          <w:p w14:paraId="6E7D69A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Strategjia Kombëtare për Zhvillim dhe Integrim Evropian 2020-2030 paraqet si prioritete kryesore politike Integrimin Evropian dhe Luftën kundër Korrupsionit. NAFS kontribuon qartë në këto prioritete, si dhe në objektivin specifik të shtyllës “Demokracia dhe fuqizimi i institucioneve dhe qeverisja e mirë”.</w:t>
            </w:r>
            <w:r w:rsidRPr="00727111">
              <w:rPr>
                <w:rFonts w:ascii="Garamond" w:hAnsi="Garamond"/>
                <w:color w:val="000000"/>
                <w:sz w:val="12"/>
                <w:szCs w:val="12"/>
                <w:lang w:eastAsia="sq-AL"/>
              </w:rPr>
              <w:br/>
              <w:t>• Plani Kombëtar për Integrimin Evropian 2023-2025 konfirmon kërkesën për miratimin e strategjisë kundër mashtrimit për mbrojtjen e interesave financiare të BE-së në lidhje me gjetjet që kanë të bëjnë me kapitullin 32 Kontrolli i Brendshëm siç janë paraqitur në raportet e shqyrtimit të BE-së.</w:t>
            </w:r>
            <w:r w:rsidRPr="00727111">
              <w:rPr>
                <w:rFonts w:ascii="Garamond" w:hAnsi="Garamond"/>
                <w:color w:val="000000"/>
                <w:sz w:val="12"/>
                <w:szCs w:val="12"/>
                <w:lang w:eastAsia="sq-AL"/>
              </w:rPr>
              <w:br/>
              <w:t>• Programi i Qeverisë 2021-2025 paraqet si prioritete kryesore politike Integrimin Evropian. Meqenëse zhvillimi i një NAFS është një kërkesë për të gjitha Shtetet Anëtare të BE-së dhe vendet e anëtarësimit në BE, detyrimisht është e lidhur drejtpërdrejt me Programin e Qeverisë.</w:t>
            </w:r>
            <w:r w:rsidRPr="00727111">
              <w:rPr>
                <w:rFonts w:ascii="Garamond" w:hAnsi="Garamond"/>
                <w:color w:val="000000"/>
                <w:sz w:val="12"/>
                <w:szCs w:val="12"/>
                <w:lang w:eastAsia="sq-AL"/>
              </w:rPr>
              <w:br/>
              <w:t>• Strategjia sektoriale e MFP 2022-2030 përfshin formulimin e NAFS si masë në Shtyllën 5 Kontrolli i Brendshëm Financiar Publik, Seksioni 5.3 Inspektimi Financiar Publik.</w:t>
            </w:r>
            <w:r w:rsidRPr="00727111">
              <w:rPr>
                <w:rFonts w:ascii="Garamond" w:hAnsi="Garamond"/>
                <w:color w:val="000000"/>
                <w:sz w:val="12"/>
                <w:szCs w:val="12"/>
                <w:lang w:eastAsia="sq-AL"/>
              </w:rPr>
              <w:br/>
              <w:t>• Strategjia ndërsektoriale kundër korrupsionit 2024-2030 (draft) propozon një sërë masash, disa prej të cilave janë të ngjashme në natyrë me ato në NAFS dhe/ose kontribuojnë në objektivat e NAFS.</w:t>
            </w:r>
          </w:p>
        </w:tc>
        <w:tc>
          <w:tcPr>
            <w:tcW w:w="1144" w:type="dxa"/>
            <w:tcBorders>
              <w:top w:val="nil"/>
              <w:left w:val="nil"/>
              <w:bottom w:val="single" w:sz="4" w:space="0" w:color="auto"/>
              <w:right w:val="single" w:sz="4" w:space="0" w:color="auto"/>
            </w:tcBorders>
            <w:shd w:val="clear" w:color="auto" w:fill="auto"/>
            <w:vAlign w:val="center"/>
            <w:hideMark/>
          </w:tcPr>
          <w:p w14:paraId="5C4A835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Ndikimi socio-ekonomik dhe mjedisor i NAFS mund të përmblidhet si më poshtë (që do të përditësohet gjatë formulimit të NAFS):</w:t>
            </w:r>
            <w:r w:rsidRPr="00727111">
              <w:rPr>
                <w:rFonts w:ascii="Garamond" w:hAnsi="Garamond"/>
                <w:color w:val="000000"/>
                <w:sz w:val="12"/>
                <w:szCs w:val="12"/>
                <w:lang w:eastAsia="sq-AL"/>
              </w:rPr>
              <w:br/>
            </w:r>
            <w:r w:rsidRPr="00727111">
              <w:rPr>
                <w:rFonts w:ascii="Garamond" w:hAnsi="Garamond"/>
                <w:color w:val="000000"/>
                <w:sz w:val="12"/>
                <w:szCs w:val="12"/>
                <w:lang w:eastAsia="sq-AL"/>
              </w:rPr>
              <w:br/>
              <w:t>• Rritja e besimit të publikut në sistemet qeveritare.</w:t>
            </w:r>
            <w:r w:rsidRPr="00727111">
              <w:rPr>
                <w:rFonts w:ascii="Garamond" w:hAnsi="Garamond"/>
                <w:color w:val="000000"/>
                <w:sz w:val="12"/>
                <w:szCs w:val="12"/>
                <w:lang w:eastAsia="sq-AL"/>
              </w:rPr>
              <w:br/>
              <w:t>• Pajtueshmëria me kërkesat dhe legjislacionin e BE-së që është parakusht për anëtarësimin në BE.</w:t>
            </w:r>
            <w:r w:rsidRPr="00727111">
              <w:rPr>
                <w:rFonts w:ascii="Garamond" w:hAnsi="Garamond"/>
                <w:color w:val="000000"/>
                <w:sz w:val="12"/>
                <w:szCs w:val="12"/>
                <w:lang w:eastAsia="sq-AL"/>
              </w:rPr>
              <w:br/>
              <w:t>• Sigurimi i ndihmës financiare të BE-së e cila përdoret për zhvillimin e vendit. Rritja e besimit të Bashkimit Evropian në sistemet shqiptare për parandalimin, zbulimin dhe luftimin e mashtrimit ka të ngjarë të rezultojë në vazhdimin e programeve ekzistuese të asistencës financiare dhe në rritjen e mundësive për të aksesuar ndihmën e ardhshme financiare të BE-së.</w:t>
            </w:r>
            <w:r w:rsidRPr="00727111">
              <w:rPr>
                <w:rFonts w:ascii="Garamond" w:hAnsi="Garamond"/>
                <w:color w:val="000000"/>
                <w:sz w:val="12"/>
                <w:szCs w:val="12"/>
                <w:lang w:eastAsia="sq-AL"/>
              </w:rPr>
              <w:br/>
              <w:t>• Reduktimi i rrjedhjeve dhe përdorimit të paligjshëm të parasë publike dhe rrjedhimisht shpenzime publike më efektive drejt arritjes së prioriteteve të qeverisë.</w:t>
            </w:r>
            <w:r w:rsidRPr="00727111">
              <w:rPr>
                <w:rFonts w:ascii="Garamond" w:hAnsi="Garamond"/>
                <w:color w:val="000000"/>
                <w:sz w:val="12"/>
                <w:szCs w:val="12"/>
                <w:lang w:eastAsia="sq-AL"/>
              </w:rPr>
              <w:br/>
            </w:r>
            <w:r w:rsidRPr="00727111">
              <w:rPr>
                <w:rFonts w:ascii="Garamond" w:hAnsi="Garamond"/>
                <w:color w:val="000000"/>
                <w:sz w:val="12"/>
                <w:szCs w:val="12"/>
                <w:lang w:eastAsia="sq-AL"/>
              </w:rPr>
              <w:br/>
              <w:t>Parashikohet që kostoja e përgatitjes së NAFS dhe ndikimi buxhetor i zbatimit të masave të propozuara të tij është i parëndësishëm në krahasim me përfitimet financiare nga reduktimi i mashtrimit në kombinim me ruajtjen e aksesit në ndihmën financiare të BE-së.</w:t>
            </w:r>
          </w:p>
        </w:tc>
      </w:tr>
      <w:tr w:rsidR="008E0890" w:rsidRPr="00727111" w14:paraId="3B0BAA18"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1A0C1D9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5</w:t>
            </w:r>
          </w:p>
        </w:tc>
        <w:tc>
          <w:tcPr>
            <w:tcW w:w="1737" w:type="dxa"/>
            <w:tcBorders>
              <w:top w:val="nil"/>
              <w:left w:val="nil"/>
              <w:bottom w:val="single" w:sz="4" w:space="0" w:color="auto"/>
              <w:right w:val="single" w:sz="4" w:space="0" w:color="auto"/>
            </w:tcBorders>
            <w:shd w:val="clear" w:color="000000" w:fill="FFFFFF"/>
            <w:vAlign w:val="center"/>
            <w:hideMark/>
          </w:tcPr>
          <w:p w14:paraId="5DD88AB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kalendarit të Menaxhimit te Shpenzimeve Publike 2025</w:t>
            </w:r>
          </w:p>
        </w:tc>
        <w:tc>
          <w:tcPr>
            <w:tcW w:w="1701" w:type="dxa"/>
            <w:tcBorders>
              <w:top w:val="nil"/>
              <w:left w:val="nil"/>
              <w:bottom w:val="single" w:sz="4" w:space="0" w:color="auto"/>
              <w:right w:val="single" w:sz="4" w:space="0" w:color="auto"/>
            </w:tcBorders>
            <w:shd w:val="clear" w:color="auto" w:fill="auto"/>
            <w:vAlign w:val="center"/>
            <w:hideMark/>
          </w:tcPr>
          <w:p w14:paraId="574E6C4A"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769D3C9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auto" w:fill="auto"/>
            <w:vAlign w:val="center"/>
            <w:hideMark/>
          </w:tcPr>
          <w:p w14:paraId="092AEB7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59" w:type="dxa"/>
            <w:tcBorders>
              <w:top w:val="nil"/>
              <w:left w:val="nil"/>
              <w:bottom w:val="single" w:sz="4" w:space="0" w:color="auto"/>
              <w:right w:val="single" w:sz="4" w:space="0" w:color="auto"/>
            </w:tcBorders>
            <w:shd w:val="clear" w:color="auto" w:fill="auto"/>
            <w:vAlign w:val="center"/>
            <w:hideMark/>
          </w:tcPr>
          <w:p w14:paraId="4E97F01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Projektakt i përvitshëm sipas përcaktimeve të Ligjit nr.9936 datë 26.06.2008 “</w:t>
            </w:r>
            <w:r w:rsidRPr="00727111">
              <w:rPr>
                <w:rFonts w:ascii="Garamond" w:hAnsi="Garamond"/>
                <w:i/>
                <w:iCs/>
                <w:color w:val="000000"/>
                <w:sz w:val="12"/>
                <w:szCs w:val="12"/>
                <w:lang w:eastAsia="sq-AL"/>
              </w:rPr>
              <w:t>Për menaxhimin e sistemit buxhetor në Republikën e Shqipërisë</w:t>
            </w:r>
            <w:r w:rsidRPr="00727111">
              <w:rPr>
                <w:rFonts w:ascii="Garamond" w:hAnsi="Garamond"/>
                <w:color w:val="000000"/>
                <w:sz w:val="12"/>
                <w:szCs w:val="12"/>
                <w:lang w:eastAsia="sq-AL"/>
              </w:rPr>
              <w:t>”, i ndryshuar</w:t>
            </w:r>
          </w:p>
        </w:tc>
        <w:tc>
          <w:tcPr>
            <w:tcW w:w="1357" w:type="dxa"/>
            <w:tcBorders>
              <w:top w:val="nil"/>
              <w:left w:val="nil"/>
              <w:bottom w:val="single" w:sz="4" w:space="0" w:color="auto"/>
              <w:right w:val="single" w:sz="4" w:space="0" w:color="auto"/>
            </w:tcBorders>
            <w:shd w:val="clear" w:color="auto" w:fill="auto"/>
            <w:vAlign w:val="center"/>
            <w:hideMark/>
          </w:tcPr>
          <w:p w14:paraId="35E2CDF1"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Paraqet një kalendar me aktivitetet dhe datat përkatese për një mirëmenaxhim të financave publike</w:t>
            </w:r>
          </w:p>
        </w:tc>
        <w:tc>
          <w:tcPr>
            <w:tcW w:w="1329" w:type="dxa"/>
            <w:tcBorders>
              <w:top w:val="nil"/>
              <w:left w:val="nil"/>
              <w:bottom w:val="single" w:sz="4" w:space="0" w:color="auto"/>
              <w:right w:val="single" w:sz="4" w:space="0" w:color="auto"/>
            </w:tcBorders>
            <w:shd w:val="clear" w:color="000000" w:fill="FFFFFF"/>
            <w:vAlign w:val="center"/>
            <w:hideMark/>
          </w:tcPr>
          <w:p w14:paraId="59036EB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73BC40D8"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000000" w:fill="FFFFFF"/>
            <w:vAlign w:val="center"/>
            <w:hideMark/>
          </w:tcPr>
          <w:p w14:paraId="181085C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4CE9A92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8E0890" w:rsidRPr="00727111" w14:paraId="67D79EB4"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49891B88"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6</w:t>
            </w:r>
          </w:p>
        </w:tc>
        <w:tc>
          <w:tcPr>
            <w:tcW w:w="1737" w:type="dxa"/>
            <w:tcBorders>
              <w:top w:val="nil"/>
              <w:left w:val="nil"/>
              <w:bottom w:val="single" w:sz="4" w:space="0" w:color="auto"/>
              <w:right w:val="single" w:sz="4" w:space="0" w:color="auto"/>
            </w:tcBorders>
            <w:shd w:val="clear" w:color="000000" w:fill="FFFFFF"/>
            <w:vAlign w:val="center"/>
            <w:hideMark/>
          </w:tcPr>
          <w:p w14:paraId="2BF20ED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w:t>
            </w:r>
            <w:r w:rsidRPr="00727111">
              <w:rPr>
                <w:rFonts w:ascii="Garamond" w:hAnsi="Garamond"/>
                <w:i/>
                <w:iCs/>
                <w:color w:val="000000"/>
                <w:sz w:val="12"/>
                <w:szCs w:val="12"/>
                <w:lang w:eastAsia="sq-AL"/>
              </w:rPr>
              <w:t>Programit të reformave Ekonomike (ERP) 2025-2027</w:t>
            </w:r>
            <w:r w:rsidRPr="00727111">
              <w:rPr>
                <w:rFonts w:ascii="Garamond" w:hAnsi="Garamond"/>
                <w:color w:val="000000"/>
                <w:sz w:val="12"/>
                <w:szCs w:val="12"/>
                <w:lang w:eastAsia="sq-AL"/>
              </w:rPr>
              <w:t>"</w:t>
            </w:r>
          </w:p>
        </w:tc>
        <w:tc>
          <w:tcPr>
            <w:tcW w:w="1701" w:type="dxa"/>
            <w:tcBorders>
              <w:top w:val="nil"/>
              <w:left w:val="nil"/>
              <w:bottom w:val="single" w:sz="4" w:space="0" w:color="auto"/>
              <w:right w:val="single" w:sz="4" w:space="0" w:color="auto"/>
            </w:tcBorders>
            <w:shd w:val="clear" w:color="auto" w:fill="auto"/>
            <w:vAlign w:val="center"/>
            <w:hideMark/>
          </w:tcPr>
          <w:p w14:paraId="002F3CA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2F3756A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auto" w:fill="auto"/>
            <w:vAlign w:val="center"/>
            <w:hideMark/>
          </w:tcPr>
          <w:p w14:paraId="7904C33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59" w:type="dxa"/>
            <w:tcBorders>
              <w:top w:val="nil"/>
              <w:left w:val="nil"/>
              <w:bottom w:val="single" w:sz="4" w:space="0" w:color="auto"/>
              <w:right w:val="single" w:sz="4" w:space="0" w:color="auto"/>
            </w:tcBorders>
            <w:shd w:val="clear" w:color="auto" w:fill="auto"/>
            <w:vAlign w:val="center"/>
            <w:hideMark/>
          </w:tcPr>
          <w:p w14:paraId="46C1650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br/>
              <w:t xml:space="preserve">ERP-ja përgatitet nga vendet kandidate dhe potencialisht kandidate, në kuadër të qasjes së re të qeverisjes ekonomike të Bashkimit Evropian per vendet e zgjerimit. </w:t>
            </w:r>
          </w:p>
        </w:tc>
        <w:tc>
          <w:tcPr>
            <w:tcW w:w="1357" w:type="dxa"/>
            <w:tcBorders>
              <w:top w:val="nil"/>
              <w:left w:val="nil"/>
              <w:bottom w:val="single" w:sz="4" w:space="0" w:color="auto"/>
              <w:right w:val="single" w:sz="4" w:space="0" w:color="auto"/>
            </w:tcBorders>
            <w:shd w:val="clear" w:color="auto" w:fill="auto"/>
            <w:vAlign w:val="center"/>
            <w:hideMark/>
          </w:tcPr>
          <w:p w14:paraId="044D8DC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Programi i Reformave Ekonomike (ERP) 2025-2027 paraqet politikën makro-ekonomike dhe fiskale, që synon të mbështetin zhvillimin e qëndrueshëm ekonomik, për periudhën afatshkurtër 2025-2027.</w:t>
            </w:r>
          </w:p>
        </w:tc>
        <w:tc>
          <w:tcPr>
            <w:tcW w:w="1329" w:type="dxa"/>
            <w:tcBorders>
              <w:top w:val="nil"/>
              <w:left w:val="nil"/>
              <w:bottom w:val="single" w:sz="4" w:space="0" w:color="auto"/>
              <w:right w:val="single" w:sz="4" w:space="0" w:color="auto"/>
            </w:tcBorders>
            <w:shd w:val="clear" w:color="auto" w:fill="auto"/>
            <w:vAlign w:val="center"/>
            <w:hideMark/>
          </w:tcPr>
          <w:p w14:paraId="2E456CD4"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nuk synon përafrimin me legjislacionin e BE-së.</w:t>
            </w:r>
            <w:r w:rsidRPr="00727111">
              <w:rPr>
                <w:rFonts w:ascii="Garamond" w:hAnsi="Garamond"/>
                <w:color w:val="000000"/>
                <w:sz w:val="12"/>
                <w:szCs w:val="12"/>
                <w:lang w:eastAsia="sq-AL"/>
              </w:rPr>
              <w:br/>
              <w:t>Megjithate ne kapitullin Kriteri Ekonomik dhe Kapitulli 17, raportojme mbi statusin e ERP.</w:t>
            </w:r>
          </w:p>
        </w:tc>
        <w:tc>
          <w:tcPr>
            <w:tcW w:w="1266" w:type="dxa"/>
            <w:tcBorders>
              <w:top w:val="nil"/>
              <w:left w:val="nil"/>
              <w:bottom w:val="single" w:sz="4" w:space="0" w:color="auto"/>
              <w:right w:val="single" w:sz="4" w:space="0" w:color="auto"/>
            </w:tcBorders>
            <w:shd w:val="clear" w:color="auto" w:fill="auto"/>
            <w:vAlign w:val="center"/>
            <w:hideMark/>
          </w:tcPr>
          <w:p w14:paraId="386CD0D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 “Konsolidim i përshpejtuar fiskal duke synuar borxh nën 60% në fund të mandatit.” (fq. 16)</w:t>
            </w:r>
          </w:p>
        </w:tc>
        <w:tc>
          <w:tcPr>
            <w:tcW w:w="1195" w:type="dxa"/>
            <w:tcBorders>
              <w:top w:val="nil"/>
              <w:left w:val="nil"/>
              <w:bottom w:val="single" w:sz="4" w:space="0" w:color="auto"/>
              <w:right w:val="single" w:sz="4" w:space="0" w:color="auto"/>
            </w:tcBorders>
            <w:shd w:val="clear" w:color="auto" w:fill="auto"/>
            <w:vAlign w:val="center"/>
            <w:hideMark/>
          </w:tcPr>
          <w:p w14:paraId="4193A68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2. Dokumentit të Politikave Prioritare 2024–2026</w:t>
            </w:r>
          </w:p>
        </w:tc>
        <w:tc>
          <w:tcPr>
            <w:tcW w:w="1144" w:type="dxa"/>
            <w:tcBorders>
              <w:top w:val="nil"/>
              <w:left w:val="nil"/>
              <w:bottom w:val="single" w:sz="4" w:space="0" w:color="auto"/>
              <w:right w:val="single" w:sz="4" w:space="0" w:color="auto"/>
            </w:tcBorders>
            <w:shd w:val="clear" w:color="000000" w:fill="FFFFFF"/>
            <w:vAlign w:val="center"/>
            <w:hideMark/>
          </w:tcPr>
          <w:p w14:paraId="5869A47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Ndikime ekonomike pozitive.</w:t>
            </w:r>
            <w:r w:rsidRPr="00727111">
              <w:rPr>
                <w:rFonts w:ascii="Garamond" w:hAnsi="Garamond"/>
                <w:color w:val="000000"/>
                <w:sz w:val="12"/>
                <w:szCs w:val="12"/>
                <w:lang w:eastAsia="sq-AL"/>
              </w:rPr>
              <w:br/>
              <w:t>Ndikime sociale dhe mjedisore nuk ka.</w:t>
            </w:r>
          </w:p>
        </w:tc>
      </w:tr>
      <w:tr w:rsidR="008E0890" w:rsidRPr="00727111" w14:paraId="160825B1"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55F05D0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7</w:t>
            </w:r>
          </w:p>
        </w:tc>
        <w:tc>
          <w:tcPr>
            <w:tcW w:w="1737" w:type="dxa"/>
            <w:tcBorders>
              <w:top w:val="nil"/>
              <w:left w:val="nil"/>
              <w:bottom w:val="single" w:sz="4" w:space="0" w:color="auto"/>
              <w:right w:val="single" w:sz="4" w:space="0" w:color="auto"/>
            </w:tcBorders>
            <w:shd w:val="clear" w:color="000000" w:fill="FFFFFF"/>
            <w:vAlign w:val="center"/>
            <w:hideMark/>
          </w:tcPr>
          <w:p w14:paraId="012E604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buxhetit faktik të vitit 2024</w:t>
            </w:r>
          </w:p>
        </w:tc>
        <w:tc>
          <w:tcPr>
            <w:tcW w:w="1701" w:type="dxa"/>
            <w:tcBorders>
              <w:top w:val="nil"/>
              <w:left w:val="nil"/>
              <w:bottom w:val="single" w:sz="4" w:space="0" w:color="auto"/>
              <w:right w:val="single" w:sz="4" w:space="0" w:color="auto"/>
            </w:tcBorders>
            <w:shd w:val="clear" w:color="auto" w:fill="auto"/>
            <w:vAlign w:val="center"/>
            <w:hideMark/>
          </w:tcPr>
          <w:p w14:paraId="6B30C2EF"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Projektligj</w:t>
            </w:r>
          </w:p>
        </w:tc>
        <w:tc>
          <w:tcPr>
            <w:tcW w:w="1701" w:type="dxa"/>
            <w:tcBorders>
              <w:top w:val="nil"/>
              <w:left w:val="nil"/>
              <w:bottom w:val="single" w:sz="4" w:space="0" w:color="auto"/>
              <w:right w:val="single" w:sz="4" w:space="0" w:color="auto"/>
            </w:tcBorders>
            <w:shd w:val="clear" w:color="auto" w:fill="auto"/>
            <w:vAlign w:val="center"/>
            <w:hideMark/>
          </w:tcPr>
          <w:p w14:paraId="48B332A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auto" w:fill="auto"/>
            <w:vAlign w:val="center"/>
            <w:hideMark/>
          </w:tcPr>
          <w:p w14:paraId="1DABF2C9"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059" w:type="dxa"/>
            <w:tcBorders>
              <w:top w:val="nil"/>
              <w:left w:val="nil"/>
              <w:bottom w:val="single" w:sz="4" w:space="0" w:color="auto"/>
              <w:right w:val="single" w:sz="4" w:space="0" w:color="auto"/>
            </w:tcBorders>
            <w:shd w:val="clear" w:color="auto" w:fill="auto"/>
            <w:vAlign w:val="center"/>
            <w:hideMark/>
          </w:tcPr>
          <w:p w14:paraId="688DDDF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Qëllimi i projektligjit është miratimi i buxhetit faktik të Qeverisjes së Përgjithshme për vitin 2024.</w:t>
            </w:r>
            <w:r w:rsidRPr="00727111">
              <w:rPr>
                <w:rFonts w:ascii="Garamond" w:hAnsi="Garamond"/>
                <w:color w:val="000000"/>
                <w:sz w:val="12"/>
                <w:szCs w:val="12"/>
                <w:lang w:eastAsia="sq-AL"/>
              </w:rPr>
              <w:br/>
              <w:t>Hartimi i këtij projektligji lidhet me plotësimin e kërkesës ligjore në zbatim të:: '</w:t>
            </w:r>
            <w:r w:rsidRPr="00727111">
              <w:rPr>
                <w:rFonts w:ascii="Garamond" w:hAnsi="Garamond"/>
                <w:i/>
                <w:iCs/>
                <w:color w:val="000000"/>
                <w:sz w:val="12"/>
                <w:szCs w:val="12"/>
                <w:lang w:eastAsia="sq-AL"/>
              </w:rPr>
              <w:t>Neni 62 dhe 63 i Ligjit nr.9936/2008, i ndryshuar</w:t>
            </w:r>
            <w:r w:rsidRPr="00727111">
              <w:rPr>
                <w:rFonts w:ascii="Garamond" w:hAnsi="Garamond"/>
                <w:color w:val="000000"/>
                <w:sz w:val="12"/>
                <w:szCs w:val="12"/>
                <w:lang w:eastAsia="sq-AL"/>
              </w:rPr>
              <w:t>'.</w:t>
            </w:r>
          </w:p>
        </w:tc>
        <w:tc>
          <w:tcPr>
            <w:tcW w:w="1357" w:type="dxa"/>
            <w:tcBorders>
              <w:top w:val="nil"/>
              <w:left w:val="nil"/>
              <w:bottom w:val="single" w:sz="4" w:space="0" w:color="auto"/>
              <w:right w:val="single" w:sz="4" w:space="0" w:color="auto"/>
            </w:tcBorders>
            <w:shd w:val="clear" w:color="auto" w:fill="auto"/>
            <w:vAlign w:val="center"/>
            <w:hideMark/>
          </w:tcPr>
          <w:p w14:paraId="258A0C00"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Nëpërmjet këtij projektligji sigurohet publikimi i informacionit të plotë mbi performancën makro-fiskale dhe zbatimin e buxhetit të vitit 2024, objektivat e arritura nga çdo njësi e qeverisjes së përgjithshme.</w:t>
            </w:r>
          </w:p>
        </w:tc>
        <w:tc>
          <w:tcPr>
            <w:tcW w:w="1329" w:type="dxa"/>
            <w:tcBorders>
              <w:top w:val="nil"/>
              <w:left w:val="nil"/>
              <w:bottom w:val="single" w:sz="4" w:space="0" w:color="auto"/>
              <w:right w:val="single" w:sz="4" w:space="0" w:color="auto"/>
            </w:tcBorders>
            <w:shd w:val="clear" w:color="000000" w:fill="FFFFFF"/>
            <w:vAlign w:val="center"/>
            <w:hideMark/>
          </w:tcPr>
          <w:p w14:paraId="3BFB34B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2F222CB8"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Jo</w:t>
            </w:r>
          </w:p>
        </w:tc>
        <w:tc>
          <w:tcPr>
            <w:tcW w:w="1195" w:type="dxa"/>
            <w:tcBorders>
              <w:top w:val="nil"/>
              <w:left w:val="nil"/>
              <w:bottom w:val="single" w:sz="4" w:space="0" w:color="auto"/>
              <w:right w:val="single" w:sz="4" w:space="0" w:color="auto"/>
            </w:tcBorders>
            <w:shd w:val="clear" w:color="auto" w:fill="auto"/>
            <w:vAlign w:val="center"/>
            <w:hideMark/>
          </w:tcPr>
          <w:p w14:paraId="4D1A595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w:t>
            </w:r>
            <w:r w:rsidRPr="00727111">
              <w:rPr>
                <w:rFonts w:ascii="Garamond" w:hAnsi="Garamond"/>
                <w:i/>
                <w:iCs/>
                <w:color w:val="000000"/>
                <w:sz w:val="12"/>
                <w:szCs w:val="12"/>
                <w:lang w:eastAsia="sq-AL"/>
              </w:rPr>
              <w:t>Për menaxhimin e financave Publike</w:t>
            </w:r>
            <w:r w:rsidRPr="00727111">
              <w:rPr>
                <w:rFonts w:ascii="Garamond" w:hAnsi="Garamond"/>
                <w:color w:val="000000"/>
                <w:sz w:val="12"/>
                <w:szCs w:val="12"/>
                <w:lang w:eastAsia="sq-AL"/>
              </w:rPr>
              <w:t xml:space="preserve">": </w:t>
            </w:r>
            <w:r w:rsidRPr="00727111">
              <w:rPr>
                <w:rFonts w:ascii="Garamond" w:hAnsi="Garamond"/>
                <w:color w:val="000000"/>
                <w:sz w:val="12"/>
                <w:szCs w:val="12"/>
                <w:lang w:eastAsia="sq-AL"/>
              </w:rPr>
              <w:br/>
              <w:t>Objektivi 5 "</w:t>
            </w:r>
            <w:r w:rsidRPr="00727111">
              <w:rPr>
                <w:rFonts w:ascii="Garamond" w:hAnsi="Garamond"/>
                <w:i/>
                <w:iCs/>
                <w:color w:val="000000"/>
                <w:sz w:val="12"/>
                <w:szCs w:val="12"/>
                <w:lang w:eastAsia="sq-AL"/>
              </w:rPr>
              <w:t>Transparenca e Financave Publike</w:t>
            </w:r>
            <w:r w:rsidRPr="00727111">
              <w:rPr>
                <w:rFonts w:ascii="Garamond" w:hAnsi="Garamond"/>
                <w:color w:val="000000"/>
                <w:sz w:val="12"/>
                <w:szCs w:val="12"/>
                <w:lang w:eastAsia="sq-AL"/>
              </w:rPr>
              <w:t xml:space="preserve">" </w:t>
            </w:r>
            <w:r w:rsidRPr="00727111">
              <w:rPr>
                <w:rFonts w:ascii="Garamond" w:hAnsi="Garamond"/>
                <w:color w:val="000000"/>
                <w:sz w:val="12"/>
                <w:szCs w:val="12"/>
                <w:lang w:eastAsia="sq-AL"/>
              </w:rPr>
              <w:br/>
              <w:t>Komponenti: "</w:t>
            </w:r>
            <w:r w:rsidRPr="00727111">
              <w:rPr>
                <w:rFonts w:ascii="Garamond" w:hAnsi="Garamond"/>
                <w:i/>
                <w:iCs/>
                <w:color w:val="000000"/>
                <w:sz w:val="12"/>
                <w:szCs w:val="12"/>
                <w:lang w:eastAsia="sq-AL"/>
              </w:rPr>
              <w:t>Monitorimi dhe raportimi financiar dhe i performances</w:t>
            </w:r>
            <w:r w:rsidRPr="00727111">
              <w:rPr>
                <w:rFonts w:ascii="Garamond" w:hAnsi="Garamond"/>
                <w:color w:val="000000"/>
                <w:sz w:val="12"/>
                <w:szCs w:val="12"/>
                <w:lang w:eastAsia="sq-AL"/>
              </w:rPr>
              <w:t>".</w:t>
            </w:r>
          </w:p>
        </w:tc>
        <w:tc>
          <w:tcPr>
            <w:tcW w:w="1144" w:type="dxa"/>
            <w:tcBorders>
              <w:top w:val="nil"/>
              <w:left w:val="nil"/>
              <w:bottom w:val="single" w:sz="4" w:space="0" w:color="auto"/>
              <w:right w:val="single" w:sz="4" w:space="0" w:color="auto"/>
            </w:tcBorders>
            <w:shd w:val="clear" w:color="auto" w:fill="auto"/>
            <w:vAlign w:val="center"/>
            <w:hideMark/>
          </w:tcPr>
          <w:p w14:paraId="06E18DC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8E0890" w:rsidRPr="00727111" w14:paraId="4266AC5D"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519AC57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8</w:t>
            </w:r>
          </w:p>
        </w:tc>
        <w:tc>
          <w:tcPr>
            <w:tcW w:w="1737" w:type="dxa"/>
            <w:tcBorders>
              <w:top w:val="nil"/>
              <w:left w:val="nil"/>
              <w:bottom w:val="single" w:sz="4" w:space="0" w:color="auto"/>
              <w:right w:val="single" w:sz="4" w:space="0" w:color="auto"/>
            </w:tcBorders>
            <w:shd w:val="clear" w:color="FFFFFF" w:fill="FFFFFF"/>
            <w:vAlign w:val="center"/>
            <w:hideMark/>
          </w:tcPr>
          <w:p w14:paraId="3995B7E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tavaneve përfundimtare të shpenzimeve të programit buxhetor afatmesëm 2026-2028</w:t>
            </w:r>
          </w:p>
        </w:tc>
        <w:tc>
          <w:tcPr>
            <w:tcW w:w="1701" w:type="dxa"/>
            <w:tcBorders>
              <w:top w:val="nil"/>
              <w:left w:val="nil"/>
              <w:bottom w:val="single" w:sz="4" w:space="0" w:color="auto"/>
              <w:right w:val="single" w:sz="4" w:space="0" w:color="auto"/>
            </w:tcBorders>
            <w:shd w:val="clear" w:color="auto" w:fill="auto"/>
            <w:vAlign w:val="center"/>
            <w:hideMark/>
          </w:tcPr>
          <w:p w14:paraId="3FBDCF3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6FC291A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auto" w:fill="auto"/>
            <w:vAlign w:val="center"/>
            <w:hideMark/>
          </w:tcPr>
          <w:p w14:paraId="165B4B87"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059" w:type="dxa"/>
            <w:tcBorders>
              <w:top w:val="nil"/>
              <w:left w:val="nil"/>
              <w:bottom w:val="single" w:sz="4" w:space="0" w:color="auto"/>
              <w:right w:val="single" w:sz="4" w:space="0" w:color="auto"/>
            </w:tcBorders>
            <w:shd w:val="clear" w:color="auto" w:fill="auto"/>
            <w:vAlign w:val="center"/>
            <w:hideMark/>
          </w:tcPr>
          <w:p w14:paraId="476D3E0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Projektakt i pervitshem sipas percaktimeve te Ligjit nr.9936 datë 26.06.2008 “</w:t>
            </w:r>
            <w:r w:rsidRPr="00727111">
              <w:rPr>
                <w:rFonts w:ascii="Garamond" w:hAnsi="Garamond"/>
                <w:i/>
                <w:iCs/>
                <w:color w:val="000000"/>
                <w:sz w:val="12"/>
                <w:szCs w:val="12"/>
                <w:lang w:eastAsia="sq-AL"/>
              </w:rPr>
              <w:t>Për menaxhimin e sistemit buxhetor në Republikën e Shqipërisë</w:t>
            </w:r>
            <w:r w:rsidRPr="00727111">
              <w:rPr>
                <w:rFonts w:ascii="Garamond" w:hAnsi="Garamond"/>
                <w:color w:val="000000"/>
                <w:sz w:val="12"/>
                <w:szCs w:val="12"/>
                <w:lang w:eastAsia="sq-AL"/>
              </w:rPr>
              <w:t>”, i ndryshuar</w:t>
            </w:r>
          </w:p>
        </w:tc>
        <w:tc>
          <w:tcPr>
            <w:tcW w:w="1357" w:type="dxa"/>
            <w:tcBorders>
              <w:top w:val="nil"/>
              <w:left w:val="nil"/>
              <w:bottom w:val="single" w:sz="4" w:space="0" w:color="auto"/>
              <w:right w:val="single" w:sz="4" w:space="0" w:color="auto"/>
            </w:tcBorders>
            <w:shd w:val="clear" w:color="auto" w:fill="auto"/>
            <w:vAlign w:val="center"/>
            <w:hideMark/>
          </w:tcPr>
          <w:p w14:paraId="44F07C8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tavaneve përfundimtare të shpenzimeve për periudhen afatmesme për cdo institucion buxhetor</w:t>
            </w:r>
          </w:p>
        </w:tc>
        <w:tc>
          <w:tcPr>
            <w:tcW w:w="1329" w:type="dxa"/>
            <w:tcBorders>
              <w:top w:val="nil"/>
              <w:left w:val="nil"/>
              <w:bottom w:val="single" w:sz="4" w:space="0" w:color="auto"/>
              <w:right w:val="single" w:sz="4" w:space="0" w:color="auto"/>
            </w:tcBorders>
            <w:shd w:val="clear" w:color="000000" w:fill="FFFFFF"/>
            <w:vAlign w:val="center"/>
            <w:hideMark/>
          </w:tcPr>
          <w:p w14:paraId="58E67B3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1D12F3C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000000" w:fill="FFFFFF"/>
            <w:vAlign w:val="center"/>
            <w:hideMark/>
          </w:tcPr>
          <w:p w14:paraId="7B201075"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1824448E"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8E0890" w:rsidRPr="00727111" w14:paraId="08887E9E"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77EF4F2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9</w:t>
            </w:r>
          </w:p>
        </w:tc>
        <w:tc>
          <w:tcPr>
            <w:tcW w:w="1737" w:type="dxa"/>
            <w:tcBorders>
              <w:top w:val="nil"/>
              <w:left w:val="nil"/>
              <w:bottom w:val="single" w:sz="4" w:space="0" w:color="auto"/>
              <w:right w:val="single" w:sz="4" w:space="0" w:color="auto"/>
            </w:tcBorders>
            <w:shd w:val="clear" w:color="FFFFFF" w:fill="FFFFFF"/>
            <w:vAlign w:val="center"/>
            <w:hideMark/>
          </w:tcPr>
          <w:p w14:paraId="32BBEC60"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projekt dokumentit të programit buxhetor afatmesëm 2026-2028</w:t>
            </w:r>
          </w:p>
        </w:tc>
        <w:tc>
          <w:tcPr>
            <w:tcW w:w="1701" w:type="dxa"/>
            <w:tcBorders>
              <w:top w:val="nil"/>
              <w:left w:val="nil"/>
              <w:bottom w:val="single" w:sz="4" w:space="0" w:color="auto"/>
              <w:right w:val="single" w:sz="4" w:space="0" w:color="auto"/>
            </w:tcBorders>
            <w:shd w:val="clear" w:color="000000" w:fill="FFFFFF"/>
            <w:vAlign w:val="center"/>
            <w:hideMark/>
          </w:tcPr>
          <w:p w14:paraId="6E67DFA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21FD415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auto" w:fill="auto"/>
            <w:vAlign w:val="center"/>
            <w:hideMark/>
          </w:tcPr>
          <w:p w14:paraId="0BC0C814"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2059" w:type="dxa"/>
            <w:tcBorders>
              <w:top w:val="nil"/>
              <w:left w:val="nil"/>
              <w:bottom w:val="single" w:sz="4" w:space="0" w:color="auto"/>
              <w:right w:val="single" w:sz="4" w:space="0" w:color="auto"/>
            </w:tcBorders>
            <w:shd w:val="clear" w:color="000000" w:fill="FFFFFF"/>
            <w:vAlign w:val="center"/>
            <w:hideMark/>
          </w:tcPr>
          <w:p w14:paraId="7DC86B7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Projektakt i përvitshëm sipas përcaktimeve të Ligjit nr.9936 datë 26.06.2008 “</w:t>
            </w:r>
            <w:r w:rsidRPr="00727111">
              <w:rPr>
                <w:rFonts w:ascii="Garamond" w:hAnsi="Garamond"/>
                <w:i/>
                <w:iCs/>
                <w:color w:val="000000"/>
                <w:sz w:val="12"/>
                <w:szCs w:val="12"/>
                <w:lang w:eastAsia="sq-AL"/>
              </w:rPr>
              <w:t>Për menaxhimin e sistemit buxhetor në Republikën e Shqipërisë</w:t>
            </w:r>
            <w:r w:rsidRPr="00727111">
              <w:rPr>
                <w:rFonts w:ascii="Garamond" w:hAnsi="Garamond"/>
                <w:color w:val="000000"/>
                <w:sz w:val="12"/>
                <w:szCs w:val="12"/>
                <w:lang w:eastAsia="sq-AL"/>
              </w:rPr>
              <w:t>”, i ndryshuar</w:t>
            </w:r>
          </w:p>
        </w:tc>
        <w:tc>
          <w:tcPr>
            <w:tcW w:w="1357" w:type="dxa"/>
            <w:tcBorders>
              <w:top w:val="nil"/>
              <w:left w:val="nil"/>
              <w:bottom w:val="single" w:sz="4" w:space="0" w:color="auto"/>
              <w:right w:val="single" w:sz="4" w:space="0" w:color="auto"/>
            </w:tcBorders>
            <w:shd w:val="clear" w:color="000000" w:fill="FFFFFF"/>
            <w:vAlign w:val="center"/>
            <w:hideMark/>
          </w:tcPr>
          <w:p w14:paraId="0CCEFFD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 dokument informues, i cili paraqet në menyrë të detajuar kotimin e politikave publike dhe refomave strukturore deri në nivel produkti, të shoqeruar në cdo rast me KPI në nivel qëllimi dhe objektivi, për të gjitha Ministritë e Linjes dhe Institucionet e tjera buxhetore, në zbatim dhe përputhje plotë me tavanet buxhetore përgatitore të miratuara.  </w:t>
            </w:r>
          </w:p>
        </w:tc>
        <w:tc>
          <w:tcPr>
            <w:tcW w:w="1329" w:type="dxa"/>
            <w:tcBorders>
              <w:top w:val="nil"/>
              <w:left w:val="nil"/>
              <w:bottom w:val="single" w:sz="4" w:space="0" w:color="auto"/>
              <w:right w:val="single" w:sz="4" w:space="0" w:color="auto"/>
            </w:tcBorders>
            <w:shd w:val="clear" w:color="000000" w:fill="FFFFFF"/>
            <w:vAlign w:val="center"/>
            <w:hideMark/>
          </w:tcPr>
          <w:p w14:paraId="7C3A4FBE"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64122E6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000000" w:fill="FFFFFF"/>
            <w:vAlign w:val="center"/>
            <w:hideMark/>
          </w:tcPr>
          <w:p w14:paraId="288ADAFE"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7200173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8E0890" w:rsidRPr="00727111" w14:paraId="407D1F49"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776E25D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10</w:t>
            </w:r>
          </w:p>
        </w:tc>
        <w:tc>
          <w:tcPr>
            <w:tcW w:w="1737" w:type="dxa"/>
            <w:tcBorders>
              <w:top w:val="nil"/>
              <w:left w:val="nil"/>
              <w:bottom w:val="single" w:sz="4" w:space="0" w:color="auto"/>
              <w:right w:val="single" w:sz="4" w:space="0" w:color="auto"/>
            </w:tcBorders>
            <w:shd w:val="clear" w:color="auto" w:fill="auto"/>
            <w:vAlign w:val="center"/>
            <w:hideMark/>
          </w:tcPr>
          <w:p w14:paraId="57ADF2D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buxhetin e vitit 2026</w:t>
            </w:r>
          </w:p>
        </w:tc>
        <w:tc>
          <w:tcPr>
            <w:tcW w:w="1701" w:type="dxa"/>
            <w:tcBorders>
              <w:top w:val="nil"/>
              <w:left w:val="nil"/>
              <w:bottom w:val="single" w:sz="4" w:space="0" w:color="auto"/>
              <w:right w:val="single" w:sz="4" w:space="0" w:color="auto"/>
            </w:tcBorders>
            <w:shd w:val="clear" w:color="auto" w:fill="auto"/>
            <w:vAlign w:val="center"/>
            <w:hideMark/>
          </w:tcPr>
          <w:p w14:paraId="474AA848"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Projektligj</w:t>
            </w:r>
          </w:p>
        </w:tc>
        <w:tc>
          <w:tcPr>
            <w:tcW w:w="1701" w:type="dxa"/>
            <w:tcBorders>
              <w:top w:val="nil"/>
              <w:left w:val="nil"/>
              <w:bottom w:val="single" w:sz="4" w:space="0" w:color="auto"/>
              <w:right w:val="single" w:sz="4" w:space="0" w:color="auto"/>
            </w:tcBorders>
            <w:shd w:val="clear" w:color="auto" w:fill="auto"/>
            <w:vAlign w:val="center"/>
            <w:hideMark/>
          </w:tcPr>
          <w:p w14:paraId="16269B24"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621A6468"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auto" w:fill="auto"/>
            <w:vAlign w:val="center"/>
            <w:hideMark/>
          </w:tcPr>
          <w:p w14:paraId="298AC9B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Projektakt i përvitshëm sipas përcaktimeve të Ligjit nr.9936 datë 26.06.2008 “</w:t>
            </w:r>
            <w:r w:rsidRPr="00727111">
              <w:rPr>
                <w:rFonts w:ascii="Garamond" w:hAnsi="Garamond"/>
                <w:i/>
                <w:iCs/>
                <w:color w:val="000000"/>
                <w:sz w:val="12"/>
                <w:szCs w:val="12"/>
                <w:lang w:eastAsia="sq-AL"/>
              </w:rPr>
              <w:t>Për menaxhimin e sistemit buxhetor në Republikën e Shqipërisë</w:t>
            </w:r>
            <w:r w:rsidRPr="00727111">
              <w:rPr>
                <w:rFonts w:ascii="Garamond" w:hAnsi="Garamond"/>
                <w:color w:val="000000"/>
                <w:sz w:val="12"/>
                <w:szCs w:val="12"/>
                <w:lang w:eastAsia="sq-AL"/>
              </w:rPr>
              <w:t>”, i ndryshuar</w:t>
            </w:r>
          </w:p>
        </w:tc>
        <w:tc>
          <w:tcPr>
            <w:tcW w:w="1357" w:type="dxa"/>
            <w:tcBorders>
              <w:top w:val="nil"/>
              <w:left w:val="nil"/>
              <w:bottom w:val="single" w:sz="4" w:space="0" w:color="auto"/>
              <w:right w:val="single" w:sz="4" w:space="0" w:color="auto"/>
            </w:tcBorders>
            <w:shd w:val="clear" w:color="auto" w:fill="auto"/>
            <w:vAlign w:val="center"/>
            <w:hideMark/>
          </w:tcPr>
          <w:p w14:paraId="4C6851F5"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të ardhurave  dhe Shpenzimeve të Buxhetit të shtetit, duke synuar në rritjen progresive të të ardhurave, dhe eficence në menyrat e përdorimit të fondeve publike në sektorët prioritar dhe jo vetëm, duke mbajtur në konsideratë nga ana tjeter uljen e Deficitit Buxhetor dhe të Borxhit Publik.</w:t>
            </w:r>
          </w:p>
        </w:tc>
        <w:tc>
          <w:tcPr>
            <w:tcW w:w="1329" w:type="dxa"/>
            <w:tcBorders>
              <w:top w:val="nil"/>
              <w:left w:val="nil"/>
              <w:bottom w:val="single" w:sz="4" w:space="0" w:color="auto"/>
              <w:right w:val="single" w:sz="4" w:space="0" w:color="auto"/>
            </w:tcBorders>
            <w:shd w:val="clear" w:color="000000" w:fill="FFFFFF"/>
            <w:vAlign w:val="center"/>
            <w:hideMark/>
          </w:tcPr>
          <w:p w14:paraId="591D08D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49E9A62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000000" w:fill="FFFFFF"/>
            <w:vAlign w:val="center"/>
            <w:hideMark/>
          </w:tcPr>
          <w:p w14:paraId="2397216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77E8FE9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8E0890" w:rsidRPr="00727111" w14:paraId="566C88B2"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1B26015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11</w:t>
            </w:r>
          </w:p>
        </w:tc>
        <w:tc>
          <w:tcPr>
            <w:tcW w:w="1737" w:type="dxa"/>
            <w:tcBorders>
              <w:top w:val="nil"/>
              <w:left w:val="nil"/>
              <w:bottom w:val="single" w:sz="4" w:space="0" w:color="auto"/>
              <w:right w:val="single" w:sz="4" w:space="0" w:color="auto"/>
            </w:tcBorders>
            <w:shd w:val="clear" w:color="auto" w:fill="auto"/>
            <w:vAlign w:val="center"/>
            <w:hideMark/>
          </w:tcPr>
          <w:p w14:paraId="1C0F68CA"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Projekt-ligji</w:t>
            </w:r>
            <w:r w:rsidRPr="00727111">
              <w:rPr>
                <w:rFonts w:ascii="Garamond" w:hAnsi="Garamond"/>
                <w:i/>
                <w:iCs/>
                <w:color w:val="000000"/>
                <w:sz w:val="12"/>
                <w:szCs w:val="12"/>
                <w:lang w:eastAsia="sq-AL"/>
              </w:rPr>
              <w:t xml:space="preserve"> "Për disa shtesa dhe ndryshime në ligjin "Për kontabilitetin dhe pasqyrat financiare" </w:t>
            </w:r>
          </w:p>
        </w:tc>
        <w:tc>
          <w:tcPr>
            <w:tcW w:w="1701" w:type="dxa"/>
            <w:tcBorders>
              <w:top w:val="nil"/>
              <w:left w:val="nil"/>
              <w:bottom w:val="single" w:sz="4" w:space="0" w:color="auto"/>
              <w:right w:val="single" w:sz="4" w:space="0" w:color="auto"/>
            </w:tcBorders>
            <w:shd w:val="clear" w:color="auto" w:fill="auto"/>
            <w:vAlign w:val="center"/>
            <w:hideMark/>
          </w:tcPr>
          <w:p w14:paraId="1633C79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701" w:type="dxa"/>
            <w:tcBorders>
              <w:top w:val="nil"/>
              <w:left w:val="nil"/>
              <w:bottom w:val="single" w:sz="4" w:space="0" w:color="auto"/>
              <w:right w:val="single" w:sz="4" w:space="0" w:color="auto"/>
            </w:tcBorders>
            <w:shd w:val="clear" w:color="auto" w:fill="auto"/>
            <w:vAlign w:val="center"/>
            <w:hideMark/>
          </w:tcPr>
          <w:p w14:paraId="5B7D3DF4"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6EBE9FC4"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auto" w:fill="auto"/>
            <w:vAlign w:val="center"/>
            <w:hideMark/>
          </w:tcPr>
          <w:p w14:paraId="2204122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Ky projekt do të amendohet në kuadër të përputhshmërisë (harmonizimit) së mëtejshme me acquis të Bashkimit Evropian, në vijim të procesit të integrimit të vendit tonë në Bashkimin Evropian.</w:t>
            </w:r>
          </w:p>
        </w:tc>
        <w:tc>
          <w:tcPr>
            <w:tcW w:w="1357" w:type="dxa"/>
            <w:tcBorders>
              <w:top w:val="nil"/>
              <w:left w:val="nil"/>
              <w:bottom w:val="single" w:sz="4" w:space="0" w:color="auto"/>
              <w:right w:val="single" w:sz="4" w:space="0" w:color="auto"/>
            </w:tcBorders>
            <w:shd w:val="clear" w:color="auto" w:fill="auto"/>
            <w:vAlign w:val="center"/>
            <w:hideMark/>
          </w:tcPr>
          <w:p w14:paraId="1138FDA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Çështjet kryesore që do të rregullojë projektakti lidhen me:                                                                                  a)Përafrimin e legjislacionit me atë të BE, në mënyrë që të përmbushë kërkesat e përcaktuara në Kapitullin 6 të acquis communautaire;</w:t>
            </w:r>
            <w:r w:rsidRPr="00727111">
              <w:rPr>
                <w:rFonts w:ascii="Garamond" w:hAnsi="Garamond"/>
                <w:color w:val="000000"/>
                <w:sz w:val="12"/>
                <w:szCs w:val="12"/>
                <w:lang w:eastAsia="sq-AL"/>
              </w:rPr>
              <w:br/>
              <w:t>b)Përmirësimin e implementimit të mëtejshëm të ligjit, duke qartësuar elementët që kanë rezultuar me problematika gjatë kësaj kohe;</w:t>
            </w:r>
            <w:r w:rsidRPr="00727111">
              <w:rPr>
                <w:rFonts w:ascii="Garamond" w:hAnsi="Garamond"/>
                <w:color w:val="000000"/>
                <w:sz w:val="12"/>
                <w:szCs w:val="12"/>
                <w:lang w:eastAsia="sq-AL"/>
              </w:rPr>
              <w:br/>
              <w:t>c) Përcaktimi i njësive ekonomike që duhet të përgatisin  raportin e qëndrueshmërisë  si dhe të gjithë elementët përkatës në lidhje me këtë çështje.</w:t>
            </w:r>
          </w:p>
        </w:tc>
        <w:tc>
          <w:tcPr>
            <w:tcW w:w="1329" w:type="dxa"/>
            <w:tcBorders>
              <w:top w:val="nil"/>
              <w:left w:val="nil"/>
              <w:bottom w:val="single" w:sz="4" w:space="0" w:color="auto"/>
              <w:right w:val="single" w:sz="4" w:space="0" w:color="auto"/>
            </w:tcBorders>
            <w:shd w:val="clear" w:color="auto" w:fill="auto"/>
            <w:vAlign w:val="center"/>
            <w:hideMark/>
          </w:tcPr>
          <w:p w14:paraId="526855F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Ky projektakt do të amendohet në mbështetje të angazhimit që ka ndërmarrë qeveria shqiptare për integrimin në Bashkimin Evropian, konkretisht në lidhje me nënkapitullin e Raportimit Financiar, si pjesë e kapitullit 6 “Legjislacioni për shoqëritë tregtare” të Raport-Progresit të Bashkimit Evropian, që ka të bëjë me çështjet e kontabilitetit dhe auditimit ligjor të shoqërive tregtare në vendin tonë.</w:t>
            </w:r>
          </w:p>
        </w:tc>
        <w:tc>
          <w:tcPr>
            <w:tcW w:w="1266" w:type="dxa"/>
            <w:tcBorders>
              <w:top w:val="nil"/>
              <w:left w:val="nil"/>
              <w:bottom w:val="single" w:sz="4" w:space="0" w:color="auto"/>
              <w:right w:val="single" w:sz="4" w:space="0" w:color="auto"/>
            </w:tcBorders>
            <w:shd w:val="clear" w:color="auto" w:fill="auto"/>
            <w:vAlign w:val="center"/>
            <w:hideMark/>
          </w:tcPr>
          <w:p w14:paraId="07B7FF6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Në linjë me programin e qeverisë 2021-2025, amendimi i këtij projektakti është në vijim të zbatimit të masave të marra nga qeveria shqiptare në kuadër të modernizimit për zhvillimin e mëtëjshëm të biznesit në fushën e shërbimeve raportimit financiar.</w:t>
            </w:r>
          </w:p>
        </w:tc>
        <w:tc>
          <w:tcPr>
            <w:tcW w:w="1195" w:type="dxa"/>
            <w:tcBorders>
              <w:top w:val="nil"/>
              <w:left w:val="nil"/>
              <w:bottom w:val="single" w:sz="4" w:space="0" w:color="auto"/>
              <w:right w:val="single" w:sz="4" w:space="0" w:color="auto"/>
            </w:tcBorders>
            <w:shd w:val="clear" w:color="auto" w:fill="auto"/>
            <w:vAlign w:val="center"/>
            <w:hideMark/>
          </w:tcPr>
          <w:p w14:paraId="38CE4EF0"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dhe Plani i Veprimit të Vendit (faza e tretë) në lidhje me raportimin financiar të shoqërive tregtare në përputhje me standardet dhe praktikat e mira ndërkombëtar</w:t>
            </w:r>
          </w:p>
        </w:tc>
        <w:tc>
          <w:tcPr>
            <w:tcW w:w="1144" w:type="dxa"/>
            <w:tcBorders>
              <w:top w:val="nil"/>
              <w:left w:val="nil"/>
              <w:bottom w:val="single" w:sz="4" w:space="0" w:color="auto"/>
              <w:right w:val="single" w:sz="4" w:space="0" w:color="auto"/>
            </w:tcBorders>
            <w:shd w:val="clear" w:color="auto" w:fill="auto"/>
            <w:vAlign w:val="center"/>
            <w:hideMark/>
          </w:tcPr>
          <w:p w14:paraId="5DB7275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 ka ndikim në të katërt elementët</w:t>
            </w:r>
          </w:p>
        </w:tc>
      </w:tr>
      <w:tr w:rsidR="008E0890" w:rsidRPr="00727111" w14:paraId="081C4153"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1CC503E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12</w:t>
            </w:r>
          </w:p>
        </w:tc>
        <w:tc>
          <w:tcPr>
            <w:tcW w:w="1737" w:type="dxa"/>
            <w:tcBorders>
              <w:top w:val="nil"/>
              <w:left w:val="nil"/>
              <w:bottom w:val="single" w:sz="4" w:space="0" w:color="auto"/>
              <w:right w:val="single" w:sz="4" w:space="0" w:color="auto"/>
            </w:tcBorders>
            <w:shd w:val="clear" w:color="auto" w:fill="auto"/>
            <w:vAlign w:val="center"/>
            <w:hideMark/>
          </w:tcPr>
          <w:p w14:paraId="4D34B78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w:t>
            </w:r>
            <w:r w:rsidRPr="00727111">
              <w:rPr>
                <w:rFonts w:ascii="Garamond" w:hAnsi="Garamond"/>
                <w:i/>
                <w:iCs/>
                <w:color w:val="000000"/>
                <w:sz w:val="12"/>
                <w:szCs w:val="12"/>
                <w:lang w:eastAsia="sq-AL"/>
              </w:rPr>
              <w:t>Për disa ndryshime në ligjin nr. 9920, datë 19.5.2008, “Për procedurat tatimore në Republikën e Shqipërisë</w:t>
            </w:r>
            <w:r w:rsidRPr="00727111">
              <w:rPr>
                <w:rFonts w:ascii="Garamond" w:hAnsi="Garamond"/>
                <w:color w:val="000000"/>
                <w:sz w:val="12"/>
                <w:szCs w:val="12"/>
                <w:lang w:eastAsia="sq-AL"/>
              </w:rPr>
              <w:t>", të ndryshuar"</w:t>
            </w:r>
          </w:p>
        </w:tc>
        <w:tc>
          <w:tcPr>
            <w:tcW w:w="1701" w:type="dxa"/>
            <w:tcBorders>
              <w:top w:val="nil"/>
              <w:left w:val="nil"/>
              <w:bottom w:val="single" w:sz="4" w:space="0" w:color="auto"/>
              <w:right w:val="single" w:sz="4" w:space="0" w:color="auto"/>
            </w:tcBorders>
            <w:shd w:val="clear" w:color="auto" w:fill="auto"/>
            <w:vAlign w:val="center"/>
            <w:hideMark/>
          </w:tcPr>
          <w:p w14:paraId="7A7259E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Projektligj </w:t>
            </w:r>
          </w:p>
        </w:tc>
        <w:tc>
          <w:tcPr>
            <w:tcW w:w="1701" w:type="dxa"/>
            <w:tcBorders>
              <w:top w:val="nil"/>
              <w:left w:val="nil"/>
              <w:bottom w:val="single" w:sz="4" w:space="0" w:color="auto"/>
              <w:right w:val="single" w:sz="4" w:space="0" w:color="auto"/>
            </w:tcBorders>
            <w:shd w:val="clear" w:color="auto" w:fill="auto"/>
            <w:vAlign w:val="center"/>
            <w:hideMark/>
          </w:tcPr>
          <w:p w14:paraId="0FEF461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696188B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auto" w:fill="auto"/>
            <w:vAlign w:val="center"/>
            <w:hideMark/>
          </w:tcPr>
          <w:p w14:paraId="5DC5FD6A"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Rritja e transparencës financiare, lufta kundër evazionit fiskal dhe përshtatja me standardet dhe praktikat më të mira ndërkombëtare</w:t>
            </w:r>
          </w:p>
        </w:tc>
        <w:tc>
          <w:tcPr>
            <w:tcW w:w="1357" w:type="dxa"/>
            <w:tcBorders>
              <w:top w:val="nil"/>
              <w:left w:val="nil"/>
              <w:bottom w:val="single" w:sz="4" w:space="0" w:color="auto"/>
              <w:right w:val="single" w:sz="4" w:space="0" w:color="auto"/>
            </w:tcBorders>
            <w:shd w:val="clear" w:color="auto" w:fill="auto"/>
            <w:vAlign w:val="center"/>
            <w:hideMark/>
          </w:tcPr>
          <w:p w14:paraId="0F97A2C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Përmirësimi i procedurave tatimore. Ulje e pagesave me para në dorë.                                                                                                                                                                                                                                                                                                                                                                                                                                                                                                                  </w:t>
            </w:r>
          </w:p>
        </w:tc>
        <w:tc>
          <w:tcPr>
            <w:tcW w:w="1329" w:type="dxa"/>
            <w:tcBorders>
              <w:top w:val="nil"/>
              <w:left w:val="nil"/>
              <w:bottom w:val="single" w:sz="4" w:space="0" w:color="auto"/>
              <w:right w:val="single" w:sz="4" w:space="0" w:color="auto"/>
            </w:tcBorders>
            <w:shd w:val="clear" w:color="000000" w:fill="FFFFFF"/>
            <w:vAlign w:val="center"/>
            <w:hideMark/>
          </w:tcPr>
          <w:p w14:paraId="474D5D6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7E05047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auto" w:fill="auto"/>
            <w:vAlign w:val="center"/>
            <w:hideMark/>
          </w:tcPr>
          <w:p w14:paraId="21895772"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2CEC80F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8E0890" w:rsidRPr="00727111" w14:paraId="09D43DC1"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3F02CC78"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13</w:t>
            </w:r>
          </w:p>
        </w:tc>
        <w:tc>
          <w:tcPr>
            <w:tcW w:w="1737" w:type="dxa"/>
            <w:tcBorders>
              <w:top w:val="nil"/>
              <w:left w:val="nil"/>
              <w:bottom w:val="single" w:sz="4" w:space="0" w:color="auto"/>
              <w:right w:val="single" w:sz="4" w:space="0" w:color="auto"/>
            </w:tcBorders>
            <w:shd w:val="clear" w:color="auto" w:fill="auto"/>
            <w:vAlign w:val="center"/>
            <w:hideMark/>
          </w:tcPr>
          <w:p w14:paraId="696ADDB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taksën mbi pasurinë e paluajtshme</w:t>
            </w:r>
          </w:p>
        </w:tc>
        <w:tc>
          <w:tcPr>
            <w:tcW w:w="1701" w:type="dxa"/>
            <w:tcBorders>
              <w:top w:val="nil"/>
              <w:left w:val="nil"/>
              <w:bottom w:val="single" w:sz="4" w:space="0" w:color="auto"/>
              <w:right w:val="single" w:sz="4" w:space="0" w:color="auto"/>
            </w:tcBorders>
            <w:shd w:val="clear" w:color="auto" w:fill="auto"/>
            <w:vAlign w:val="center"/>
            <w:hideMark/>
          </w:tcPr>
          <w:p w14:paraId="43C9030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701" w:type="dxa"/>
            <w:tcBorders>
              <w:top w:val="nil"/>
              <w:left w:val="nil"/>
              <w:bottom w:val="single" w:sz="4" w:space="0" w:color="auto"/>
              <w:right w:val="single" w:sz="4" w:space="0" w:color="auto"/>
            </w:tcBorders>
            <w:shd w:val="clear" w:color="auto" w:fill="auto"/>
            <w:vAlign w:val="center"/>
            <w:hideMark/>
          </w:tcPr>
          <w:p w14:paraId="118546C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40F9457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auto" w:fill="auto"/>
            <w:vAlign w:val="center"/>
            <w:hideMark/>
          </w:tcPr>
          <w:p w14:paraId="35E9D14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1-Reformimi i sistemit të taksimit të pasurive të paluajtshme në Shqipëri;  2-Ndërtimi i një sistemi modern, funksional, transparent dhe të qëndrueshëm për taksimin e pasurive të paluajtshme, bazuar në vlerën e tyre të tregut; 3-Rritja e nivelit aktual të të ardhurave nga taksa e pasurisë dhe garantimi në njëjtën kohë, më shumë drejtësi për taksapaguesit e më pak kosto për administrimin e taksës.</w:t>
            </w:r>
          </w:p>
        </w:tc>
        <w:tc>
          <w:tcPr>
            <w:tcW w:w="1357" w:type="dxa"/>
            <w:tcBorders>
              <w:top w:val="nil"/>
              <w:left w:val="nil"/>
              <w:bottom w:val="single" w:sz="4" w:space="0" w:color="auto"/>
              <w:right w:val="single" w:sz="4" w:space="0" w:color="auto"/>
            </w:tcBorders>
            <w:shd w:val="clear" w:color="auto" w:fill="auto"/>
            <w:vAlign w:val="center"/>
            <w:hideMark/>
          </w:tcPr>
          <w:p w14:paraId="660E405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Ky projektlligj ka për objekt përcaktimin e:  1. Rregullave dhe procedurave themelore për administrimin e taksës mbi pasurinë e paluajtshme, të bazuar në vlerën e tregut të pasurisë së paluajtshme (këtu e më tej taksa e pasurisë) ; 2. Rregullave dhe procedurave themelore për administrimin, për një periudhë kalimtare, të taksës mbi ndërtesën të bazuar në vlerë,  si dhe taksave mbi tokën bujqësore dhe truallin, të bazuara në sipërfaqen e pasurive të paluajtshme;  3. Autoriteteve përgjegjëse për administrimin e taksave,të sipërpërmendura  dhe vlerësimin e pasurive të paluajtshme.</w:t>
            </w:r>
          </w:p>
        </w:tc>
        <w:tc>
          <w:tcPr>
            <w:tcW w:w="1329" w:type="dxa"/>
            <w:tcBorders>
              <w:top w:val="nil"/>
              <w:left w:val="nil"/>
              <w:bottom w:val="single" w:sz="4" w:space="0" w:color="auto"/>
              <w:right w:val="single" w:sz="4" w:space="0" w:color="auto"/>
            </w:tcBorders>
            <w:shd w:val="clear" w:color="000000" w:fill="FFFFFF"/>
            <w:vAlign w:val="center"/>
            <w:hideMark/>
          </w:tcPr>
          <w:p w14:paraId="4BC8637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619C95B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auto" w:fill="auto"/>
            <w:vAlign w:val="center"/>
            <w:hideMark/>
          </w:tcPr>
          <w:p w14:paraId="4F292E6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sektoriale e menaxhimit të financave publike 2023-2030; Strategjia Ndërsektoriale për Decentralizimin dhe Qeverisjen Vendore 2023–2030, të planit të saj të veprimit 2023–2025; Partneriteti për qeverisje të hapur-plani kombëtar 2023-2025</w:t>
            </w:r>
          </w:p>
        </w:tc>
        <w:tc>
          <w:tcPr>
            <w:tcW w:w="1144" w:type="dxa"/>
            <w:tcBorders>
              <w:top w:val="nil"/>
              <w:left w:val="nil"/>
              <w:bottom w:val="single" w:sz="4" w:space="0" w:color="auto"/>
              <w:right w:val="single" w:sz="4" w:space="0" w:color="auto"/>
            </w:tcBorders>
            <w:shd w:val="clear" w:color="auto" w:fill="auto"/>
            <w:vAlign w:val="center"/>
            <w:hideMark/>
          </w:tcPr>
          <w:p w14:paraId="79E60ED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Ndikime ekonomike - Po; Ndikime financiare - Po</w:t>
            </w:r>
          </w:p>
        </w:tc>
      </w:tr>
      <w:tr w:rsidR="008E0890" w:rsidRPr="00727111" w14:paraId="7DE028CE"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2E51BB1A"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14</w:t>
            </w:r>
          </w:p>
        </w:tc>
        <w:tc>
          <w:tcPr>
            <w:tcW w:w="1737" w:type="dxa"/>
            <w:tcBorders>
              <w:top w:val="nil"/>
              <w:left w:val="nil"/>
              <w:bottom w:val="single" w:sz="4" w:space="0" w:color="auto"/>
              <w:right w:val="single" w:sz="4" w:space="0" w:color="auto"/>
            </w:tcBorders>
            <w:shd w:val="clear" w:color="000000" w:fill="FFFFFF"/>
            <w:vAlign w:val="center"/>
            <w:hideMark/>
          </w:tcPr>
          <w:p w14:paraId="1083B1C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Vendimin e Këshillit të Ministrave Nr. 132, datë 07.03.2018, "</w:t>
            </w:r>
            <w:r w:rsidRPr="00727111">
              <w:rPr>
                <w:rFonts w:ascii="Garamond" w:hAnsi="Garamond"/>
                <w:i/>
                <w:iCs/>
                <w:color w:val="000000"/>
                <w:sz w:val="12"/>
                <w:szCs w:val="12"/>
                <w:lang w:eastAsia="sq-AL"/>
              </w:rPr>
              <w:t>Për metodologjinë për përcaktimin e vlerës së taksueshme të pasurisë së paluajtshme “ndërtesa”, e bazës së taksës për kategori specifike, natyrën dhe prioritetin e informacionit dhe të dhënave për përcaktimin e bazës së taksës, si dhe të kritereve dhe rregullave për vlerësimin alternativ të detyrimit të taksës</w:t>
            </w:r>
            <w:r w:rsidRPr="00727111">
              <w:rPr>
                <w:rFonts w:ascii="Garamond" w:hAnsi="Garamond"/>
                <w:color w:val="000000"/>
                <w:sz w:val="12"/>
                <w:szCs w:val="12"/>
                <w:lang w:eastAsia="sq-AL"/>
              </w:rPr>
              <w:t>", i ndryshuar".</w:t>
            </w:r>
            <w:r w:rsidRPr="00727111">
              <w:rPr>
                <w:rFonts w:ascii="Garamond" w:hAnsi="Garamond"/>
                <w:b/>
                <w:bCs/>
                <w:color w:val="000000"/>
                <w:sz w:val="12"/>
                <w:szCs w:val="12"/>
                <w:lang w:eastAsia="sq-AL"/>
              </w:rPr>
              <w:t xml:space="preserve"> </w:t>
            </w:r>
          </w:p>
        </w:tc>
        <w:tc>
          <w:tcPr>
            <w:tcW w:w="1701" w:type="dxa"/>
            <w:tcBorders>
              <w:top w:val="nil"/>
              <w:left w:val="nil"/>
              <w:bottom w:val="single" w:sz="4" w:space="0" w:color="auto"/>
              <w:right w:val="single" w:sz="4" w:space="0" w:color="auto"/>
            </w:tcBorders>
            <w:shd w:val="clear" w:color="000000" w:fill="FFFFFF"/>
            <w:vAlign w:val="center"/>
            <w:hideMark/>
          </w:tcPr>
          <w:p w14:paraId="2749121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3948BA0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3616648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000000" w:fill="FFFFFF"/>
            <w:vAlign w:val="center"/>
            <w:hideMark/>
          </w:tcPr>
          <w:p w14:paraId="141C81A4"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Përmisimi dhe qartësimi i mëtëjshëm i metodologjisë për përcaktimin e vlerës së taksueshme të pasurisë së paluajtshme “ndërtesa”, e bazës së taksës për kategori specifike, natyrën dhe prioritetin e informacionit dhe të dhënave për përcaktimin e bazës së taksës, si dhe të kritereve dhe rregullave për vlerësimin alternativ të detyrimit të taksës</w:t>
            </w:r>
          </w:p>
        </w:tc>
        <w:tc>
          <w:tcPr>
            <w:tcW w:w="1357" w:type="dxa"/>
            <w:tcBorders>
              <w:top w:val="nil"/>
              <w:left w:val="nil"/>
              <w:bottom w:val="single" w:sz="4" w:space="0" w:color="auto"/>
              <w:right w:val="single" w:sz="4" w:space="0" w:color="auto"/>
            </w:tcBorders>
            <w:shd w:val="clear" w:color="000000" w:fill="FFFFFF"/>
            <w:vAlign w:val="center"/>
            <w:hideMark/>
          </w:tcPr>
          <w:p w14:paraId="24A6333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Përmisimi dhe qartësimi i mëtëjshëm i metodologjisë për përcaktimin e vlerës së taksueshme të pasurisë së paluajtshme “ndërtesa”, e bazës së taksës për kategori specifike, natyrën dhe prioritetin e informacionit dhe të dhënave për përcaktimin e bazës së taksës, si dhe të kritereve dhe rregullave për vlerësimin alternativ të detyrimit të taksës</w:t>
            </w:r>
          </w:p>
        </w:tc>
        <w:tc>
          <w:tcPr>
            <w:tcW w:w="1329" w:type="dxa"/>
            <w:tcBorders>
              <w:top w:val="nil"/>
              <w:left w:val="nil"/>
              <w:bottom w:val="single" w:sz="4" w:space="0" w:color="auto"/>
              <w:right w:val="single" w:sz="4" w:space="0" w:color="auto"/>
            </w:tcBorders>
            <w:shd w:val="clear" w:color="000000" w:fill="FFFFFF"/>
            <w:vAlign w:val="center"/>
            <w:hideMark/>
          </w:tcPr>
          <w:p w14:paraId="1706A4A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74E6BFC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000000" w:fill="FFFFFF"/>
            <w:vAlign w:val="center"/>
            <w:hideMark/>
          </w:tcPr>
          <w:p w14:paraId="535828D5"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sektoriale e menaxhimit të financave publike 2023-2030; Strategjia Ndërsektoriale për Decentralizimin dhe Qeverisjen Vendore 2023–2030, të planit të saj të veprimit 2023–2025; Partneriteti për qeverisje të hapur-plani kombëtar 2023-2025</w:t>
            </w:r>
          </w:p>
        </w:tc>
        <w:tc>
          <w:tcPr>
            <w:tcW w:w="1144" w:type="dxa"/>
            <w:tcBorders>
              <w:top w:val="nil"/>
              <w:left w:val="nil"/>
              <w:bottom w:val="single" w:sz="4" w:space="0" w:color="auto"/>
              <w:right w:val="single" w:sz="4" w:space="0" w:color="auto"/>
            </w:tcBorders>
            <w:shd w:val="clear" w:color="000000" w:fill="FFFFFF"/>
            <w:vAlign w:val="center"/>
            <w:hideMark/>
          </w:tcPr>
          <w:p w14:paraId="782350D0"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8E0890" w:rsidRPr="00727111" w14:paraId="318AC30F"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1B8A60B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15</w:t>
            </w:r>
          </w:p>
        </w:tc>
        <w:tc>
          <w:tcPr>
            <w:tcW w:w="1737" w:type="dxa"/>
            <w:tcBorders>
              <w:top w:val="nil"/>
              <w:left w:val="nil"/>
              <w:bottom w:val="single" w:sz="4" w:space="0" w:color="auto"/>
              <w:right w:val="single" w:sz="4" w:space="0" w:color="auto"/>
            </w:tcBorders>
            <w:shd w:val="clear" w:color="auto" w:fill="auto"/>
            <w:vAlign w:val="center"/>
            <w:hideMark/>
          </w:tcPr>
          <w:p w14:paraId="26AE473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dokumentit të programit buxhetor afatmesëm 2026-2028, të rishikuar</w:t>
            </w:r>
          </w:p>
        </w:tc>
        <w:tc>
          <w:tcPr>
            <w:tcW w:w="1701" w:type="dxa"/>
            <w:tcBorders>
              <w:top w:val="nil"/>
              <w:left w:val="nil"/>
              <w:bottom w:val="single" w:sz="4" w:space="0" w:color="auto"/>
              <w:right w:val="single" w:sz="4" w:space="0" w:color="auto"/>
            </w:tcBorders>
            <w:shd w:val="clear" w:color="auto" w:fill="auto"/>
            <w:vAlign w:val="center"/>
            <w:hideMark/>
          </w:tcPr>
          <w:p w14:paraId="06EFF6C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3EDB27A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788D191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auto" w:fill="auto"/>
            <w:vAlign w:val="center"/>
            <w:hideMark/>
          </w:tcPr>
          <w:p w14:paraId="5807947D"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Projektakt i përvitshëm sipas përcaktimeve të Ligjit nr.9936 datë 26.06.2008 “</w:t>
            </w:r>
            <w:r w:rsidRPr="00727111">
              <w:rPr>
                <w:rFonts w:ascii="Garamond" w:hAnsi="Garamond"/>
                <w:i/>
                <w:iCs/>
                <w:color w:val="000000"/>
                <w:sz w:val="12"/>
                <w:szCs w:val="12"/>
                <w:lang w:eastAsia="sq-AL"/>
              </w:rPr>
              <w:t>Për menaxhimin e sistemit buxhetor në Republikën e Shqipërisë</w:t>
            </w:r>
            <w:r w:rsidRPr="00727111">
              <w:rPr>
                <w:rFonts w:ascii="Garamond" w:hAnsi="Garamond"/>
                <w:color w:val="000000"/>
                <w:sz w:val="12"/>
                <w:szCs w:val="12"/>
                <w:lang w:eastAsia="sq-AL"/>
              </w:rPr>
              <w:t>”i ndryshuar</w:t>
            </w:r>
          </w:p>
        </w:tc>
        <w:tc>
          <w:tcPr>
            <w:tcW w:w="1357" w:type="dxa"/>
            <w:tcBorders>
              <w:top w:val="nil"/>
              <w:left w:val="nil"/>
              <w:bottom w:val="single" w:sz="4" w:space="0" w:color="auto"/>
              <w:right w:val="single" w:sz="4" w:space="0" w:color="auto"/>
            </w:tcBorders>
            <w:shd w:val="clear" w:color="auto" w:fill="auto"/>
            <w:vAlign w:val="center"/>
            <w:hideMark/>
          </w:tcPr>
          <w:p w14:paraId="35D86E3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Dokument informues, i cili paraqet në menyrë të detajuar kotimin e politikave publike dhe refomave strukturore deri në nivel produkti, të shoqeruar në cdo rast me KPI në nivel qellimi dhe objektivi, për të gjitha Ministrite e Linjes dhe Institucionet e tjera buxhetore, në zbatim dhe përputhje të plotë me tavanet  buxhetore përfundimtare të miratuara.  </w:t>
            </w:r>
          </w:p>
        </w:tc>
        <w:tc>
          <w:tcPr>
            <w:tcW w:w="1329" w:type="dxa"/>
            <w:tcBorders>
              <w:top w:val="nil"/>
              <w:left w:val="nil"/>
              <w:bottom w:val="single" w:sz="4" w:space="0" w:color="auto"/>
              <w:right w:val="single" w:sz="4" w:space="0" w:color="auto"/>
            </w:tcBorders>
            <w:shd w:val="clear" w:color="000000" w:fill="FFFFFF"/>
            <w:vAlign w:val="center"/>
            <w:hideMark/>
          </w:tcPr>
          <w:p w14:paraId="4B0999B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4A5AB18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000000" w:fill="FFFFFF"/>
            <w:vAlign w:val="center"/>
            <w:hideMark/>
          </w:tcPr>
          <w:p w14:paraId="1458B2A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29C97B45"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 Projektakti, ka një ndikim të rëndësishëm në realizimin e huamarrjes në përputhje me nevojat buxhetore të parashikuara në ligjin e buxhetit, si edhe në ruajtjen e balancës ndërmjet kostos dhe rreziqeve që lidhen me borxhin</w:t>
            </w:r>
          </w:p>
        </w:tc>
      </w:tr>
      <w:tr w:rsidR="008E0890" w:rsidRPr="00727111" w14:paraId="0E6BBDF4"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3369EAB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16</w:t>
            </w:r>
          </w:p>
        </w:tc>
        <w:tc>
          <w:tcPr>
            <w:tcW w:w="1737" w:type="dxa"/>
            <w:tcBorders>
              <w:top w:val="nil"/>
              <w:left w:val="nil"/>
              <w:bottom w:val="single" w:sz="4" w:space="0" w:color="auto"/>
              <w:right w:val="single" w:sz="4" w:space="0" w:color="auto"/>
            </w:tcBorders>
            <w:shd w:val="clear" w:color="auto" w:fill="auto"/>
            <w:vAlign w:val="center"/>
            <w:hideMark/>
          </w:tcPr>
          <w:p w14:paraId="015F6221"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"Për Miratimin e Strategjisë Afatmesme të Menaxhimit të Borxhit 2025-2029"</w:t>
            </w:r>
          </w:p>
        </w:tc>
        <w:tc>
          <w:tcPr>
            <w:tcW w:w="1701" w:type="dxa"/>
            <w:tcBorders>
              <w:top w:val="nil"/>
              <w:left w:val="nil"/>
              <w:bottom w:val="single" w:sz="4" w:space="0" w:color="auto"/>
              <w:right w:val="single" w:sz="4" w:space="0" w:color="auto"/>
            </w:tcBorders>
            <w:shd w:val="clear" w:color="auto" w:fill="auto"/>
            <w:vAlign w:val="center"/>
            <w:hideMark/>
          </w:tcPr>
          <w:p w14:paraId="43443D1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2BE78E0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6D410B45"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auto" w:fill="auto"/>
            <w:vAlign w:val="center"/>
            <w:hideMark/>
          </w:tcPr>
          <w:p w14:paraId="735A36A5"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Arsyeja e nxjerrjes së këtij projektakti vjen si nevojë e rritjes së efiçencës në menaxhimin e borxhit dhe rritjen e transparencës në fushën e huamarrjes shtetërore. </w:t>
            </w:r>
          </w:p>
        </w:tc>
        <w:tc>
          <w:tcPr>
            <w:tcW w:w="1357" w:type="dxa"/>
            <w:tcBorders>
              <w:top w:val="nil"/>
              <w:left w:val="nil"/>
              <w:bottom w:val="single" w:sz="4" w:space="0" w:color="auto"/>
              <w:right w:val="single" w:sz="4" w:space="0" w:color="auto"/>
            </w:tcBorders>
            <w:shd w:val="clear" w:color="000000" w:fill="FFFFFF"/>
            <w:vAlign w:val="center"/>
            <w:hideMark/>
          </w:tcPr>
          <w:p w14:paraId="66EF5D6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Projektvendimi “Për miratimin e Strategjisë Afatmesme të Menaxhimit të Borxhit 2025-2029” përcakton mënyrat e financimit të deficitit buxhetor në periudhën afatmesme 2025-2029 si edhe objektivat që duhen realizuar në kuadër të plotësimit të nevojave për financim në periudhën afatmesme, uljes së riskut dhe mbajtjes nën kontroll të kostos, zhvillimit të tregut të titujve shtetërorë dhe rritjes së qëndrueshmërisë së borxhit. Projektvendimi propozohet në kuadër të nevojës së menaxhimit efikas të borxhit dhe rritjes së transparencës dhe parashikueshmërisë kundrejt investitorëve të titujve shtetërorë dhe të gjithë palëve të tjera të interesuara në këtë proces. </w:t>
            </w:r>
          </w:p>
        </w:tc>
        <w:tc>
          <w:tcPr>
            <w:tcW w:w="1329" w:type="dxa"/>
            <w:tcBorders>
              <w:top w:val="nil"/>
              <w:left w:val="nil"/>
              <w:bottom w:val="single" w:sz="4" w:space="0" w:color="auto"/>
              <w:right w:val="single" w:sz="4" w:space="0" w:color="auto"/>
            </w:tcBorders>
            <w:shd w:val="clear" w:color="auto" w:fill="auto"/>
            <w:vAlign w:val="center"/>
            <w:hideMark/>
          </w:tcPr>
          <w:p w14:paraId="07DE8C24"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7FB2E72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auto" w:fill="auto"/>
            <w:vAlign w:val="center"/>
            <w:hideMark/>
          </w:tcPr>
          <w:p w14:paraId="0D5A3469"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Strategjia për Menaxhimin e Financave Publike</w:t>
            </w:r>
          </w:p>
        </w:tc>
        <w:tc>
          <w:tcPr>
            <w:tcW w:w="1144" w:type="dxa"/>
            <w:tcBorders>
              <w:top w:val="nil"/>
              <w:left w:val="nil"/>
              <w:bottom w:val="single" w:sz="4" w:space="0" w:color="auto"/>
              <w:right w:val="single" w:sz="4" w:space="0" w:color="auto"/>
            </w:tcBorders>
            <w:shd w:val="clear" w:color="auto" w:fill="auto"/>
            <w:vAlign w:val="center"/>
            <w:hideMark/>
          </w:tcPr>
          <w:p w14:paraId="58995C03"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 Projektakti, ka një ndikim të rëndësishëm në realizimin e huamarrjes në përputhje me nevojat buxhetore të parashikuara në ligjin e buxhetit, si edhe në ruajtjen e balancës ndërmjet kostos dhe rreziqeve që lidhen me borxhin</w:t>
            </w:r>
          </w:p>
        </w:tc>
      </w:tr>
      <w:tr w:rsidR="008E0890" w:rsidRPr="00727111" w14:paraId="64753EFA"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5662EB78"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17</w:t>
            </w:r>
          </w:p>
        </w:tc>
        <w:tc>
          <w:tcPr>
            <w:tcW w:w="1737" w:type="dxa"/>
            <w:tcBorders>
              <w:top w:val="nil"/>
              <w:left w:val="nil"/>
              <w:bottom w:val="single" w:sz="4" w:space="0" w:color="auto"/>
              <w:right w:val="single" w:sz="4" w:space="0" w:color="auto"/>
            </w:tcBorders>
            <w:shd w:val="clear" w:color="auto" w:fill="auto"/>
            <w:vAlign w:val="center"/>
            <w:hideMark/>
          </w:tcPr>
          <w:p w14:paraId="2BF02C6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w:t>
            </w:r>
            <w:r w:rsidRPr="00727111">
              <w:rPr>
                <w:rFonts w:ascii="Garamond" w:hAnsi="Garamond"/>
                <w:i/>
                <w:iCs/>
                <w:color w:val="000000"/>
                <w:sz w:val="12"/>
                <w:szCs w:val="12"/>
                <w:lang w:eastAsia="sq-AL"/>
              </w:rPr>
              <w:t>Per miratimin dhe publikimin zyrtar te Nomenklaurës së Kombinuar të Mallrave 2026</w:t>
            </w:r>
            <w:r w:rsidRPr="00727111">
              <w:rPr>
                <w:rFonts w:ascii="Garamond" w:hAnsi="Garamond"/>
                <w:color w:val="000000"/>
                <w:sz w:val="12"/>
                <w:szCs w:val="12"/>
                <w:lang w:eastAsia="sq-AL"/>
              </w:rPr>
              <w:t>"</w:t>
            </w:r>
          </w:p>
        </w:tc>
        <w:tc>
          <w:tcPr>
            <w:tcW w:w="1701" w:type="dxa"/>
            <w:tcBorders>
              <w:top w:val="nil"/>
              <w:left w:val="nil"/>
              <w:bottom w:val="single" w:sz="4" w:space="0" w:color="auto"/>
              <w:right w:val="single" w:sz="4" w:space="0" w:color="auto"/>
            </w:tcBorders>
            <w:shd w:val="clear" w:color="auto" w:fill="auto"/>
            <w:vAlign w:val="center"/>
            <w:hideMark/>
          </w:tcPr>
          <w:p w14:paraId="37E4C5D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5E8668B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656C741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auto" w:fill="auto"/>
            <w:vAlign w:val="center"/>
            <w:hideMark/>
          </w:tcPr>
          <w:p w14:paraId="0CADC1D7"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Përditësimi i Nomenklaturës së Kombinuar të Mallrave, sipas versionit të Bashkimit Evropian. Në datë 1 janar 2026 Administrata Doganore Shqiptare duhet të zbatojë të njejtën Nomenklaturë Mallrash si Bashkimi Evropian. Në bazë të kësaj Nomenkalture zbatohen nivelet kombetare të tarifes doganore, Marrëveshja e Stabilizim Asociimit, Marrëveshja Interim si dhe Marrëveshjet e Tregtisë së Lirë. </w:t>
            </w:r>
          </w:p>
        </w:tc>
        <w:tc>
          <w:tcPr>
            <w:tcW w:w="1357" w:type="dxa"/>
            <w:tcBorders>
              <w:top w:val="nil"/>
              <w:left w:val="nil"/>
              <w:bottom w:val="single" w:sz="4" w:space="0" w:color="auto"/>
              <w:right w:val="single" w:sz="4" w:space="0" w:color="auto"/>
            </w:tcBorders>
            <w:shd w:val="clear" w:color="auto" w:fill="auto"/>
            <w:vAlign w:val="center"/>
            <w:hideMark/>
          </w:tcPr>
          <w:p w14:paraId="00F20CC8"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Zbatimin e saktë të: niveleve të tarifës doganore, Marrëveshjes së Stabilizim Asociimit dhe Marreveshjeve të Tregetisë së Lirë; Shkembimin e informacionit me autoritetet doganore evropiane si dhe lehtësimin e raportimeve statistikore dhe procedurave doganore për shkembimet tregtare me vendet e BE.</w:t>
            </w:r>
          </w:p>
        </w:tc>
        <w:tc>
          <w:tcPr>
            <w:tcW w:w="1329" w:type="dxa"/>
            <w:tcBorders>
              <w:top w:val="nil"/>
              <w:left w:val="nil"/>
              <w:bottom w:val="single" w:sz="4" w:space="0" w:color="auto"/>
              <w:right w:val="single" w:sz="4" w:space="0" w:color="auto"/>
            </w:tcBorders>
            <w:shd w:val="clear" w:color="auto" w:fill="auto"/>
            <w:vAlign w:val="center"/>
            <w:hideMark/>
          </w:tcPr>
          <w:p w14:paraId="60E1068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29. Projektvendim “</w:t>
            </w:r>
            <w:r w:rsidRPr="00727111">
              <w:rPr>
                <w:rFonts w:ascii="Garamond" w:hAnsi="Garamond"/>
                <w:i/>
                <w:iCs/>
                <w:color w:val="000000"/>
                <w:sz w:val="12"/>
                <w:szCs w:val="12"/>
                <w:lang w:eastAsia="sq-AL"/>
              </w:rPr>
              <w:t>Për miratimin dhe publikimin zyrtar të Nomenklaturës së Kombinuar të mallrave 2025</w:t>
            </w:r>
            <w:r w:rsidRPr="00727111">
              <w:rPr>
                <w:rFonts w:ascii="Garamond" w:hAnsi="Garamond"/>
                <w:color w:val="000000"/>
                <w:sz w:val="12"/>
                <w:szCs w:val="12"/>
                <w:lang w:eastAsia="sq-AL"/>
              </w:rPr>
              <w:t>”</w:t>
            </w:r>
          </w:p>
        </w:tc>
        <w:tc>
          <w:tcPr>
            <w:tcW w:w="1266" w:type="dxa"/>
            <w:tcBorders>
              <w:top w:val="nil"/>
              <w:left w:val="nil"/>
              <w:bottom w:val="single" w:sz="4" w:space="0" w:color="auto"/>
              <w:right w:val="single" w:sz="4" w:space="0" w:color="auto"/>
            </w:tcBorders>
            <w:shd w:val="clear" w:color="auto" w:fill="auto"/>
            <w:vAlign w:val="center"/>
            <w:hideMark/>
          </w:tcPr>
          <w:p w14:paraId="33C574BE"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 Në rubriken "Integrimi europian " përcaktohet që Programi  qeverisës për integrimin europian 2021-2025 synon që Shqiperia të ecë edhe më shpejt, me qëllim që qytetarët  të shohin një datë të qartë se kur i gjithë ky proces mund të finalizohet me Shqipërinë si një vend anëtar të Bashkimit Europian.</w:t>
            </w:r>
          </w:p>
        </w:tc>
        <w:tc>
          <w:tcPr>
            <w:tcW w:w="1195" w:type="dxa"/>
            <w:tcBorders>
              <w:top w:val="nil"/>
              <w:left w:val="nil"/>
              <w:bottom w:val="single" w:sz="4" w:space="0" w:color="auto"/>
              <w:right w:val="single" w:sz="4" w:space="0" w:color="auto"/>
            </w:tcBorders>
            <w:shd w:val="clear" w:color="auto" w:fill="auto"/>
            <w:vAlign w:val="center"/>
            <w:hideMark/>
          </w:tcPr>
          <w:p w14:paraId="391C6554" w14:textId="77777777" w:rsidR="008E0890" w:rsidRPr="00727111" w:rsidRDefault="008E0890" w:rsidP="008E0890">
            <w:pPr>
              <w:jc w:val="center"/>
              <w:rPr>
                <w:rFonts w:ascii="Garamond" w:hAnsi="Garamond"/>
                <w:sz w:val="12"/>
                <w:szCs w:val="12"/>
                <w:lang w:eastAsia="sq-AL"/>
              </w:rPr>
            </w:pPr>
            <w:r w:rsidRPr="00727111">
              <w:rPr>
                <w:rFonts w:ascii="Garamond" w:hAnsi="Garamond"/>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11682C3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8E0890" w:rsidRPr="00727111" w14:paraId="410B3B26"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00FDE67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18</w:t>
            </w:r>
          </w:p>
        </w:tc>
        <w:tc>
          <w:tcPr>
            <w:tcW w:w="1737" w:type="dxa"/>
            <w:tcBorders>
              <w:top w:val="nil"/>
              <w:left w:val="nil"/>
              <w:bottom w:val="single" w:sz="4" w:space="0" w:color="auto"/>
              <w:right w:val="single" w:sz="4" w:space="0" w:color="auto"/>
            </w:tcBorders>
            <w:shd w:val="clear" w:color="auto" w:fill="auto"/>
            <w:vAlign w:val="center"/>
            <w:hideMark/>
          </w:tcPr>
          <w:p w14:paraId="277F67C8"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Vendimin e Këshillit të Ministrave Nr. 273, datë 16.05.2018, "</w:t>
            </w:r>
            <w:r w:rsidRPr="00727111">
              <w:rPr>
                <w:rFonts w:ascii="Garamond" w:hAnsi="Garamond"/>
                <w:i/>
                <w:iCs/>
                <w:color w:val="000000"/>
                <w:sz w:val="12"/>
                <w:szCs w:val="12"/>
                <w:lang w:eastAsia="sq-AL"/>
              </w:rPr>
              <w:t>Për krijimin e regjistrit qendror të bazës së të dhënave për llogaritjen e taksës vendore të pasurisë së paluajtshme “ndërtesë” (kadastra fiskale)</w:t>
            </w:r>
            <w:r w:rsidRPr="00727111">
              <w:rPr>
                <w:rFonts w:ascii="Garamond" w:hAnsi="Garamond"/>
                <w:color w:val="000000"/>
                <w:sz w:val="12"/>
                <w:szCs w:val="12"/>
                <w:lang w:eastAsia="sq-AL"/>
              </w:rPr>
              <w:t>"</w:t>
            </w:r>
          </w:p>
        </w:tc>
        <w:tc>
          <w:tcPr>
            <w:tcW w:w="1701" w:type="dxa"/>
            <w:tcBorders>
              <w:top w:val="nil"/>
              <w:left w:val="nil"/>
              <w:bottom w:val="single" w:sz="4" w:space="0" w:color="auto"/>
              <w:right w:val="single" w:sz="4" w:space="0" w:color="auto"/>
            </w:tcBorders>
            <w:shd w:val="clear" w:color="auto" w:fill="auto"/>
            <w:vAlign w:val="center"/>
            <w:hideMark/>
          </w:tcPr>
          <w:p w14:paraId="5DBD237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3C079B30"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0AD94CB8"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auto" w:fill="auto"/>
            <w:vAlign w:val="center"/>
            <w:hideMark/>
          </w:tcPr>
          <w:p w14:paraId="4D60DEDF"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Përmirësimi i VKM Nr. 273, datë 16.5.2018, me qëllim:</w:t>
            </w:r>
            <w:r w:rsidRPr="00727111">
              <w:rPr>
                <w:rFonts w:ascii="Garamond" w:hAnsi="Garamond"/>
                <w:color w:val="000000"/>
                <w:sz w:val="12"/>
                <w:szCs w:val="12"/>
                <w:lang w:eastAsia="sq-AL"/>
              </w:rPr>
              <w:br/>
              <w:t>(a) Saktësimin e  të dhënave të nevojshme (parësore dhe dytësore) për administrimin e taksës në Kadastrën Fiskale, si dhe qartësimin e rregullave për mbledhjen dhe menaxhimin e këtyre të dhënave; (b) Shtimin e bazave të të dhënave shtetërore me të cilat duhet të ndërveprojë Kadastra Fiskale; (c) Saktësimin e  nivelit të aksesit (për subjekte të ndryshme) në të dhënat që përmban Kadastra Fiskale dhe përcaktimin e procedurës për lejimin e aksesit.</w:t>
            </w:r>
          </w:p>
        </w:tc>
        <w:tc>
          <w:tcPr>
            <w:tcW w:w="1357" w:type="dxa"/>
            <w:tcBorders>
              <w:top w:val="nil"/>
              <w:left w:val="nil"/>
              <w:bottom w:val="single" w:sz="4" w:space="0" w:color="auto"/>
              <w:right w:val="single" w:sz="4" w:space="0" w:color="auto"/>
            </w:tcBorders>
            <w:shd w:val="clear" w:color="auto" w:fill="auto"/>
            <w:vAlign w:val="center"/>
            <w:hideMark/>
          </w:tcPr>
          <w:p w14:paraId="1852FB6A"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(a) Saktësimi i  të dhënave të nevojshme (parësore dhe dytësore) për administrimin e taksës në Kadastrën Fiskale, si dhe qartësimin e rregullave për mbledhjen dhe menaxhimin e këtyre të dhënave; (b) Shtimi i bazave të të dhënave shtetërore me të cilat duhet të ndërveprojë Kadastra Fiskale; (c) Saktësimi i  nivelit të aksesit (për subjekte të ndryshme) në të dhënat që përmban Kadastra Fiskale dhe përcaktimin e procedurës për lejimin e aksesit.</w:t>
            </w:r>
          </w:p>
        </w:tc>
        <w:tc>
          <w:tcPr>
            <w:tcW w:w="1329" w:type="dxa"/>
            <w:tcBorders>
              <w:top w:val="nil"/>
              <w:left w:val="nil"/>
              <w:bottom w:val="single" w:sz="4" w:space="0" w:color="auto"/>
              <w:right w:val="single" w:sz="4" w:space="0" w:color="auto"/>
            </w:tcBorders>
            <w:shd w:val="clear" w:color="000000" w:fill="FFFFFF"/>
            <w:vAlign w:val="center"/>
            <w:hideMark/>
          </w:tcPr>
          <w:p w14:paraId="4283C24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53C14DE0"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auto" w:fill="auto"/>
            <w:vAlign w:val="center"/>
            <w:hideMark/>
          </w:tcPr>
          <w:p w14:paraId="39D55EA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Strategjia sektoriale e menaxhimit të financave publike 2023-2030; Strategjia Ndërsektoriale për Decentralizimin dhe Qeverisjen Vendore 2023–2030, të planit të saj të veprimit 2023–2025; Partneriteti për qeverisje të hapur-plani kombëtar 2023-2025</w:t>
            </w:r>
          </w:p>
        </w:tc>
        <w:tc>
          <w:tcPr>
            <w:tcW w:w="1144" w:type="dxa"/>
            <w:tcBorders>
              <w:top w:val="nil"/>
              <w:left w:val="nil"/>
              <w:bottom w:val="single" w:sz="4" w:space="0" w:color="auto"/>
              <w:right w:val="single" w:sz="4" w:space="0" w:color="auto"/>
            </w:tcBorders>
            <w:shd w:val="clear" w:color="auto" w:fill="auto"/>
            <w:vAlign w:val="center"/>
            <w:hideMark/>
          </w:tcPr>
          <w:p w14:paraId="499DAD3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8E0890" w:rsidRPr="00727111" w14:paraId="6ADCEB59" w14:textId="77777777" w:rsidTr="00FA18CD">
        <w:trPr>
          <w:gridAfter w:val="1"/>
          <w:wAfter w:w="10" w:type="dxa"/>
          <w:trHeight w:val="180"/>
          <w:jc w:val="center"/>
        </w:trPr>
        <w:tc>
          <w:tcPr>
            <w:tcW w:w="390" w:type="dxa"/>
            <w:tcBorders>
              <w:top w:val="nil"/>
              <w:left w:val="single" w:sz="4" w:space="0" w:color="auto"/>
              <w:bottom w:val="single" w:sz="4" w:space="0" w:color="auto"/>
              <w:right w:val="single" w:sz="4" w:space="0" w:color="auto"/>
            </w:tcBorders>
            <w:shd w:val="clear" w:color="000000" w:fill="F2F2F2"/>
            <w:vAlign w:val="center"/>
            <w:hideMark/>
          </w:tcPr>
          <w:p w14:paraId="66E8F9AB"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19</w:t>
            </w:r>
          </w:p>
        </w:tc>
        <w:tc>
          <w:tcPr>
            <w:tcW w:w="1737" w:type="dxa"/>
            <w:tcBorders>
              <w:top w:val="nil"/>
              <w:left w:val="nil"/>
              <w:bottom w:val="single" w:sz="4" w:space="0" w:color="auto"/>
              <w:right w:val="single" w:sz="4" w:space="0" w:color="auto"/>
            </w:tcBorders>
            <w:shd w:val="clear" w:color="auto" w:fill="auto"/>
            <w:vAlign w:val="center"/>
            <w:hideMark/>
          </w:tcPr>
          <w:p w14:paraId="12BEFF4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Vendimin e Këshillit të Ministrave Nr. 171, datë 23.08.2018, "</w:t>
            </w:r>
            <w:r w:rsidRPr="00727111">
              <w:rPr>
                <w:rFonts w:ascii="Garamond" w:hAnsi="Garamond"/>
                <w:i/>
                <w:iCs/>
                <w:color w:val="000000"/>
                <w:sz w:val="12"/>
                <w:szCs w:val="12"/>
                <w:lang w:eastAsia="sq-AL"/>
              </w:rPr>
              <w:t>Për organizimin dhe funksionimin e Drejtorisë së Përgjithshme të Taksës së Pasurisë</w:t>
            </w:r>
            <w:r w:rsidRPr="00727111">
              <w:rPr>
                <w:rFonts w:ascii="Garamond" w:hAnsi="Garamond"/>
                <w:color w:val="000000"/>
                <w:sz w:val="12"/>
                <w:szCs w:val="12"/>
                <w:lang w:eastAsia="sq-AL"/>
              </w:rPr>
              <w:t>"</w:t>
            </w:r>
          </w:p>
        </w:tc>
        <w:tc>
          <w:tcPr>
            <w:tcW w:w="1701" w:type="dxa"/>
            <w:tcBorders>
              <w:top w:val="nil"/>
              <w:left w:val="nil"/>
              <w:bottom w:val="single" w:sz="4" w:space="0" w:color="auto"/>
              <w:right w:val="single" w:sz="4" w:space="0" w:color="auto"/>
            </w:tcBorders>
            <w:shd w:val="clear" w:color="auto" w:fill="auto"/>
            <w:vAlign w:val="center"/>
            <w:hideMark/>
          </w:tcPr>
          <w:p w14:paraId="4454C8D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03A9F63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Financave</w:t>
            </w:r>
          </w:p>
        </w:tc>
        <w:tc>
          <w:tcPr>
            <w:tcW w:w="1134" w:type="dxa"/>
            <w:tcBorders>
              <w:top w:val="nil"/>
              <w:left w:val="nil"/>
              <w:bottom w:val="single" w:sz="4" w:space="0" w:color="auto"/>
              <w:right w:val="single" w:sz="4" w:space="0" w:color="auto"/>
            </w:tcBorders>
            <w:shd w:val="clear" w:color="000000" w:fill="FFFFFF"/>
            <w:vAlign w:val="center"/>
            <w:hideMark/>
          </w:tcPr>
          <w:p w14:paraId="2A56629C"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59" w:type="dxa"/>
            <w:tcBorders>
              <w:top w:val="nil"/>
              <w:left w:val="nil"/>
              <w:bottom w:val="single" w:sz="4" w:space="0" w:color="auto"/>
              <w:right w:val="single" w:sz="4" w:space="0" w:color="auto"/>
            </w:tcBorders>
            <w:shd w:val="clear" w:color="auto" w:fill="auto"/>
            <w:vAlign w:val="center"/>
            <w:hideMark/>
          </w:tcPr>
          <w:p w14:paraId="4F11C5F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Përmirësimi i VKM Nr. 171, datë 28.3.2018, me qëllim saktësimin dhe qartësimin e rolit dhe përgjegjësive të Drejtorisë së Përgjithshme të Taksës së Pasurisë, në funksion të ofrimit të mbështetjes për bashkitë për miradministrimin e taksës mbi ndërtesën</w:t>
            </w:r>
          </w:p>
        </w:tc>
        <w:tc>
          <w:tcPr>
            <w:tcW w:w="1357" w:type="dxa"/>
            <w:tcBorders>
              <w:top w:val="nil"/>
              <w:left w:val="nil"/>
              <w:bottom w:val="single" w:sz="4" w:space="0" w:color="auto"/>
              <w:right w:val="single" w:sz="4" w:space="0" w:color="auto"/>
            </w:tcBorders>
            <w:shd w:val="clear" w:color="auto" w:fill="auto"/>
            <w:vAlign w:val="center"/>
            <w:hideMark/>
          </w:tcPr>
          <w:p w14:paraId="77E4D059"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Përmirësimi i VKM Nr. 171, datë 28.3.2018, me qëllim saktësimin dhe qartësimin e rolit dhe përgjegjësive të Drejtorisë së Përgjithshme të Taksës së Pasurisë, në funksion të ofrimit të mbështetjes për bashkitë për miradministrimin e taksës mbi ndërtesën</w:t>
            </w:r>
          </w:p>
        </w:tc>
        <w:tc>
          <w:tcPr>
            <w:tcW w:w="1329" w:type="dxa"/>
            <w:tcBorders>
              <w:top w:val="nil"/>
              <w:left w:val="nil"/>
              <w:bottom w:val="single" w:sz="4" w:space="0" w:color="auto"/>
              <w:right w:val="single" w:sz="4" w:space="0" w:color="auto"/>
            </w:tcBorders>
            <w:shd w:val="clear" w:color="000000" w:fill="FFFFFF"/>
            <w:vAlign w:val="center"/>
            <w:hideMark/>
          </w:tcPr>
          <w:p w14:paraId="2019DFF1"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1BB0F2E6"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95" w:type="dxa"/>
            <w:tcBorders>
              <w:top w:val="nil"/>
              <w:left w:val="nil"/>
              <w:bottom w:val="single" w:sz="4" w:space="0" w:color="auto"/>
              <w:right w:val="single" w:sz="4" w:space="0" w:color="auto"/>
            </w:tcBorders>
            <w:shd w:val="clear" w:color="000000" w:fill="FFFFFF"/>
            <w:vAlign w:val="center"/>
            <w:hideMark/>
          </w:tcPr>
          <w:p w14:paraId="6E632CEE"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144" w:type="dxa"/>
            <w:tcBorders>
              <w:top w:val="nil"/>
              <w:left w:val="nil"/>
              <w:bottom w:val="single" w:sz="4" w:space="0" w:color="auto"/>
              <w:right w:val="single" w:sz="4" w:space="0" w:color="auto"/>
            </w:tcBorders>
            <w:shd w:val="clear" w:color="000000" w:fill="FFFFFF"/>
            <w:vAlign w:val="center"/>
            <w:hideMark/>
          </w:tcPr>
          <w:p w14:paraId="6DBF9C52" w14:textId="77777777" w:rsidR="008E0890" w:rsidRPr="00727111" w:rsidRDefault="008E0890" w:rsidP="008E089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bl>
    <w:p w14:paraId="7AC700E2" w14:textId="4F71461A" w:rsidR="008E0890" w:rsidRPr="00727111" w:rsidRDefault="008E0890" w:rsidP="00593BF4">
      <w:pPr>
        <w:ind w:firstLine="284"/>
        <w:jc w:val="both"/>
        <w:rPr>
          <w:rFonts w:ascii="Garamond" w:hAnsi="Garamond"/>
          <w:b/>
          <w:sz w:val="24"/>
        </w:rPr>
      </w:pPr>
    </w:p>
    <w:p w14:paraId="479B3B98" w14:textId="294A227E" w:rsidR="00456A99" w:rsidRPr="00727111" w:rsidRDefault="00456A99" w:rsidP="00593BF4">
      <w:pPr>
        <w:ind w:firstLine="284"/>
        <w:jc w:val="both"/>
        <w:rPr>
          <w:rFonts w:ascii="Garamond" w:hAnsi="Garamond"/>
          <w:b/>
          <w:sz w:val="24"/>
        </w:rPr>
      </w:pPr>
    </w:p>
    <w:p w14:paraId="1C1A014F" w14:textId="2CB0FCC1" w:rsidR="00456A99" w:rsidRPr="00727111" w:rsidRDefault="00456A99" w:rsidP="00593BF4">
      <w:pPr>
        <w:ind w:firstLine="284"/>
        <w:jc w:val="both"/>
        <w:rPr>
          <w:rFonts w:ascii="Garamond" w:hAnsi="Garamond"/>
          <w:b/>
          <w:sz w:val="24"/>
        </w:rPr>
      </w:pPr>
    </w:p>
    <w:tbl>
      <w:tblPr>
        <w:tblW w:w="5258" w:type="pct"/>
        <w:jc w:val="center"/>
        <w:tblLook w:val="04A0" w:firstRow="1" w:lastRow="0" w:firstColumn="1" w:lastColumn="0" w:noHBand="0" w:noVBand="1"/>
      </w:tblPr>
      <w:tblGrid>
        <w:gridCol w:w="393"/>
        <w:gridCol w:w="1536"/>
        <w:gridCol w:w="912"/>
        <w:gridCol w:w="1137"/>
        <w:gridCol w:w="879"/>
        <w:gridCol w:w="2759"/>
        <w:gridCol w:w="1988"/>
        <w:gridCol w:w="1310"/>
        <w:gridCol w:w="1337"/>
        <w:gridCol w:w="1220"/>
        <w:gridCol w:w="1181"/>
        <w:gridCol w:w="6"/>
      </w:tblGrid>
      <w:tr w:rsidR="00456A99" w:rsidRPr="00727111" w14:paraId="22645E3D" w14:textId="77777777" w:rsidTr="00456A99">
        <w:trPr>
          <w:trHeight w:val="180"/>
          <w:jc w:val="center"/>
        </w:trPr>
        <w:tc>
          <w:tcPr>
            <w:tcW w:w="5000" w:type="pct"/>
            <w:gridSpan w:val="12"/>
            <w:tcBorders>
              <w:top w:val="single" w:sz="8" w:space="0" w:color="auto"/>
              <w:left w:val="single" w:sz="8" w:space="0" w:color="auto"/>
              <w:bottom w:val="single" w:sz="4" w:space="0" w:color="auto"/>
              <w:right w:val="single" w:sz="8" w:space="0" w:color="000000"/>
            </w:tcBorders>
            <w:shd w:val="clear" w:color="000000" w:fill="F2F2F2"/>
            <w:vAlign w:val="center"/>
            <w:hideMark/>
          </w:tcPr>
          <w:p w14:paraId="1BD70194" w14:textId="77777777" w:rsidR="00456A99" w:rsidRPr="00727111" w:rsidRDefault="00456A99" w:rsidP="00456A99">
            <w:pPr>
              <w:jc w:val="center"/>
              <w:rPr>
                <w:rFonts w:ascii="Garamond" w:hAnsi="Garamond"/>
                <w:b/>
                <w:bCs/>
                <w:color w:val="000000"/>
                <w:sz w:val="12"/>
                <w:szCs w:val="12"/>
                <w:lang w:eastAsia="sq-AL"/>
              </w:rPr>
            </w:pPr>
            <w:bookmarkStart w:id="12" w:name="RANGE!A1:K40"/>
            <w:r w:rsidRPr="00727111">
              <w:rPr>
                <w:rFonts w:ascii="Garamond" w:hAnsi="Garamond"/>
                <w:b/>
                <w:bCs/>
                <w:color w:val="000000"/>
                <w:sz w:val="12"/>
                <w:szCs w:val="12"/>
                <w:lang w:eastAsia="sq-AL"/>
              </w:rPr>
              <w:t>Programi i Përgjithshëm Analitik i Projektakteve për vitin 2025</w:t>
            </w:r>
            <w:bookmarkEnd w:id="12"/>
          </w:p>
        </w:tc>
      </w:tr>
      <w:tr w:rsidR="00456A99" w:rsidRPr="00727111" w14:paraId="6E31D0DD" w14:textId="77777777" w:rsidTr="00456A99">
        <w:trPr>
          <w:trHeight w:val="180"/>
          <w:jc w:val="center"/>
        </w:trPr>
        <w:tc>
          <w:tcPr>
            <w:tcW w:w="5000" w:type="pct"/>
            <w:gridSpan w:val="12"/>
            <w:tcBorders>
              <w:top w:val="single" w:sz="4" w:space="0" w:color="auto"/>
              <w:left w:val="single" w:sz="8" w:space="0" w:color="auto"/>
              <w:bottom w:val="single" w:sz="4" w:space="0" w:color="000000"/>
              <w:right w:val="single" w:sz="8" w:space="0" w:color="000000"/>
            </w:tcBorders>
            <w:shd w:val="clear" w:color="000000" w:fill="F2F2F2"/>
            <w:vAlign w:val="center"/>
            <w:hideMark/>
          </w:tcPr>
          <w:p w14:paraId="7F800AF8" w14:textId="77777777" w:rsidR="00456A99" w:rsidRPr="00727111" w:rsidRDefault="00456A99" w:rsidP="00456A99">
            <w:pPr>
              <w:jc w:val="center"/>
              <w:rPr>
                <w:rFonts w:ascii="Garamond" w:hAnsi="Garamond"/>
                <w:b/>
                <w:bCs/>
                <w:color w:val="000000"/>
                <w:sz w:val="12"/>
                <w:szCs w:val="12"/>
                <w:lang w:eastAsia="sq-AL"/>
              </w:rPr>
            </w:pPr>
            <w:r w:rsidRPr="00727111">
              <w:rPr>
                <w:rFonts w:ascii="Garamond" w:hAnsi="Garamond"/>
                <w:b/>
                <w:bCs/>
                <w:color w:val="000000"/>
                <w:sz w:val="12"/>
                <w:szCs w:val="12"/>
                <w:lang w:eastAsia="sq-AL"/>
              </w:rPr>
              <w:t>Ministria e Infrastrukturës dhe Energjisë</w:t>
            </w:r>
          </w:p>
        </w:tc>
      </w:tr>
      <w:tr w:rsidR="00456A99" w:rsidRPr="00727111" w14:paraId="4BA1F096" w14:textId="77777777" w:rsidTr="00456A99">
        <w:trPr>
          <w:gridAfter w:val="1"/>
          <w:wAfter w:w="3" w:type="pct"/>
          <w:trHeight w:val="180"/>
          <w:jc w:val="center"/>
        </w:trPr>
        <w:tc>
          <w:tcPr>
            <w:tcW w:w="134" w:type="pct"/>
            <w:tcBorders>
              <w:top w:val="single" w:sz="8" w:space="0" w:color="auto"/>
              <w:left w:val="single" w:sz="8" w:space="0" w:color="auto"/>
              <w:bottom w:val="nil"/>
              <w:right w:val="single" w:sz="4" w:space="0" w:color="auto"/>
            </w:tcBorders>
            <w:shd w:val="clear" w:color="000000" w:fill="C00000"/>
            <w:vAlign w:val="center"/>
            <w:hideMark/>
          </w:tcPr>
          <w:p w14:paraId="0826A965"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Nr.</w:t>
            </w:r>
          </w:p>
        </w:tc>
        <w:tc>
          <w:tcPr>
            <w:tcW w:w="524" w:type="pct"/>
            <w:tcBorders>
              <w:top w:val="single" w:sz="8" w:space="0" w:color="auto"/>
              <w:left w:val="nil"/>
              <w:bottom w:val="nil"/>
              <w:right w:val="single" w:sz="4" w:space="0" w:color="auto"/>
            </w:tcBorders>
            <w:shd w:val="clear" w:color="000000" w:fill="C00000"/>
            <w:vAlign w:val="center"/>
            <w:hideMark/>
          </w:tcPr>
          <w:p w14:paraId="4E3D4BF3"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Titulli i projektaktit</w:t>
            </w:r>
          </w:p>
        </w:tc>
        <w:tc>
          <w:tcPr>
            <w:tcW w:w="311" w:type="pct"/>
            <w:tcBorders>
              <w:top w:val="single" w:sz="8" w:space="0" w:color="auto"/>
              <w:left w:val="nil"/>
              <w:bottom w:val="nil"/>
              <w:right w:val="single" w:sz="4" w:space="0" w:color="auto"/>
            </w:tcBorders>
            <w:shd w:val="clear" w:color="000000" w:fill="C00000"/>
            <w:vAlign w:val="center"/>
            <w:hideMark/>
          </w:tcPr>
          <w:p w14:paraId="20979554"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Lloji i projektaktit</w:t>
            </w:r>
          </w:p>
        </w:tc>
        <w:tc>
          <w:tcPr>
            <w:tcW w:w="388" w:type="pct"/>
            <w:tcBorders>
              <w:top w:val="single" w:sz="8" w:space="0" w:color="auto"/>
              <w:left w:val="nil"/>
              <w:bottom w:val="nil"/>
              <w:right w:val="single" w:sz="4" w:space="0" w:color="auto"/>
            </w:tcBorders>
            <w:shd w:val="clear" w:color="000000" w:fill="C00000"/>
            <w:vAlign w:val="center"/>
            <w:hideMark/>
          </w:tcPr>
          <w:p w14:paraId="72486824"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Ministri propozues</w:t>
            </w:r>
          </w:p>
        </w:tc>
        <w:tc>
          <w:tcPr>
            <w:tcW w:w="300" w:type="pct"/>
            <w:tcBorders>
              <w:top w:val="single" w:sz="8" w:space="0" w:color="auto"/>
              <w:left w:val="nil"/>
              <w:bottom w:val="nil"/>
              <w:right w:val="single" w:sz="4" w:space="0" w:color="auto"/>
            </w:tcBorders>
            <w:shd w:val="clear" w:color="000000" w:fill="C00000"/>
            <w:vAlign w:val="center"/>
            <w:hideMark/>
          </w:tcPr>
          <w:p w14:paraId="5ED028DC"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Katër mujori</w:t>
            </w:r>
          </w:p>
        </w:tc>
        <w:tc>
          <w:tcPr>
            <w:tcW w:w="941" w:type="pct"/>
            <w:tcBorders>
              <w:top w:val="single" w:sz="8" w:space="0" w:color="auto"/>
              <w:left w:val="nil"/>
              <w:bottom w:val="nil"/>
              <w:right w:val="single" w:sz="4" w:space="0" w:color="auto"/>
            </w:tcBorders>
            <w:shd w:val="clear" w:color="000000" w:fill="C00000"/>
            <w:vAlign w:val="center"/>
            <w:hideMark/>
          </w:tcPr>
          <w:p w14:paraId="72BC5C75"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Arsyet kryesore për propozimin e projektaktit</w:t>
            </w:r>
          </w:p>
        </w:tc>
        <w:tc>
          <w:tcPr>
            <w:tcW w:w="678" w:type="pct"/>
            <w:tcBorders>
              <w:top w:val="single" w:sz="8" w:space="0" w:color="auto"/>
              <w:left w:val="nil"/>
              <w:bottom w:val="nil"/>
              <w:right w:val="single" w:sz="4" w:space="0" w:color="auto"/>
            </w:tcBorders>
            <w:shd w:val="clear" w:color="000000" w:fill="C00000"/>
            <w:vAlign w:val="center"/>
            <w:hideMark/>
          </w:tcPr>
          <w:p w14:paraId="3F33DADB"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 xml:space="preserve">Çështjet kryesore që parashikon të rregullojë projektakti </w:t>
            </w:r>
          </w:p>
        </w:tc>
        <w:tc>
          <w:tcPr>
            <w:tcW w:w="447" w:type="pct"/>
            <w:tcBorders>
              <w:top w:val="single" w:sz="8" w:space="0" w:color="auto"/>
              <w:left w:val="nil"/>
              <w:bottom w:val="nil"/>
              <w:right w:val="single" w:sz="4" w:space="0" w:color="auto"/>
            </w:tcBorders>
            <w:shd w:val="clear" w:color="000000" w:fill="C00000"/>
            <w:vAlign w:val="center"/>
            <w:hideMark/>
          </w:tcPr>
          <w:p w14:paraId="435FE231"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 është parashikuar projektakti në PKIE?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po, të specifikohet kapitulli përkatës</w:t>
            </w:r>
          </w:p>
        </w:tc>
        <w:tc>
          <w:tcPr>
            <w:tcW w:w="456" w:type="pct"/>
            <w:tcBorders>
              <w:top w:val="single" w:sz="8" w:space="0" w:color="auto"/>
              <w:left w:val="nil"/>
              <w:bottom w:val="nil"/>
              <w:right w:val="single" w:sz="4" w:space="0" w:color="auto"/>
            </w:tcBorders>
            <w:shd w:val="clear" w:color="000000" w:fill="C00000"/>
            <w:vAlign w:val="center"/>
            <w:hideMark/>
          </w:tcPr>
          <w:p w14:paraId="50755B73"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Përputhshmëria e projektaktit me programin politik qeverisës 2021-2025</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përputhet, të jepet  referenca e saktë në progam</w:t>
            </w:r>
          </w:p>
        </w:tc>
        <w:tc>
          <w:tcPr>
            <w:tcW w:w="416" w:type="pct"/>
            <w:tcBorders>
              <w:top w:val="single" w:sz="8" w:space="0" w:color="auto"/>
              <w:left w:val="nil"/>
              <w:bottom w:val="nil"/>
              <w:right w:val="single" w:sz="8" w:space="0" w:color="auto"/>
            </w:tcBorders>
            <w:shd w:val="clear" w:color="000000" w:fill="C00000"/>
            <w:vAlign w:val="center"/>
            <w:hideMark/>
          </w:tcPr>
          <w:p w14:paraId="414228F6"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Lidhja e projektaktit me strategjitë kombëtare dhe sektoriale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lidhet, të specifikohen strategjitë</w:t>
            </w:r>
          </w:p>
        </w:tc>
        <w:tc>
          <w:tcPr>
            <w:tcW w:w="403" w:type="pct"/>
            <w:tcBorders>
              <w:top w:val="nil"/>
              <w:left w:val="nil"/>
              <w:bottom w:val="nil"/>
              <w:right w:val="single" w:sz="8" w:space="0" w:color="auto"/>
            </w:tcBorders>
            <w:shd w:val="clear" w:color="000000" w:fill="C00000"/>
            <w:vAlign w:val="center"/>
            <w:hideMark/>
          </w:tcPr>
          <w:p w14:paraId="222A4B92" w14:textId="77777777" w:rsidR="00456A99" w:rsidRPr="00727111" w:rsidRDefault="00456A99" w:rsidP="00456A9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Ndikimet e mundshme ekonomike, financiare, sociale dhe mjedisore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 xml:space="preserve">Përgjigjuni me Po/Jo për ndikimet përkatëse </w:t>
            </w:r>
          </w:p>
        </w:tc>
      </w:tr>
      <w:tr w:rsidR="00456A99" w:rsidRPr="00727111" w14:paraId="686C683F" w14:textId="77777777" w:rsidTr="00456A99">
        <w:trPr>
          <w:gridAfter w:val="1"/>
          <w:wAfter w:w="3" w:type="pct"/>
          <w:trHeight w:val="180"/>
          <w:jc w:val="center"/>
        </w:trPr>
        <w:tc>
          <w:tcPr>
            <w:tcW w:w="1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978E7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37409118" w14:textId="77777777" w:rsidR="00456A99" w:rsidRPr="00727111" w:rsidRDefault="00456A99" w:rsidP="00456A99">
            <w:pPr>
              <w:jc w:val="center"/>
              <w:rPr>
                <w:rFonts w:ascii="Garamond" w:hAnsi="Garamond"/>
                <w:sz w:val="12"/>
                <w:szCs w:val="12"/>
                <w:lang w:eastAsia="sq-AL"/>
              </w:rPr>
            </w:pPr>
            <w:r w:rsidRPr="00727111">
              <w:rPr>
                <w:rFonts w:ascii="Garamond" w:hAnsi="Garamond"/>
                <w:sz w:val="12"/>
                <w:szCs w:val="12"/>
                <w:lang w:eastAsia="sq-AL"/>
              </w:rPr>
              <w:t>"Për aderimin në Konventën e ECO (Zyra Evropiane e Komunikimeve)"</w:t>
            </w:r>
          </w:p>
        </w:tc>
        <w:tc>
          <w:tcPr>
            <w:tcW w:w="311" w:type="pct"/>
            <w:tcBorders>
              <w:top w:val="single" w:sz="4" w:space="0" w:color="auto"/>
              <w:left w:val="nil"/>
              <w:bottom w:val="single" w:sz="4" w:space="0" w:color="auto"/>
              <w:right w:val="single" w:sz="4" w:space="0" w:color="auto"/>
            </w:tcBorders>
            <w:shd w:val="clear" w:color="auto" w:fill="auto"/>
            <w:noWrap/>
            <w:vAlign w:val="center"/>
            <w:hideMark/>
          </w:tcPr>
          <w:p w14:paraId="430B0BD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88" w:type="pct"/>
            <w:tcBorders>
              <w:top w:val="single" w:sz="4" w:space="0" w:color="auto"/>
              <w:left w:val="nil"/>
              <w:bottom w:val="single" w:sz="4" w:space="0" w:color="auto"/>
              <w:right w:val="single" w:sz="4" w:space="0" w:color="auto"/>
            </w:tcBorders>
            <w:shd w:val="clear" w:color="auto" w:fill="auto"/>
            <w:vAlign w:val="center"/>
            <w:hideMark/>
          </w:tcPr>
          <w:p w14:paraId="19D284A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3C371DE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941" w:type="pct"/>
            <w:tcBorders>
              <w:top w:val="single" w:sz="4" w:space="0" w:color="auto"/>
              <w:left w:val="nil"/>
              <w:bottom w:val="single" w:sz="4" w:space="0" w:color="auto"/>
              <w:right w:val="single" w:sz="4" w:space="0" w:color="auto"/>
            </w:tcBorders>
            <w:shd w:val="clear" w:color="auto" w:fill="auto"/>
            <w:vAlign w:val="center"/>
            <w:hideMark/>
          </w:tcPr>
          <w:p w14:paraId="29832C1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Përmbushja e detyrimeve dhe angazhimeve ndërkombëtare në fushën e komunikimeve/telekomunikacionit. </w:t>
            </w:r>
          </w:p>
        </w:tc>
        <w:tc>
          <w:tcPr>
            <w:tcW w:w="678" w:type="pct"/>
            <w:tcBorders>
              <w:top w:val="single" w:sz="4" w:space="0" w:color="auto"/>
              <w:left w:val="nil"/>
              <w:bottom w:val="single" w:sz="4" w:space="0" w:color="auto"/>
              <w:right w:val="single" w:sz="4" w:space="0" w:color="auto"/>
            </w:tcBorders>
            <w:shd w:val="clear" w:color="auto" w:fill="auto"/>
            <w:vAlign w:val="center"/>
            <w:hideMark/>
          </w:tcPr>
          <w:p w14:paraId="283E596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Aderimi i Shqipërisë në Konventë, një komponent thelbësor i Konferencës Evropiane të Administratave Postare dhe Telekomunikacionit (CEPT).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7AF873F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2886E49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59FC3E8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per komunikimet elektronike;</w:t>
            </w:r>
          </w:p>
        </w:tc>
        <w:tc>
          <w:tcPr>
            <w:tcW w:w="403" w:type="pct"/>
            <w:tcBorders>
              <w:top w:val="single" w:sz="4" w:space="0" w:color="auto"/>
              <w:left w:val="nil"/>
              <w:bottom w:val="single" w:sz="4" w:space="0" w:color="auto"/>
              <w:right w:val="single" w:sz="4" w:space="0" w:color="auto"/>
            </w:tcBorders>
            <w:shd w:val="clear" w:color="auto" w:fill="auto"/>
            <w:vAlign w:val="center"/>
            <w:hideMark/>
          </w:tcPr>
          <w:p w14:paraId="3CF6F04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701592E1"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21E8294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w:t>
            </w:r>
          </w:p>
        </w:tc>
        <w:tc>
          <w:tcPr>
            <w:tcW w:w="524" w:type="pct"/>
            <w:tcBorders>
              <w:top w:val="nil"/>
              <w:left w:val="nil"/>
              <w:bottom w:val="single" w:sz="4" w:space="0" w:color="auto"/>
              <w:right w:val="single" w:sz="4" w:space="0" w:color="auto"/>
            </w:tcBorders>
            <w:shd w:val="clear" w:color="auto" w:fill="auto"/>
            <w:vAlign w:val="center"/>
            <w:hideMark/>
          </w:tcPr>
          <w:p w14:paraId="6284745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prodhimin, transportin dhe tregtimin e biokarburanteve </w:t>
            </w:r>
            <w:r w:rsidRPr="00727111">
              <w:rPr>
                <w:rFonts w:ascii="Garamond" w:hAnsi="Garamond"/>
                <w:color w:val="000000"/>
                <w:sz w:val="12"/>
                <w:szCs w:val="12"/>
                <w:lang w:eastAsia="sq-AL"/>
              </w:rPr>
              <w:br/>
              <w:t>dhe lëndëve djegëse të tjera të rinovueshme, për transport”</w:t>
            </w:r>
          </w:p>
        </w:tc>
        <w:tc>
          <w:tcPr>
            <w:tcW w:w="311" w:type="pct"/>
            <w:tcBorders>
              <w:top w:val="nil"/>
              <w:left w:val="nil"/>
              <w:bottom w:val="single" w:sz="4" w:space="0" w:color="auto"/>
              <w:right w:val="single" w:sz="4" w:space="0" w:color="auto"/>
            </w:tcBorders>
            <w:shd w:val="clear" w:color="auto" w:fill="auto"/>
            <w:noWrap/>
            <w:vAlign w:val="center"/>
            <w:hideMark/>
          </w:tcPr>
          <w:p w14:paraId="0E6F140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88" w:type="pct"/>
            <w:tcBorders>
              <w:top w:val="nil"/>
              <w:left w:val="nil"/>
              <w:bottom w:val="single" w:sz="4" w:space="0" w:color="auto"/>
              <w:right w:val="single" w:sz="4" w:space="0" w:color="auto"/>
            </w:tcBorders>
            <w:shd w:val="clear" w:color="auto" w:fill="auto"/>
            <w:vAlign w:val="center"/>
            <w:hideMark/>
          </w:tcPr>
          <w:p w14:paraId="565F364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1DB1A89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941" w:type="pct"/>
            <w:tcBorders>
              <w:top w:val="nil"/>
              <w:left w:val="nil"/>
              <w:bottom w:val="single" w:sz="4" w:space="0" w:color="auto"/>
              <w:right w:val="single" w:sz="4" w:space="0" w:color="auto"/>
            </w:tcBorders>
            <w:shd w:val="clear" w:color="auto" w:fill="auto"/>
            <w:vAlign w:val="center"/>
            <w:hideMark/>
          </w:tcPr>
          <w:p w14:paraId="439E8E0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Per te perafruar Direktiven (BE) 2018/2001 e Parlamentit Evropian dhe e Këshillit e datës 11 dhjetor 2018 për promovimin e përdorimit të energjisë nga burimet e rinovueshme (VETËM SEKSIONETqe kane te bejne me fushën e biokarburanteve  për sektorin e transportit)                                    </w:t>
            </w:r>
          </w:p>
        </w:tc>
        <w:tc>
          <w:tcPr>
            <w:tcW w:w="678" w:type="pct"/>
            <w:tcBorders>
              <w:top w:val="nil"/>
              <w:left w:val="nil"/>
              <w:bottom w:val="single" w:sz="4" w:space="0" w:color="auto"/>
              <w:right w:val="single" w:sz="4" w:space="0" w:color="auto"/>
            </w:tcBorders>
            <w:shd w:val="clear" w:color="auto" w:fill="auto"/>
            <w:vAlign w:val="center"/>
            <w:hideMark/>
          </w:tcPr>
          <w:p w14:paraId="34BBEAE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Projektligji për Biokarburantet i vitit 2016, i cili synonte shfuqizimin e ligjit nr. 9876 dhe transpozimin e dispozitave të Direktivës 2009/28/EC të shfuqizuar në lidhje me biokarburantet dhe lëndët djegëse të tjera të rinovueshme për transport. Ky version u anulua për rishikimin e tij në përputhje me Direktivën (BE) 2018/2001.MIE ka hartuar Projektligjin e ri për Biokarburantet duke reflektuar elementet e reja të Direktivës (BE) 2018/2001 si dhe duke marrë parasysh sugjerimet e bëra nga palët e interesuara në komisionet parlamentare. Për përgatitjen e këtij Projektligji, MIE ka bashkëpunuar me ekspertë të Sekretariatit të Komunitetit të Energjisë.</w:t>
            </w:r>
          </w:p>
        </w:tc>
        <w:tc>
          <w:tcPr>
            <w:tcW w:w="447" w:type="pct"/>
            <w:tcBorders>
              <w:top w:val="nil"/>
              <w:left w:val="nil"/>
              <w:bottom w:val="single" w:sz="4" w:space="0" w:color="auto"/>
              <w:right w:val="single" w:sz="4" w:space="0" w:color="auto"/>
            </w:tcBorders>
            <w:shd w:val="clear" w:color="auto" w:fill="auto"/>
            <w:vAlign w:val="center"/>
            <w:hideMark/>
          </w:tcPr>
          <w:p w14:paraId="282F6E8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15 "Energjia"</w:t>
            </w:r>
          </w:p>
        </w:tc>
        <w:tc>
          <w:tcPr>
            <w:tcW w:w="456" w:type="pct"/>
            <w:tcBorders>
              <w:top w:val="nil"/>
              <w:left w:val="nil"/>
              <w:bottom w:val="single" w:sz="4" w:space="0" w:color="auto"/>
              <w:right w:val="single" w:sz="4" w:space="0" w:color="auto"/>
            </w:tcBorders>
            <w:shd w:val="clear" w:color="auto" w:fill="auto"/>
            <w:vAlign w:val="center"/>
            <w:hideMark/>
          </w:tcPr>
          <w:p w14:paraId="3EAFAC8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Pjesë e politikave për zhvilimin e sektorit energjetik duke promovuar perdorimin e energjive te rinovueshme</w:t>
            </w:r>
          </w:p>
        </w:tc>
        <w:tc>
          <w:tcPr>
            <w:tcW w:w="416" w:type="pct"/>
            <w:tcBorders>
              <w:top w:val="nil"/>
              <w:left w:val="nil"/>
              <w:bottom w:val="single" w:sz="4" w:space="0" w:color="auto"/>
              <w:right w:val="single" w:sz="4" w:space="0" w:color="auto"/>
            </w:tcBorders>
            <w:shd w:val="clear" w:color="auto" w:fill="auto"/>
            <w:vAlign w:val="center"/>
            <w:hideMark/>
          </w:tcPr>
          <w:p w14:paraId="747B549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Vendim nr. 480, datë 31.7.2018 “Për miratimin e strategjisë kombëtare të energjisë për periudhën 2018–2030”</w:t>
            </w:r>
          </w:p>
        </w:tc>
        <w:tc>
          <w:tcPr>
            <w:tcW w:w="403" w:type="pct"/>
            <w:tcBorders>
              <w:top w:val="nil"/>
              <w:left w:val="nil"/>
              <w:bottom w:val="single" w:sz="4" w:space="0" w:color="auto"/>
              <w:right w:val="single" w:sz="4" w:space="0" w:color="auto"/>
            </w:tcBorders>
            <w:shd w:val="clear" w:color="auto" w:fill="auto"/>
            <w:noWrap/>
            <w:vAlign w:val="center"/>
            <w:hideMark/>
          </w:tcPr>
          <w:p w14:paraId="3A692DF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19437BC4"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06B0B16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3</w:t>
            </w:r>
          </w:p>
        </w:tc>
        <w:tc>
          <w:tcPr>
            <w:tcW w:w="524" w:type="pct"/>
            <w:tcBorders>
              <w:top w:val="nil"/>
              <w:left w:val="nil"/>
              <w:bottom w:val="single" w:sz="4" w:space="0" w:color="auto"/>
              <w:right w:val="single" w:sz="4" w:space="0" w:color="auto"/>
            </w:tcBorders>
            <w:shd w:val="clear" w:color="auto" w:fill="auto"/>
            <w:vAlign w:val="center"/>
            <w:hideMark/>
          </w:tcPr>
          <w:p w14:paraId="4391C8F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krijimin, mbajtjen dhe menaxhimin e rezervave minimale të sigurisë të naftës bruto dhe nënprodukteve të saj"</w:t>
            </w:r>
          </w:p>
        </w:tc>
        <w:tc>
          <w:tcPr>
            <w:tcW w:w="311" w:type="pct"/>
            <w:tcBorders>
              <w:top w:val="nil"/>
              <w:left w:val="nil"/>
              <w:bottom w:val="single" w:sz="4" w:space="0" w:color="auto"/>
              <w:right w:val="single" w:sz="4" w:space="0" w:color="auto"/>
            </w:tcBorders>
            <w:shd w:val="clear" w:color="auto" w:fill="auto"/>
            <w:noWrap/>
            <w:vAlign w:val="center"/>
            <w:hideMark/>
          </w:tcPr>
          <w:p w14:paraId="4AD7160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88" w:type="pct"/>
            <w:tcBorders>
              <w:top w:val="nil"/>
              <w:left w:val="nil"/>
              <w:bottom w:val="single" w:sz="4" w:space="0" w:color="auto"/>
              <w:right w:val="single" w:sz="4" w:space="0" w:color="auto"/>
            </w:tcBorders>
            <w:shd w:val="clear" w:color="auto" w:fill="auto"/>
            <w:vAlign w:val="center"/>
            <w:hideMark/>
          </w:tcPr>
          <w:p w14:paraId="3873E44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51094F4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941" w:type="pct"/>
            <w:tcBorders>
              <w:top w:val="nil"/>
              <w:left w:val="nil"/>
              <w:bottom w:val="single" w:sz="4" w:space="0" w:color="auto"/>
              <w:right w:val="single" w:sz="4" w:space="0" w:color="auto"/>
            </w:tcBorders>
            <w:shd w:val="clear" w:color="auto" w:fill="auto"/>
            <w:vAlign w:val="center"/>
            <w:hideMark/>
          </w:tcPr>
          <w:p w14:paraId="6D34698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Përafrimi me direktivën 2009/119/KE të Parlamentit Europian dhe të Këshillit, datë 14 shtator 2009, ”Mbi vendosjen e detyrimit tek Vendet Anetare për mbajtjen e rezerves minimale të sigurise për naftën dhe/ose nënproduktet e saj”, </w:t>
            </w:r>
          </w:p>
        </w:tc>
        <w:tc>
          <w:tcPr>
            <w:tcW w:w="678" w:type="pct"/>
            <w:tcBorders>
              <w:top w:val="nil"/>
              <w:left w:val="nil"/>
              <w:bottom w:val="single" w:sz="4" w:space="0" w:color="auto"/>
              <w:right w:val="single" w:sz="4" w:space="0" w:color="auto"/>
            </w:tcBorders>
            <w:shd w:val="clear" w:color="auto" w:fill="auto"/>
            <w:vAlign w:val="center"/>
            <w:hideMark/>
          </w:tcPr>
          <w:p w14:paraId="0EC16C7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Ky ligj siguron bazën për krijimin, mbajtjen dhe menaxhimin e rezervave të sigurisë së naftës dhe nënprodukteve te saj.  Ai  rregullon procedurat e nevojshme për përdorimin e rezervave të sigurisë në rast të reduktimit te papritur deri ne mungese te furnizimit të tregut me nënprodukte të naftës bruto.                                                             Shuma e përgjithshme e rezervave të sigurisë në Republikën e Shqipërisë duhet të jetë të paktën 90 ditë e sasive te importeve mesatare ditore neto ose të paktën 61 ditë të mesatares ditore të sasisë te konsumit të brendshëm, cilado nga dy sasitë është më e madhe. Rezervat e sigurisë krijohen gradualisht dhe në mënyrë proporcionale në baze të Planit të Veprimit</w:t>
            </w:r>
          </w:p>
        </w:tc>
        <w:tc>
          <w:tcPr>
            <w:tcW w:w="447" w:type="pct"/>
            <w:tcBorders>
              <w:top w:val="nil"/>
              <w:left w:val="nil"/>
              <w:bottom w:val="single" w:sz="4" w:space="0" w:color="auto"/>
              <w:right w:val="single" w:sz="4" w:space="0" w:color="auto"/>
            </w:tcBorders>
            <w:shd w:val="clear" w:color="auto" w:fill="auto"/>
            <w:vAlign w:val="center"/>
            <w:hideMark/>
          </w:tcPr>
          <w:p w14:paraId="2D6AADA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15 "Energjia"</w:t>
            </w:r>
          </w:p>
        </w:tc>
        <w:tc>
          <w:tcPr>
            <w:tcW w:w="456" w:type="pct"/>
            <w:tcBorders>
              <w:top w:val="nil"/>
              <w:left w:val="nil"/>
              <w:bottom w:val="single" w:sz="4" w:space="0" w:color="auto"/>
              <w:right w:val="single" w:sz="4" w:space="0" w:color="auto"/>
            </w:tcBorders>
            <w:shd w:val="clear" w:color="auto" w:fill="auto"/>
            <w:noWrap/>
            <w:vAlign w:val="center"/>
            <w:hideMark/>
          </w:tcPr>
          <w:p w14:paraId="7093CD4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vAlign w:val="center"/>
            <w:hideMark/>
          </w:tcPr>
          <w:p w14:paraId="713639A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Vendim nr. 480, datë 31.7.2018 “Për miratimin e strategjisë kombëtare të energjisë për periudhën 2018–2030”</w:t>
            </w:r>
          </w:p>
        </w:tc>
        <w:tc>
          <w:tcPr>
            <w:tcW w:w="403" w:type="pct"/>
            <w:tcBorders>
              <w:top w:val="nil"/>
              <w:left w:val="nil"/>
              <w:bottom w:val="single" w:sz="4" w:space="0" w:color="auto"/>
              <w:right w:val="single" w:sz="4" w:space="0" w:color="auto"/>
            </w:tcBorders>
            <w:shd w:val="clear" w:color="auto" w:fill="auto"/>
            <w:noWrap/>
            <w:vAlign w:val="center"/>
            <w:hideMark/>
          </w:tcPr>
          <w:p w14:paraId="484EFCC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67942B87"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4CEFC72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4</w:t>
            </w:r>
          </w:p>
        </w:tc>
        <w:tc>
          <w:tcPr>
            <w:tcW w:w="524" w:type="pct"/>
            <w:tcBorders>
              <w:top w:val="nil"/>
              <w:left w:val="nil"/>
              <w:bottom w:val="single" w:sz="4" w:space="0" w:color="auto"/>
              <w:right w:val="single" w:sz="4" w:space="0" w:color="auto"/>
            </w:tcBorders>
            <w:shd w:val="clear" w:color="auto" w:fill="auto"/>
            <w:vAlign w:val="center"/>
            <w:hideMark/>
          </w:tcPr>
          <w:p w14:paraId="25B7D87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rregullave për qëllime të sigurisë, qëndrueshmërisë dhe saktësisë në regjistrimin e të dhënave për “domain-namet”. </w:t>
            </w:r>
          </w:p>
        </w:tc>
        <w:tc>
          <w:tcPr>
            <w:tcW w:w="311" w:type="pct"/>
            <w:tcBorders>
              <w:top w:val="nil"/>
              <w:left w:val="nil"/>
              <w:bottom w:val="single" w:sz="4" w:space="0" w:color="auto"/>
              <w:right w:val="single" w:sz="4" w:space="0" w:color="auto"/>
            </w:tcBorders>
            <w:shd w:val="clear" w:color="auto" w:fill="auto"/>
            <w:noWrap/>
            <w:vAlign w:val="center"/>
            <w:hideMark/>
          </w:tcPr>
          <w:p w14:paraId="18F7468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6158D2C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279BD9B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941" w:type="pct"/>
            <w:tcBorders>
              <w:top w:val="nil"/>
              <w:left w:val="nil"/>
              <w:bottom w:val="single" w:sz="4" w:space="0" w:color="auto"/>
              <w:right w:val="single" w:sz="4" w:space="0" w:color="auto"/>
            </w:tcBorders>
            <w:shd w:val="clear" w:color="auto" w:fill="auto"/>
            <w:vAlign w:val="center"/>
            <w:hideMark/>
          </w:tcPr>
          <w:p w14:paraId="20FB1F4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"Për komunikimet elektronike në RSH", Pika 3, neni 133</w:t>
            </w:r>
          </w:p>
        </w:tc>
        <w:tc>
          <w:tcPr>
            <w:tcW w:w="678" w:type="pct"/>
            <w:tcBorders>
              <w:top w:val="nil"/>
              <w:left w:val="nil"/>
              <w:bottom w:val="single" w:sz="4" w:space="0" w:color="auto"/>
              <w:right w:val="single" w:sz="4" w:space="0" w:color="auto"/>
            </w:tcBorders>
            <w:shd w:val="clear" w:color="auto" w:fill="auto"/>
            <w:vAlign w:val="center"/>
            <w:hideMark/>
          </w:tcPr>
          <w:p w14:paraId="5CEB1D8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rregullave për sigurine në përdorimin e domain-eve</w:t>
            </w:r>
          </w:p>
        </w:tc>
        <w:tc>
          <w:tcPr>
            <w:tcW w:w="447" w:type="pct"/>
            <w:tcBorders>
              <w:top w:val="nil"/>
              <w:left w:val="nil"/>
              <w:bottom w:val="single" w:sz="4" w:space="0" w:color="auto"/>
              <w:right w:val="single" w:sz="4" w:space="0" w:color="auto"/>
            </w:tcBorders>
            <w:shd w:val="clear" w:color="auto" w:fill="auto"/>
            <w:vAlign w:val="center"/>
            <w:hideMark/>
          </w:tcPr>
          <w:p w14:paraId="42D8121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Po </w:t>
            </w:r>
            <w:r w:rsidRPr="00727111">
              <w:rPr>
                <w:rFonts w:ascii="Garamond" w:hAnsi="Garamond"/>
                <w:color w:val="000000"/>
                <w:sz w:val="12"/>
                <w:szCs w:val="12"/>
                <w:lang w:eastAsia="sq-AL"/>
              </w:rPr>
              <w:br/>
              <w:t xml:space="preserve">  Kapitulli 10 "Shoqëria e informacionit dhe media"</w:t>
            </w:r>
          </w:p>
        </w:tc>
        <w:tc>
          <w:tcPr>
            <w:tcW w:w="456" w:type="pct"/>
            <w:tcBorders>
              <w:top w:val="nil"/>
              <w:left w:val="nil"/>
              <w:bottom w:val="single" w:sz="4" w:space="0" w:color="auto"/>
              <w:right w:val="single" w:sz="4" w:space="0" w:color="auto"/>
            </w:tcBorders>
            <w:shd w:val="clear" w:color="auto" w:fill="auto"/>
            <w:vAlign w:val="center"/>
            <w:hideMark/>
          </w:tcPr>
          <w:p w14:paraId="7639EA1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26D6855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1.SKZHI 2.Agjenda Digjitale    3.Plani Kombëtar Broadband 2021-2025 </w:t>
            </w:r>
          </w:p>
        </w:tc>
        <w:tc>
          <w:tcPr>
            <w:tcW w:w="403" w:type="pct"/>
            <w:tcBorders>
              <w:top w:val="nil"/>
              <w:left w:val="nil"/>
              <w:bottom w:val="single" w:sz="4" w:space="0" w:color="auto"/>
              <w:right w:val="single" w:sz="4" w:space="0" w:color="auto"/>
            </w:tcBorders>
            <w:shd w:val="clear" w:color="auto" w:fill="auto"/>
            <w:vAlign w:val="center"/>
            <w:hideMark/>
          </w:tcPr>
          <w:p w14:paraId="0EC646B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71BA6549"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3A56D1B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5</w:t>
            </w:r>
          </w:p>
        </w:tc>
        <w:tc>
          <w:tcPr>
            <w:tcW w:w="524" w:type="pct"/>
            <w:tcBorders>
              <w:top w:val="nil"/>
              <w:left w:val="nil"/>
              <w:bottom w:val="single" w:sz="4" w:space="0" w:color="auto"/>
              <w:right w:val="single" w:sz="4" w:space="0" w:color="auto"/>
            </w:tcBorders>
            <w:shd w:val="clear" w:color="auto" w:fill="auto"/>
            <w:vAlign w:val="center"/>
            <w:hideMark/>
          </w:tcPr>
          <w:p w14:paraId="2FB7C34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rregullave për sigurimin e ndërveprueshmërisë të pajisjeve radio të automjeteve dhe marrësve digjitalë të konsumatorit"</w:t>
            </w:r>
          </w:p>
        </w:tc>
        <w:tc>
          <w:tcPr>
            <w:tcW w:w="311" w:type="pct"/>
            <w:tcBorders>
              <w:top w:val="nil"/>
              <w:left w:val="nil"/>
              <w:bottom w:val="single" w:sz="4" w:space="0" w:color="auto"/>
              <w:right w:val="single" w:sz="4" w:space="0" w:color="auto"/>
            </w:tcBorders>
            <w:shd w:val="clear" w:color="auto" w:fill="auto"/>
            <w:noWrap/>
            <w:vAlign w:val="center"/>
            <w:hideMark/>
          </w:tcPr>
          <w:p w14:paraId="37CC43C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3251FFB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0ECBED1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941" w:type="pct"/>
            <w:tcBorders>
              <w:top w:val="nil"/>
              <w:left w:val="nil"/>
              <w:bottom w:val="single" w:sz="4" w:space="0" w:color="auto"/>
              <w:right w:val="single" w:sz="4" w:space="0" w:color="auto"/>
            </w:tcBorders>
            <w:shd w:val="clear" w:color="auto" w:fill="auto"/>
            <w:vAlign w:val="center"/>
            <w:hideMark/>
          </w:tcPr>
          <w:p w14:paraId="405279F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"Për komunikimet elektronike në RSH", Pika 2, neni 153</w:t>
            </w:r>
          </w:p>
        </w:tc>
        <w:tc>
          <w:tcPr>
            <w:tcW w:w="678" w:type="pct"/>
            <w:tcBorders>
              <w:top w:val="nil"/>
              <w:left w:val="nil"/>
              <w:bottom w:val="single" w:sz="4" w:space="0" w:color="auto"/>
              <w:right w:val="single" w:sz="4" w:space="0" w:color="auto"/>
            </w:tcBorders>
            <w:shd w:val="clear" w:color="auto" w:fill="auto"/>
            <w:vAlign w:val="center"/>
            <w:hideMark/>
          </w:tcPr>
          <w:p w14:paraId="371EF6C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rregullave për pajisjet radio digjitale dhe ato të konsumatorit me qëllim marrjen e shërbimeve me teknologjitë e reja</w:t>
            </w:r>
          </w:p>
        </w:tc>
        <w:tc>
          <w:tcPr>
            <w:tcW w:w="447" w:type="pct"/>
            <w:tcBorders>
              <w:top w:val="nil"/>
              <w:left w:val="nil"/>
              <w:bottom w:val="single" w:sz="4" w:space="0" w:color="auto"/>
              <w:right w:val="single" w:sz="4" w:space="0" w:color="auto"/>
            </w:tcBorders>
            <w:shd w:val="clear" w:color="auto" w:fill="auto"/>
            <w:vAlign w:val="center"/>
            <w:hideMark/>
          </w:tcPr>
          <w:p w14:paraId="39EE845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Po </w:t>
            </w:r>
            <w:r w:rsidRPr="00727111">
              <w:rPr>
                <w:rFonts w:ascii="Garamond" w:hAnsi="Garamond"/>
                <w:color w:val="000000"/>
                <w:sz w:val="12"/>
                <w:szCs w:val="12"/>
                <w:lang w:eastAsia="sq-AL"/>
              </w:rPr>
              <w:br/>
              <w:t xml:space="preserve">  Kapitulli 10 "Shoqëria e informacionit dhe media"</w:t>
            </w:r>
          </w:p>
        </w:tc>
        <w:tc>
          <w:tcPr>
            <w:tcW w:w="456" w:type="pct"/>
            <w:tcBorders>
              <w:top w:val="nil"/>
              <w:left w:val="nil"/>
              <w:bottom w:val="single" w:sz="4" w:space="0" w:color="auto"/>
              <w:right w:val="single" w:sz="4" w:space="0" w:color="auto"/>
            </w:tcBorders>
            <w:shd w:val="clear" w:color="auto" w:fill="auto"/>
            <w:vAlign w:val="center"/>
            <w:hideMark/>
          </w:tcPr>
          <w:p w14:paraId="0E57D91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5B303F3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1.SKZHI 2.Agjenda Digjitale    3.Plani Kombëtar Broadband 2021-2026</w:t>
            </w:r>
          </w:p>
        </w:tc>
        <w:tc>
          <w:tcPr>
            <w:tcW w:w="403" w:type="pct"/>
            <w:tcBorders>
              <w:top w:val="nil"/>
              <w:left w:val="nil"/>
              <w:bottom w:val="single" w:sz="4" w:space="0" w:color="auto"/>
              <w:right w:val="single" w:sz="4" w:space="0" w:color="auto"/>
            </w:tcBorders>
            <w:shd w:val="clear" w:color="auto" w:fill="auto"/>
            <w:vAlign w:val="center"/>
            <w:hideMark/>
          </w:tcPr>
          <w:p w14:paraId="64F6F8F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2393D296"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16CC92E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6</w:t>
            </w:r>
          </w:p>
        </w:tc>
        <w:tc>
          <w:tcPr>
            <w:tcW w:w="524" w:type="pct"/>
            <w:tcBorders>
              <w:top w:val="nil"/>
              <w:left w:val="nil"/>
              <w:bottom w:val="single" w:sz="4" w:space="0" w:color="auto"/>
              <w:right w:val="single" w:sz="4" w:space="0" w:color="auto"/>
            </w:tcBorders>
            <w:shd w:val="clear" w:color="auto" w:fill="auto"/>
            <w:vAlign w:val="center"/>
            <w:hideMark/>
          </w:tcPr>
          <w:p w14:paraId="412BE19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Per disa shtesa dhe ndryshime në vendimin nr. 712, datë 12.10.2016, të këshillit të ministrave “Për miratimin e rregullores për kriteret dhe procedurat e licencimit të subjekteve për ushtrimin e aktivitetit në fushën e vlerësimit të pasurive të paluajtshme”</w:t>
            </w:r>
          </w:p>
        </w:tc>
        <w:tc>
          <w:tcPr>
            <w:tcW w:w="311" w:type="pct"/>
            <w:tcBorders>
              <w:top w:val="nil"/>
              <w:left w:val="nil"/>
              <w:bottom w:val="single" w:sz="4" w:space="0" w:color="auto"/>
              <w:right w:val="single" w:sz="4" w:space="0" w:color="auto"/>
            </w:tcBorders>
            <w:shd w:val="clear" w:color="auto" w:fill="auto"/>
            <w:noWrap/>
            <w:vAlign w:val="center"/>
            <w:hideMark/>
          </w:tcPr>
          <w:p w14:paraId="4B7915A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F404DF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60FB82D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941" w:type="pct"/>
            <w:tcBorders>
              <w:top w:val="nil"/>
              <w:left w:val="nil"/>
              <w:bottom w:val="single" w:sz="4" w:space="0" w:color="auto"/>
              <w:right w:val="single" w:sz="4" w:space="0" w:color="auto"/>
            </w:tcBorders>
            <w:shd w:val="clear" w:color="auto" w:fill="auto"/>
            <w:vAlign w:val="center"/>
            <w:hideMark/>
          </w:tcPr>
          <w:p w14:paraId="2BD8A15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Per te reflektuar menyren e aplikimit nepermjet sistemit elektronik te licencave ne rregullore e kritereve dhe procedurave te liçencimit te subjekteve per ushtrimin e aktiviteteit ne fushen e vleresimit te pasurive te paluajteshme</w:t>
            </w:r>
          </w:p>
        </w:tc>
        <w:tc>
          <w:tcPr>
            <w:tcW w:w="678" w:type="pct"/>
            <w:tcBorders>
              <w:top w:val="nil"/>
              <w:left w:val="nil"/>
              <w:bottom w:val="single" w:sz="4" w:space="0" w:color="auto"/>
              <w:right w:val="single" w:sz="4" w:space="0" w:color="auto"/>
            </w:tcBorders>
            <w:shd w:val="clear" w:color="auto" w:fill="auto"/>
            <w:vAlign w:val="center"/>
            <w:hideMark/>
          </w:tcPr>
          <w:p w14:paraId="30B1876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Ndryshimi I menyres se aplikimit dhe rishikimi I afateve dhe procedurave ne perputhje me sistemin elektronik te liçencave</w:t>
            </w:r>
          </w:p>
        </w:tc>
        <w:tc>
          <w:tcPr>
            <w:tcW w:w="447" w:type="pct"/>
            <w:tcBorders>
              <w:top w:val="nil"/>
              <w:left w:val="nil"/>
              <w:bottom w:val="single" w:sz="4" w:space="0" w:color="auto"/>
              <w:right w:val="single" w:sz="4" w:space="0" w:color="auto"/>
            </w:tcBorders>
            <w:shd w:val="clear" w:color="auto" w:fill="auto"/>
            <w:noWrap/>
            <w:vAlign w:val="center"/>
            <w:hideMark/>
          </w:tcPr>
          <w:p w14:paraId="25A35DB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noWrap/>
            <w:vAlign w:val="center"/>
            <w:hideMark/>
          </w:tcPr>
          <w:p w14:paraId="0750232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noWrap/>
            <w:vAlign w:val="center"/>
            <w:hideMark/>
          </w:tcPr>
          <w:p w14:paraId="2860926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noWrap/>
            <w:vAlign w:val="center"/>
            <w:hideMark/>
          </w:tcPr>
          <w:p w14:paraId="1BDDB5C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3FE5001E"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790293E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7</w:t>
            </w:r>
          </w:p>
        </w:tc>
        <w:tc>
          <w:tcPr>
            <w:tcW w:w="524" w:type="pct"/>
            <w:tcBorders>
              <w:top w:val="nil"/>
              <w:left w:val="nil"/>
              <w:bottom w:val="single" w:sz="4" w:space="0" w:color="auto"/>
              <w:right w:val="single" w:sz="4" w:space="0" w:color="auto"/>
            </w:tcBorders>
            <w:shd w:val="clear" w:color="auto" w:fill="auto"/>
            <w:vAlign w:val="center"/>
            <w:hideMark/>
          </w:tcPr>
          <w:p w14:paraId="72F1668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vendimin nr. 42, datë 16.1.2008, të këshillit të ministrave, “Për miratimin e rregullores për kriteret dhe procedurat e dhënies së licencave profesionale të zbatimit, klasifikimit dhe disiplinimit të subjekteve juridike, që ushtrojnë veprimtari ndërtimi”, të ndryshuar</w:t>
            </w:r>
          </w:p>
        </w:tc>
        <w:tc>
          <w:tcPr>
            <w:tcW w:w="311" w:type="pct"/>
            <w:tcBorders>
              <w:top w:val="nil"/>
              <w:left w:val="nil"/>
              <w:bottom w:val="single" w:sz="4" w:space="0" w:color="auto"/>
              <w:right w:val="single" w:sz="4" w:space="0" w:color="auto"/>
            </w:tcBorders>
            <w:shd w:val="clear" w:color="auto" w:fill="auto"/>
            <w:noWrap/>
            <w:vAlign w:val="center"/>
            <w:hideMark/>
          </w:tcPr>
          <w:p w14:paraId="31F71FE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08F0F0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3B401E9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941" w:type="pct"/>
            <w:tcBorders>
              <w:top w:val="nil"/>
              <w:left w:val="nil"/>
              <w:bottom w:val="single" w:sz="4" w:space="0" w:color="auto"/>
              <w:right w:val="single" w:sz="4" w:space="0" w:color="auto"/>
            </w:tcBorders>
            <w:shd w:val="clear" w:color="auto" w:fill="auto"/>
            <w:vAlign w:val="center"/>
            <w:hideMark/>
          </w:tcPr>
          <w:p w14:paraId="25E15BF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Per te reflektuar menyren e aplikimit nepermjet sistemit elektronik te licencave ne rregullore e kritereve dhe procedurave te dhenies se liçencave profesionale te zbatimit, klasifikimit dhe disiplinimit te subjekteve juridike, qe ushtrojne veprimtari ndertimi</w:t>
            </w:r>
          </w:p>
        </w:tc>
        <w:tc>
          <w:tcPr>
            <w:tcW w:w="678" w:type="pct"/>
            <w:tcBorders>
              <w:top w:val="nil"/>
              <w:left w:val="nil"/>
              <w:bottom w:val="single" w:sz="4" w:space="0" w:color="auto"/>
              <w:right w:val="single" w:sz="4" w:space="0" w:color="auto"/>
            </w:tcBorders>
            <w:shd w:val="clear" w:color="auto" w:fill="auto"/>
            <w:vAlign w:val="center"/>
            <w:hideMark/>
          </w:tcPr>
          <w:p w14:paraId="5191206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Ndryshimi I menyres se aplikimit dhe rishikimi I afateve dhe procedurave ne perputhje me sistemin elektronik te liçencave</w:t>
            </w:r>
          </w:p>
        </w:tc>
        <w:tc>
          <w:tcPr>
            <w:tcW w:w="447" w:type="pct"/>
            <w:tcBorders>
              <w:top w:val="nil"/>
              <w:left w:val="nil"/>
              <w:bottom w:val="single" w:sz="4" w:space="0" w:color="auto"/>
              <w:right w:val="single" w:sz="4" w:space="0" w:color="auto"/>
            </w:tcBorders>
            <w:shd w:val="clear" w:color="auto" w:fill="auto"/>
            <w:noWrap/>
            <w:vAlign w:val="center"/>
            <w:hideMark/>
          </w:tcPr>
          <w:p w14:paraId="47946F2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noWrap/>
            <w:vAlign w:val="center"/>
            <w:hideMark/>
          </w:tcPr>
          <w:p w14:paraId="2477ED7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noWrap/>
            <w:vAlign w:val="center"/>
            <w:hideMark/>
          </w:tcPr>
          <w:p w14:paraId="27DD31E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noWrap/>
            <w:vAlign w:val="center"/>
            <w:hideMark/>
          </w:tcPr>
          <w:p w14:paraId="6BD0AF6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34462BFA"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4F425DA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8</w:t>
            </w:r>
          </w:p>
        </w:tc>
        <w:tc>
          <w:tcPr>
            <w:tcW w:w="524" w:type="pct"/>
            <w:tcBorders>
              <w:top w:val="nil"/>
              <w:left w:val="nil"/>
              <w:bottom w:val="single" w:sz="4" w:space="0" w:color="auto"/>
              <w:right w:val="single" w:sz="4" w:space="0" w:color="auto"/>
            </w:tcBorders>
            <w:shd w:val="clear" w:color="FFFFFF" w:fill="FFFFFF"/>
            <w:vAlign w:val="center"/>
            <w:hideMark/>
          </w:tcPr>
          <w:p w14:paraId="4010D3C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përbërjes dhe funksionimit të komitetit kombëtar të sigurisë së aviacionit civil”,</w:t>
            </w:r>
          </w:p>
        </w:tc>
        <w:tc>
          <w:tcPr>
            <w:tcW w:w="311" w:type="pct"/>
            <w:tcBorders>
              <w:top w:val="nil"/>
              <w:left w:val="nil"/>
              <w:bottom w:val="single" w:sz="4" w:space="0" w:color="auto"/>
              <w:right w:val="single" w:sz="4" w:space="0" w:color="auto"/>
            </w:tcBorders>
            <w:shd w:val="clear" w:color="auto" w:fill="auto"/>
            <w:noWrap/>
            <w:vAlign w:val="center"/>
            <w:hideMark/>
          </w:tcPr>
          <w:p w14:paraId="609A0F0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11404CA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6ACA525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941" w:type="pct"/>
            <w:tcBorders>
              <w:top w:val="nil"/>
              <w:left w:val="nil"/>
              <w:bottom w:val="single" w:sz="4" w:space="0" w:color="auto"/>
              <w:right w:val="single" w:sz="4" w:space="0" w:color="auto"/>
            </w:tcBorders>
            <w:shd w:val="clear" w:color="auto" w:fill="auto"/>
            <w:vAlign w:val="center"/>
            <w:hideMark/>
          </w:tcPr>
          <w:p w14:paraId="6EC627C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Miratimi i përbërjes dhe funksionimit të Komitetit Kombëtar të Sigurisë së Aviacionit Civil, ne zbatim te Kodit Ajror</w:t>
            </w:r>
          </w:p>
        </w:tc>
        <w:tc>
          <w:tcPr>
            <w:tcW w:w="678" w:type="pct"/>
            <w:tcBorders>
              <w:top w:val="nil"/>
              <w:left w:val="nil"/>
              <w:bottom w:val="single" w:sz="4" w:space="0" w:color="auto"/>
              <w:right w:val="single" w:sz="4" w:space="0" w:color="auto"/>
            </w:tcBorders>
            <w:shd w:val="clear" w:color="auto" w:fill="auto"/>
            <w:vAlign w:val="center"/>
            <w:hideMark/>
          </w:tcPr>
          <w:p w14:paraId="42F1CCE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Riformatimi i përbërjes, përgjegjësive dhe i fushës së veprimtarisë së Komitetit Kombëtar të Sigurisë së Aviacionit Civil (akti aktual VKM nr.74, datë 2.2.2011), e cila do sjellë rritjen e nivelit të çështjeve që do të trajtohen dhe do të forcojë vendimmarrjen për zbatimin e kërkesave kombëtare të sigurisë së aviacionit civil në kuadër të detyrimeve ndërkombëtare.</w:t>
            </w:r>
          </w:p>
        </w:tc>
        <w:tc>
          <w:tcPr>
            <w:tcW w:w="447" w:type="pct"/>
            <w:tcBorders>
              <w:top w:val="nil"/>
              <w:left w:val="nil"/>
              <w:bottom w:val="single" w:sz="4" w:space="0" w:color="auto"/>
              <w:right w:val="single" w:sz="4" w:space="0" w:color="auto"/>
            </w:tcBorders>
            <w:shd w:val="clear" w:color="auto" w:fill="auto"/>
            <w:noWrap/>
            <w:vAlign w:val="center"/>
            <w:hideMark/>
          </w:tcPr>
          <w:p w14:paraId="514E5CE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464F29D1" w14:textId="77777777" w:rsidR="00456A99" w:rsidRPr="00727111" w:rsidRDefault="00456A99" w:rsidP="00456A99">
            <w:pPr>
              <w:jc w:val="center"/>
              <w:rPr>
                <w:rFonts w:ascii="Garamond" w:hAnsi="Garamond"/>
                <w:sz w:val="12"/>
                <w:szCs w:val="12"/>
                <w:lang w:eastAsia="sq-AL"/>
              </w:rPr>
            </w:pPr>
            <w:r w:rsidRPr="00727111">
              <w:rPr>
                <w:rFonts w:ascii="Garamond" w:hAnsi="Garamond"/>
                <w:sz w:val="12"/>
                <w:szCs w:val="12"/>
                <w:lang w:eastAsia="sq-AL"/>
              </w:rPr>
              <w:t>Jo</w:t>
            </w:r>
          </w:p>
        </w:tc>
        <w:tc>
          <w:tcPr>
            <w:tcW w:w="416" w:type="pct"/>
            <w:tcBorders>
              <w:top w:val="nil"/>
              <w:left w:val="nil"/>
              <w:bottom w:val="single" w:sz="4" w:space="0" w:color="auto"/>
              <w:right w:val="single" w:sz="4" w:space="0" w:color="auto"/>
            </w:tcBorders>
            <w:shd w:val="clear" w:color="auto" w:fill="auto"/>
            <w:noWrap/>
            <w:vAlign w:val="center"/>
            <w:hideMark/>
          </w:tcPr>
          <w:p w14:paraId="6604023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noWrap/>
            <w:vAlign w:val="center"/>
            <w:hideMark/>
          </w:tcPr>
          <w:p w14:paraId="42D659F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3460B0BE"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0311E81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9</w:t>
            </w:r>
          </w:p>
        </w:tc>
        <w:tc>
          <w:tcPr>
            <w:tcW w:w="524" w:type="pct"/>
            <w:tcBorders>
              <w:top w:val="nil"/>
              <w:left w:val="nil"/>
              <w:bottom w:val="single" w:sz="4" w:space="0" w:color="auto"/>
              <w:right w:val="single" w:sz="4" w:space="0" w:color="auto"/>
            </w:tcBorders>
            <w:shd w:val="clear" w:color="auto" w:fill="auto"/>
            <w:vAlign w:val="center"/>
            <w:hideMark/>
          </w:tcPr>
          <w:p w14:paraId="6101A52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projektimin struktural dhe gjeoteknik të ndërtesave dhe veprave inxhinierike, në përputhje me standardet e harmonizuara shqiptare (EUROKODET)”</w:t>
            </w:r>
          </w:p>
        </w:tc>
        <w:tc>
          <w:tcPr>
            <w:tcW w:w="311" w:type="pct"/>
            <w:tcBorders>
              <w:top w:val="nil"/>
              <w:left w:val="nil"/>
              <w:bottom w:val="single" w:sz="4" w:space="0" w:color="auto"/>
              <w:right w:val="single" w:sz="4" w:space="0" w:color="auto"/>
            </w:tcBorders>
            <w:shd w:val="clear" w:color="auto" w:fill="auto"/>
            <w:noWrap/>
            <w:vAlign w:val="center"/>
            <w:hideMark/>
          </w:tcPr>
          <w:p w14:paraId="1728B69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0FF2646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610376B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941" w:type="pct"/>
            <w:tcBorders>
              <w:top w:val="nil"/>
              <w:left w:val="nil"/>
              <w:bottom w:val="single" w:sz="4" w:space="0" w:color="auto"/>
              <w:right w:val="nil"/>
            </w:tcBorders>
            <w:shd w:val="clear" w:color="auto" w:fill="auto"/>
            <w:vAlign w:val="center"/>
            <w:hideMark/>
          </w:tcPr>
          <w:p w14:paraId="5CED875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Objektivat që kërkohen të arrihen nëpërmjet këtij akti janë rritja e sigurisë së ndërtimeve, cilësisë së projektimit dhe ndërtimit/(zbatimit) të veprave të ndërtimit, rritja e eficencës dhe jetëgjatësisë së veprave ndërtimore, si dhe ulja e shpenzimeve të mirëmbajtjes dhe shërbimit, krijimi i koncepteve të reja nga gjithë projektuesit, por edhe më gjerë që do t’i shërbejë dhe lëvizjes së lirë.</w:t>
            </w:r>
          </w:p>
        </w:tc>
        <w:tc>
          <w:tcPr>
            <w:tcW w:w="678" w:type="pct"/>
            <w:tcBorders>
              <w:top w:val="nil"/>
              <w:left w:val="single" w:sz="4" w:space="0" w:color="auto"/>
              <w:bottom w:val="single" w:sz="4" w:space="0" w:color="auto"/>
              <w:right w:val="single" w:sz="4" w:space="0" w:color="auto"/>
            </w:tcBorders>
            <w:shd w:val="clear" w:color="auto" w:fill="auto"/>
            <w:vAlign w:val="center"/>
            <w:hideMark/>
          </w:tcPr>
          <w:p w14:paraId="1F6E1E6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Futja në zbatim e projektimit struktural dhe gjeoteknik të ndërtesave dhe veprave të inxhinierisë civile, në përputhje me rregullat e dhëna në standarded teknike evropiane (Eurokodet), të harmonizuara si standarde shqiptare (SSH EN) dhe ankeseve kombëtare, do të lejojë futjen në zbatim të standardeve europiane të adoptuara në standarde shqiptare, duke  sjellë një ndryshim mjaft cilësor për përmirësimin e metodave të projektimit dhe zbatimit në këtë sektor.   </w:t>
            </w:r>
          </w:p>
        </w:tc>
        <w:tc>
          <w:tcPr>
            <w:tcW w:w="447" w:type="pct"/>
            <w:tcBorders>
              <w:top w:val="nil"/>
              <w:left w:val="nil"/>
              <w:bottom w:val="single" w:sz="4" w:space="0" w:color="auto"/>
              <w:right w:val="single" w:sz="4" w:space="0" w:color="auto"/>
            </w:tcBorders>
            <w:shd w:val="clear" w:color="auto" w:fill="auto"/>
            <w:vAlign w:val="center"/>
            <w:hideMark/>
          </w:tcPr>
          <w:p w14:paraId="5E910A5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7D45A86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vAlign w:val="center"/>
            <w:hideMark/>
          </w:tcPr>
          <w:p w14:paraId="745A759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vAlign w:val="center"/>
            <w:hideMark/>
          </w:tcPr>
          <w:p w14:paraId="4D5E43E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07DC0A12"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7C69341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10</w:t>
            </w:r>
          </w:p>
        </w:tc>
        <w:tc>
          <w:tcPr>
            <w:tcW w:w="524" w:type="pct"/>
            <w:tcBorders>
              <w:top w:val="nil"/>
              <w:left w:val="nil"/>
              <w:bottom w:val="single" w:sz="4" w:space="0" w:color="auto"/>
              <w:right w:val="single" w:sz="4" w:space="0" w:color="auto"/>
            </w:tcBorders>
            <w:shd w:val="clear" w:color="auto" w:fill="auto"/>
            <w:vAlign w:val="center"/>
            <w:hideMark/>
          </w:tcPr>
          <w:p w14:paraId="6B00A36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produktet e ndërtimit</w:t>
            </w:r>
          </w:p>
        </w:tc>
        <w:tc>
          <w:tcPr>
            <w:tcW w:w="311" w:type="pct"/>
            <w:tcBorders>
              <w:top w:val="nil"/>
              <w:left w:val="nil"/>
              <w:bottom w:val="single" w:sz="4" w:space="0" w:color="auto"/>
              <w:right w:val="single" w:sz="4" w:space="0" w:color="auto"/>
            </w:tcBorders>
            <w:shd w:val="clear" w:color="auto" w:fill="auto"/>
            <w:vAlign w:val="center"/>
            <w:hideMark/>
          </w:tcPr>
          <w:p w14:paraId="128AB90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88" w:type="pct"/>
            <w:tcBorders>
              <w:top w:val="nil"/>
              <w:left w:val="nil"/>
              <w:bottom w:val="single" w:sz="4" w:space="0" w:color="auto"/>
              <w:right w:val="single" w:sz="4" w:space="0" w:color="auto"/>
            </w:tcBorders>
            <w:shd w:val="clear" w:color="auto" w:fill="auto"/>
            <w:vAlign w:val="center"/>
            <w:hideMark/>
          </w:tcPr>
          <w:p w14:paraId="6EE859E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000000" w:fill="FFFFFF"/>
            <w:vAlign w:val="center"/>
            <w:hideMark/>
          </w:tcPr>
          <w:p w14:paraId="62CE5E3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941" w:type="pct"/>
            <w:tcBorders>
              <w:top w:val="nil"/>
              <w:left w:val="nil"/>
              <w:bottom w:val="single" w:sz="4" w:space="0" w:color="auto"/>
              <w:right w:val="single" w:sz="4" w:space="0" w:color="auto"/>
            </w:tcBorders>
            <w:shd w:val="clear" w:color="auto" w:fill="auto"/>
            <w:vAlign w:val="center"/>
            <w:hideMark/>
          </w:tcPr>
          <w:p w14:paraId="2200652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Përafrimi i Acquis i BE-së, Rregullorja Nr. 305/2011 e Parlamentit Evropian dhe e Këshillit të datës 9 mars 2011, që përcakton kushtet e harmonizuara për tregtimin e produkteve të ndërtimit", pjesë e Kapitullit 1 “Lëvizja e Lirë e Mallrave”, </w:t>
            </w:r>
          </w:p>
        </w:tc>
        <w:tc>
          <w:tcPr>
            <w:tcW w:w="678" w:type="pct"/>
            <w:tcBorders>
              <w:top w:val="nil"/>
              <w:left w:val="nil"/>
              <w:bottom w:val="single" w:sz="4" w:space="0" w:color="auto"/>
              <w:right w:val="single" w:sz="4" w:space="0" w:color="auto"/>
            </w:tcBorders>
            <w:shd w:val="clear" w:color="auto" w:fill="auto"/>
            <w:vAlign w:val="center"/>
            <w:hideMark/>
          </w:tcPr>
          <w:p w14:paraId="043468F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Të sigurojë një bazë rregullative dhe teknike në të cilën mund të vlerësohet performanca / përshtatshmërinë e produkteve të ndërtimit, duke i dhënë besim më të madh në shëndetin, sigurinë dhe performancën mjedisore të ndërtesave dhe punimeve të ndërtimit në Shqiperi,</w:t>
            </w:r>
          </w:p>
        </w:tc>
        <w:tc>
          <w:tcPr>
            <w:tcW w:w="447" w:type="pct"/>
            <w:tcBorders>
              <w:top w:val="nil"/>
              <w:left w:val="nil"/>
              <w:bottom w:val="single" w:sz="4" w:space="0" w:color="auto"/>
              <w:right w:val="single" w:sz="4" w:space="0" w:color="auto"/>
            </w:tcBorders>
            <w:shd w:val="clear" w:color="auto" w:fill="auto"/>
            <w:vAlign w:val="center"/>
            <w:hideMark/>
          </w:tcPr>
          <w:p w14:paraId="69ABE4F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 Kapitulli 1 "Levizja e lire e mallrave"  </w:t>
            </w:r>
          </w:p>
        </w:tc>
        <w:tc>
          <w:tcPr>
            <w:tcW w:w="456" w:type="pct"/>
            <w:tcBorders>
              <w:top w:val="nil"/>
              <w:left w:val="nil"/>
              <w:bottom w:val="single" w:sz="4" w:space="0" w:color="auto"/>
              <w:right w:val="single" w:sz="4" w:space="0" w:color="auto"/>
            </w:tcBorders>
            <w:shd w:val="clear" w:color="auto" w:fill="auto"/>
            <w:noWrap/>
            <w:vAlign w:val="center"/>
            <w:hideMark/>
          </w:tcPr>
          <w:p w14:paraId="027B764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noWrap/>
            <w:vAlign w:val="center"/>
            <w:hideMark/>
          </w:tcPr>
          <w:p w14:paraId="5576460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noWrap/>
            <w:vAlign w:val="center"/>
            <w:hideMark/>
          </w:tcPr>
          <w:p w14:paraId="356892F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258674C6"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1F7B085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11</w:t>
            </w:r>
          </w:p>
        </w:tc>
        <w:tc>
          <w:tcPr>
            <w:tcW w:w="524" w:type="pct"/>
            <w:tcBorders>
              <w:top w:val="nil"/>
              <w:left w:val="nil"/>
              <w:bottom w:val="single" w:sz="4" w:space="0" w:color="auto"/>
              <w:right w:val="single" w:sz="4" w:space="0" w:color="auto"/>
            </w:tcBorders>
            <w:shd w:val="clear" w:color="FFFFFF" w:fill="FFFFFF"/>
            <w:vAlign w:val="center"/>
            <w:hideMark/>
          </w:tcPr>
          <w:p w14:paraId="4DFAD29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disa ndryshime në ligjin për sektorin e energjisë elektrike Nr. 43/2015", i ndryshuar"</w:t>
            </w:r>
          </w:p>
        </w:tc>
        <w:tc>
          <w:tcPr>
            <w:tcW w:w="311" w:type="pct"/>
            <w:tcBorders>
              <w:top w:val="nil"/>
              <w:left w:val="nil"/>
              <w:bottom w:val="single" w:sz="4" w:space="0" w:color="auto"/>
              <w:right w:val="single" w:sz="4" w:space="0" w:color="auto"/>
            </w:tcBorders>
            <w:shd w:val="clear" w:color="auto" w:fill="auto"/>
            <w:noWrap/>
            <w:vAlign w:val="center"/>
            <w:hideMark/>
          </w:tcPr>
          <w:p w14:paraId="2A6E739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88" w:type="pct"/>
            <w:tcBorders>
              <w:top w:val="nil"/>
              <w:left w:val="nil"/>
              <w:bottom w:val="single" w:sz="4" w:space="0" w:color="auto"/>
              <w:right w:val="single" w:sz="4" w:space="0" w:color="auto"/>
            </w:tcBorders>
            <w:shd w:val="clear" w:color="auto" w:fill="auto"/>
            <w:vAlign w:val="center"/>
            <w:hideMark/>
          </w:tcPr>
          <w:p w14:paraId="6A54C47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000000" w:fill="FFFFFF"/>
            <w:vAlign w:val="center"/>
            <w:hideMark/>
          </w:tcPr>
          <w:p w14:paraId="5102D37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941" w:type="pct"/>
            <w:tcBorders>
              <w:top w:val="nil"/>
              <w:left w:val="nil"/>
              <w:bottom w:val="single" w:sz="4" w:space="0" w:color="auto"/>
              <w:right w:val="single" w:sz="4" w:space="0" w:color="auto"/>
            </w:tcBorders>
            <w:shd w:val="clear" w:color="auto" w:fill="auto"/>
            <w:vAlign w:val="center"/>
            <w:hideMark/>
          </w:tcPr>
          <w:p w14:paraId="74765C5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Transpozim i Direktives (BE) 2019/944 e Parlamentit Evropian dhe e Këshillit e datës 5 qershor 2019 mbi rregullat e përbashkëta për tregun e brendshëm të energjisë elektrike dhe ndryshimin e Direktivës 2012/27/BE dhe Rregullores (BE) 2019/943 e Parlamentit Evropian dhe e Këshillit e datës 5 qershor 2019 mbi tregun e brendshëm të energjisë elektrike</w:t>
            </w:r>
          </w:p>
        </w:tc>
        <w:tc>
          <w:tcPr>
            <w:tcW w:w="678" w:type="pct"/>
            <w:tcBorders>
              <w:top w:val="nil"/>
              <w:left w:val="nil"/>
              <w:bottom w:val="single" w:sz="4" w:space="0" w:color="auto"/>
              <w:right w:val="single" w:sz="4" w:space="0" w:color="auto"/>
            </w:tcBorders>
            <w:shd w:val="clear" w:color="auto" w:fill="auto"/>
            <w:vAlign w:val="center"/>
            <w:hideMark/>
          </w:tcPr>
          <w:p w14:paraId="7BC1114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Ky projektligj parashikon percaktimin e rregullave të përbashkëta për prodhimin, transmetimin, shpërndarjen dhe furnizimin me energji elektrike, së bashku me dispozitat për mbrojtjen e konsumatorit, me qellim krijimin e kushteve për një treg të integruar të energjisë elektrike në rajon si dhe përmirësimin e sigurisë së furnizimit dhe funksionimin e përgjithshëm të sistemit energjetik të Shqipërisë </w:t>
            </w:r>
          </w:p>
        </w:tc>
        <w:tc>
          <w:tcPr>
            <w:tcW w:w="447" w:type="pct"/>
            <w:tcBorders>
              <w:top w:val="nil"/>
              <w:left w:val="nil"/>
              <w:bottom w:val="single" w:sz="4" w:space="0" w:color="auto"/>
              <w:right w:val="single" w:sz="4" w:space="0" w:color="auto"/>
            </w:tcBorders>
            <w:shd w:val="clear" w:color="auto" w:fill="auto"/>
            <w:vAlign w:val="center"/>
            <w:hideMark/>
          </w:tcPr>
          <w:p w14:paraId="38BFC58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15 "Energjia"</w:t>
            </w:r>
          </w:p>
        </w:tc>
        <w:tc>
          <w:tcPr>
            <w:tcW w:w="456" w:type="pct"/>
            <w:tcBorders>
              <w:top w:val="nil"/>
              <w:left w:val="nil"/>
              <w:bottom w:val="single" w:sz="4" w:space="0" w:color="auto"/>
              <w:right w:val="single" w:sz="4" w:space="0" w:color="auto"/>
            </w:tcBorders>
            <w:shd w:val="clear" w:color="auto" w:fill="auto"/>
            <w:vAlign w:val="center"/>
            <w:hideMark/>
          </w:tcPr>
          <w:p w14:paraId="3008A61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 akti vjen ne perputhje me politikat e qeverise mbi sigurinë  e furnizimit me energji elektrike.</w:t>
            </w:r>
          </w:p>
        </w:tc>
        <w:tc>
          <w:tcPr>
            <w:tcW w:w="416" w:type="pct"/>
            <w:tcBorders>
              <w:top w:val="nil"/>
              <w:left w:val="nil"/>
              <w:bottom w:val="single" w:sz="4" w:space="0" w:color="auto"/>
              <w:right w:val="single" w:sz="4" w:space="0" w:color="auto"/>
            </w:tcBorders>
            <w:shd w:val="clear" w:color="auto" w:fill="auto"/>
            <w:vAlign w:val="center"/>
            <w:hideMark/>
          </w:tcPr>
          <w:p w14:paraId="56D81A4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e Energjisë 2018-2030, miratuar me Vendimin e Këshillit të Ministrave Nr. 480, datë 31.07.2018.                                                       Vendimit te Këshillit të Ministrave nr. 872 datë 29.12.2021 “Për miratimin e Planit Kombëtar i Energjisë dhe Klimës 2020-2030</w:t>
            </w:r>
          </w:p>
        </w:tc>
        <w:tc>
          <w:tcPr>
            <w:tcW w:w="403" w:type="pct"/>
            <w:tcBorders>
              <w:top w:val="nil"/>
              <w:left w:val="nil"/>
              <w:bottom w:val="single" w:sz="4" w:space="0" w:color="auto"/>
              <w:right w:val="single" w:sz="4" w:space="0" w:color="auto"/>
            </w:tcBorders>
            <w:shd w:val="clear" w:color="auto" w:fill="auto"/>
            <w:noWrap/>
            <w:vAlign w:val="center"/>
            <w:hideMark/>
          </w:tcPr>
          <w:p w14:paraId="3B757E9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48C9E5FE"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323A847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12</w:t>
            </w:r>
          </w:p>
        </w:tc>
        <w:tc>
          <w:tcPr>
            <w:tcW w:w="524" w:type="pct"/>
            <w:tcBorders>
              <w:top w:val="nil"/>
              <w:left w:val="nil"/>
              <w:bottom w:val="single" w:sz="4" w:space="0" w:color="auto"/>
              <w:right w:val="single" w:sz="4" w:space="0" w:color="auto"/>
            </w:tcBorders>
            <w:shd w:val="clear" w:color="auto" w:fill="auto"/>
            <w:vAlign w:val="center"/>
            <w:hideMark/>
          </w:tcPr>
          <w:p w14:paraId="09F83CA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vendimin nr. 943, datë 28.12.2016, "Për licencimin profesional të individëve dhe personave juridikë që do të ushtrojnë veprimtari në fushën e studimit e  të projektimit në ndërtim dhe mbikëqyrjes dhe kolaudimit të punimeve të zbatimit në ndërtim”</w:t>
            </w:r>
          </w:p>
        </w:tc>
        <w:tc>
          <w:tcPr>
            <w:tcW w:w="311" w:type="pct"/>
            <w:tcBorders>
              <w:top w:val="nil"/>
              <w:left w:val="nil"/>
              <w:bottom w:val="single" w:sz="4" w:space="0" w:color="auto"/>
              <w:right w:val="single" w:sz="4" w:space="0" w:color="auto"/>
            </w:tcBorders>
            <w:shd w:val="clear" w:color="auto" w:fill="auto"/>
            <w:noWrap/>
            <w:vAlign w:val="center"/>
            <w:hideMark/>
          </w:tcPr>
          <w:p w14:paraId="133B4C0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64DF6F7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000000" w:fill="FFFFFF"/>
            <w:vAlign w:val="center"/>
            <w:hideMark/>
          </w:tcPr>
          <w:p w14:paraId="6AC435C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941" w:type="pct"/>
            <w:tcBorders>
              <w:top w:val="nil"/>
              <w:left w:val="nil"/>
              <w:bottom w:val="single" w:sz="4" w:space="0" w:color="auto"/>
              <w:right w:val="single" w:sz="4" w:space="0" w:color="auto"/>
            </w:tcBorders>
            <w:shd w:val="clear" w:color="auto" w:fill="auto"/>
            <w:vAlign w:val="center"/>
            <w:hideMark/>
          </w:tcPr>
          <w:p w14:paraId="044FA4F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Per te reflektuar menyren e aplikimit nepermjet sistemit elektronik te licencave ne rregulloren e kritereve dhe procedurave te dhenies se liçencave profesionale ne fushen e studimit e te projektimit ne ndertim dhe mbikqyerjes e kolaudimit te punimeve te zbatimit ne ndertim.</w:t>
            </w:r>
          </w:p>
        </w:tc>
        <w:tc>
          <w:tcPr>
            <w:tcW w:w="678" w:type="pct"/>
            <w:tcBorders>
              <w:top w:val="nil"/>
              <w:left w:val="nil"/>
              <w:bottom w:val="single" w:sz="4" w:space="0" w:color="auto"/>
              <w:right w:val="single" w:sz="4" w:space="0" w:color="auto"/>
            </w:tcBorders>
            <w:shd w:val="clear" w:color="auto" w:fill="auto"/>
            <w:vAlign w:val="center"/>
            <w:hideMark/>
          </w:tcPr>
          <w:p w14:paraId="7E78DF9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Ndryshimi I menyres se aplikimit dhe rishikimi I afateve dhe procedurave ne perputhje me sistemin elektronik te liçencave</w:t>
            </w:r>
          </w:p>
        </w:tc>
        <w:tc>
          <w:tcPr>
            <w:tcW w:w="447" w:type="pct"/>
            <w:tcBorders>
              <w:top w:val="nil"/>
              <w:left w:val="nil"/>
              <w:bottom w:val="single" w:sz="4" w:space="0" w:color="auto"/>
              <w:right w:val="single" w:sz="4" w:space="0" w:color="auto"/>
            </w:tcBorders>
            <w:shd w:val="clear" w:color="auto" w:fill="auto"/>
            <w:noWrap/>
            <w:vAlign w:val="center"/>
            <w:hideMark/>
          </w:tcPr>
          <w:p w14:paraId="7E2581D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noWrap/>
            <w:vAlign w:val="center"/>
            <w:hideMark/>
          </w:tcPr>
          <w:p w14:paraId="7FF3BA2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noWrap/>
            <w:vAlign w:val="center"/>
            <w:hideMark/>
          </w:tcPr>
          <w:p w14:paraId="44392CE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noWrap/>
            <w:vAlign w:val="center"/>
            <w:hideMark/>
          </w:tcPr>
          <w:p w14:paraId="607D7A4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61312F95"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04890B1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13</w:t>
            </w:r>
          </w:p>
        </w:tc>
        <w:tc>
          <w:tcPr>
            <w:tcW w:w="524" w:type="pct"/>
            <w:tcBorders>
              <w:top w:val="nil"/>
              <w:left w:val="nil"/>
              <w:bottom w:val="single" w:sz="4" w:space="0" w:color="auto"/>
              <w:right w:val="single" w:sz="4" w:space="0" w:color="auto"/>
            </w:tcBorders>
            <w:shd w:val="clear" w:color="auto" w:fill="auto"/>
            <w:vAlign w:val="center"/>
            <w:hideMark/>
          </w:tcPr>
          <w:p w14:paraId="187AD4E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Programit Kombëtar për Lehtësirat në Aviacionin Civil"</w:t>
            </w:r>
          </w:p>
        </w:tc>
        <w:tc>
          <w:tcPr>
            <w:tcW w:w="311" w:type="pct"/>
            <w:tcBorders>
              <w:top w:val="nil"/>
              <w:left w:val="nil"/>
              <w:bottom w:val="single" w:sz="4" w:space="0" w:color="auto"/>
              <w:right w:val="single" w:sz="4" w:space="0" w:color="auto"/>
            </w:tcBorders>
            <w:shd w:val="clear" w:color="auto" w:fill="auto"/>
            <w:noWrap/>
            <w:vAlign w:val="center"/>
            <w:hideMark/>
          </w:tcPr>
          <w:p w14:paraId="3B45BB0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D255FC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000000" w:fill="FFFFFF"/>
            <w:vAlign w:val="center"/>
            <w:hideMark/>
          </w:tcPr>
          <w:p w14:paraId="1DD8136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941" w:type="pct"/>
            <w:tcBorders>
              <w:top w:val="nil"/>
              <w:left w:val="nil"/>
              <w:bottom w:val="single" w:sz="4" w:space="0" w:color="auto"/>
              <w:right w:val="single" w:sz="4" w:space="0" w:color="auto"/>
            </w:tcBorders>
            <w:shd w:val="clear" w:color="auto" w:fill="auto"/>
            <w:vAlign w:val="center"/>
            <w:hideMark/>
          </w:tcPr>
          <w:p w14:paraId="056D6CF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Miratimin e Programit Kombëtar për Lehtësirat në Aviacionin Civil, ne zbatim te Kodit Ajror</w:t>
            </w:r>
          </w:p>
        </w:tc>
        <w:tc>
          <w:tcPr>
            <w:tcW w:w="678" w:type="pct"/>
            <w:tcBorders>
              <w:top w:val="nil"/>
              <w:left w:val="nil"/>
              <w:bottom w:val="single" w:sz="4" w:space="0" w:color="auto"/>
              <w:right w:val="single" w:sz="4" w:space="0" w:color="auto"/>
            </w:tcBorders>
            <w:shd w:val="clear" w:color="auto" w:fill="auto"/>
            <w:vAlign w:val="center"/>
            <w:hideMark/>
          </w:tcPr>
          <w:p w14:paraId="51F97CE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miratimin e masave dhe procedurave për lehtësirat e aviacionit civil</w:t>
            </w:r>
          </w:p>
        </w:tc>
        <w:tc>
          <w:tcPr>
            <w:tcW w:w="447" w:type="pct"/>
            <w:tcBorders>
              <w:top w:val="nil"/>
              <w:left w:val="nil"/>
              <w:bottom w:val="single" w:sz="4" w:space="0" w:color="auto"/>
              <w:right w:val="single" w:sz="4" w:space="0" w:color="auto"/>
            </w:tcBorders>
            <w:shd w:val="clear" w:color="auto" w:fill="auto"/>
            <w:noWrap/>
            <w:vAlign w:val="center"/>
            <w:hideMark/>
          </w:tcPr>
          <w:p w14:paraId="6B39362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0CDE8122" w14:textId="77777777" w:rsidR="00456A99" w:rsidRPr="00727111" w:rsidRDefault="00456A99" w:rsidP="00456A99">
            <w:pPr>
              <w:jc w:val="center"/>
              <w:rPr>
                <w:rFonts w:ascii="Garamond" w:hAnsi="Garamond"/>
                <w:sz w:val="12"/>
                <w:szCs w:val="12"/>
                <w:lang w:eastAsia="sq-AL"/>
              </w:rPr>
            </w:pPr>
            <w:r w:rsidRPr="00727111">
              <w:rPr>
                <w:rFonts w:ascii="Garamond" w:hAnsi="Garamond"/>
                <w:sz w:val="12"/>
                <w:szCs w:val="12"/>
                <w:lang w:eastAsia="sq-AL"/>
              </w:rPr>
              <w:t>Jo</w:t>
            </w:r>
          </w:p>
        </w:tc>
        <w:tc>
          <w:tcPr>
            <w:tcW w:w="416" w:type="pct"/>
            <w:tcBorders>
              <w:top w:val="nil"/>
              <w:left w:val="nil"/>
              <w:bottom w:val="single" w:sz="4" w:space="0" w:color="auto"/>
              <w:right w:val="single" w:sz="4" w:space="0" w:color="auto"/>
            </w:tcBorders>
            <w:shd w:val="clear" w:color="auto" w:fill="auto"/>
            <w:noWrap/>
            <w:vAlign w:val="center"/>
            <w:hideMark/>
          </w:tcPr>
          <w:p w14:paraId="4F0CB39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noWrap/>
            <w:vAlign w:val="center"/>
            <w:hideMark/>
          </w:tcPr>
          <w:p w14:paraId="35538C1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19DD3503"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36FB44F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14</w:t>
            </w:r>
          </w:p>
        </w:tc>
        <w:tc>
          <w:tcPr>
            <w:tcW w:w="524" w:type="pct"/>
            <w:tcBorders>
              <w:top w:val="nil"/>
              <w:left w:val="nil"/>
              <w:bottom w:val="single" w:sz="4" w:space="0" w:color="auto"/>
              <w:right w:val="single" w:sz="4" w:space="0" w:color="auto"/>
            </w:tcBorders>
            <w:shd w:val="clear" w:color="auto" w:fill="auto"/>
            <w:vAlign w:val="center"/>
            <w:hideMark/>
          </w:tcPr>
          <w:p w14:paraId="609094E9" w14:textId="77777777" w:rsidR="00456A99" w:rsidRPr="00727111" w:rsidRDefault="00456A99" w:rsidP="00456A99">
            <w:pPr>
              <w:jc w:val="center"/>
              <w:rPr>
                <w:rFonts w:ascii="Garamond" w:hAnsi="Garamond"/>
                <w:sz w:val="12"/>
                <w:szCs w:val="12"/>
                <w:lang w:eastAsia="sq-AL"/>
              </w:rPr>
            </w:pPr>
            <w:r w:rsidRPr="00727111">
              <w:rPr>
                <w:rFonts w:ascii="Garamond" w:hAnsi="Garamond"/>
                <w:sz w:val="12"/>
                <w:szCs w:val="12"/>
                <w:lang w:eastAsia="sq-AL"/>
              </w:rPr>
              <w:t>"Për miratimin e rregullave për procedurën e konkurrimit publik për dhënien e autorizimeve individuale"</w:t>
            </w:r>
          </w:p>
        </w:tc>
        <w:tc>
          <w:tcPr>
            <w:tcW w:w="311" w:type="pct"/>
            <w:tcBorders>
              <w:top w:val="nil"/>
              <w:left w:val="nil"/>
              <w:bottom w:val="single" w:sz="4" w:space="0" w:color="auto"/>
              <w:right w:val="single" w:sz="4" w:space="0" w:color="auto"/>
            </w:tcBorders>
            <w:shd w:val="clear" w:color="auto" w:fill="auto"/>
            <w:noWrap/>
            <w:vAlign w:val="center"/>
            <w:hideMark/>
          </w:tcPr>
          <w:p w14:paraId="25AD93C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0F0BDB3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000000" w:fill="FFFFFF"/>
            <w:vAlign w:val="center"/>
            <w:hideMark/>
          </w:tcPr>
          <w:p w14:paraId="54E4B7B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941" w:type="pct"/>
            <w:tcBorders>
              <w:top w:val="nil"/>
              <w:left w:val="nil"/>
              <w:bottom w:val="single" w:sz="4" w:space="0" w:color="auto"/>
              <w:right w:val="single" w:sz="4" w:space="0" w:color="auto"/>
            </w:tcBorders>
            <w:shd w:val="clear" w:color="auto" w:fill="auto"/>
            <w:vAlign w:val="center"/>
            <w:hideMark/>
          </w:tcPr>
          <w:p w14:paraId="656914A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"Për komunikimet elektronike në RSH", Pika 3, neni 76</w:t>
            </w:r>
          </w:p>
        </w:tc>
        <w:tc>
          <w:tcPr>
            <w:tcW w:w="678" w:type="pct"/>
            <w:tcBorders>
              <w:top w:val="nil"/>
              <w:left w:val="nil"/>
              <w:bottom w:val="single" w:sz="4" w:space="0" w:color="auto"/>
              <w:right w:val="single" w:sz="4" w:space="0" w:color="auto"/>
            </w:tcBorders>
            <w:shd w:val="clear" w:color="auto" w:fill="auto"/>
            <w:vAlign w:val="center"/>
            <w:hideMark/>
          </w:tcPr>
          <w:p w14:paraId="0B49A8A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Rregullat që ndiqen në procedurat e autorizimeve A2 të frekuencave me interes të lartë</w:t>
            </w:r>
          </w:p>
        </w:tc>
        <w:tc>
          <w:tcPr>
            <w:tcW w:w="447" w:type="pct"/>
            <w:tcBorders>
              <w:top w:val="nil"/>
              <w:left w:val="nil"/>
              <w:bottom w:val="single" w:sz="4" w:space="0" w:color="auto"/>
              <w:right w:val="single" w:sz="4" w:space="0" w:color="auto"/>
            </w:tcBorders>
            <w:shd w:val="clear" w:color="auto" w:fill="auto"/>
            <w:vAlign w:val="center"/>
            <w:hideMark/>
          </w:tcPr>
          <w:p w14:paraId="23D7D6A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2A5373A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5E89A2F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1.SKZHI 2.Agjenda Digjitale    3.Plani Kombëtar Broadband 2021-2029</w:t>
            </w:r>
          </w:p>
        </w:tc>
        <w:tc>
          <w:tcPr>
            <w:tcW w:w="403" w:type="pct"/>
            <w:tcBorders>
              <w:top w:val="nil"/>
              <w:left w:val="nil"/>
              <w:bottom w:val="single" w:sz="4" w:space="0" w:color="auto"/>
              <w:right w:val="single" w:sz="4" w:space="0" w:color="auto"/>
            </w:tcBorders>
            <w:shd w:val="clear" w:color="auto" w:fill="auto"/>
            <w:vAlign w:val="center"/>
            <w:hideMark/>
          </w:tcPr>
          <w:p w14:paraId="613DC5E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036E2BA5"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5647799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15</w:t>
            </w:r>
          </w:p>
        </w:tc>
        <w:tc>
          <w:tcPr>
            <w:tcW w:w="524" w:type="pct"/>
            <w:tcBorders>
              <w:top w:val="nil"/>
              <w:left w:val="nil"/>
              <w:bottom w:val="single" w:sz="4" w:space="0" w:color="auto"/>
              <w:right w:val="single" w:sz="4" w:space="0" w:color="auto"/>
            </w:tcBorders>
            <w:shd w:val="clear" w:color="auto" w:fill="auto"/>
            <w:vAlign w:val="center"/>
            <w:hideMark/>
          </w:tcPr>
          <w:p w14:paraId="0F11B82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efiçencën e energjisë" </w:t>
            </w:r>
          </w:p>
        </w:tc>
        <w:tc>
          <w:tcPr>
            <w:tcW w:w="311" w:type="pct"/>
            <w:tcBorders>
              <w:top w:val="nil"/>
              <w:left w:val="nil"/>
              <w:bottom w:val="single" w:sz="4" w:space="0" w:color="auto"/>
              <w:right w:val="single" w:sz="4" w:space="0" w:color="auto"/>
            </w:tcBorders>
            <w:shd w:val="clear" w:color="auto" w:fill="auto"/>
            <w:vAlign w:val="center"/>
            <w:hideMark/>
          </w:tcPr>
          <w:p w14:paraId="35D39A5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88" w:type="pct"/>
            <w:tcBorders>
              <w:top w:val="nil"/>
              <w:left w:val="nil"/>
              <w:bottom w:val="single" w:sz="4" w:space="0" w:color="auto"/>
              <w:right w:val="single" w:sz="4" w:space="0" w:color="auto"/>
            </w:tcBorders>
            <w:shd w:val="clear" w:color="auto" w:fill="auto"/>
            <w:vAlign w:val="center"/>
            <w:hideMark/>
          </w:tcPr>
          <w:p w14:paraId="11D60A4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5B55F30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0B584EB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Perafrimi i Direktives 2023/955/BE e Parlamentit Evropian dhe e Këshillit e datës 13.07.2023 për efiçencën e energjisë</w:t>
            </w:r>
          </w:p>
        </w:tc>
        <w:tc>
          <w:tcPr>
            <w:tcW w:w="678" w:type="pct"/>
            <w:tcBorders>
              <w:top w:val="nil"/>
              <w:left w:val="nil"/>
              <w:bottom w:val="single" w:sz="4" w:space="0" w:color="auto"/>
              <w:right w:val="single" w:sz="4" w:space="0" w:color="auto"/>
            </w:tcBorders>
            <w:shd w:val="clear" w:color="auto" w:fill="auto"/>
            <w:vAlign w:val="center"/>
            <w:hideMark/>
          </w:tcPr>
          <w:p w14:paraId="55CFDAA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1.Percaktimi i eficences se energjise ne te gjithe sektoret ekonomik; 2. Sistemet e menaxhimit te energjise; 3. Skemat detyruese;</w:t>
            </w:r>
          </w:p>
        </w:tc>
        <w:tc>
          <w:tcPr>
            <w:tcW w:w="447" w:type="pct"/>
            <w:tcBorders>
              <w:top w:val="nil"/>
              <w:left w:val="nil"/>
              <w:bottom w:val="single" w:sz="4" w:space="0" w:color="auto"/>
              <w:right w:val="single" w:sz="4" w:space="0" w:color="auto"/>
            </w:tcBorders>
            <w:shd w:val="clear" w:color="auto" w:fill="auto"/>
            <w:vAlign w:val="center"/>
            <w:hideMark/>
          </w:tcPr>
          <w:p w14:paraId="220335C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c>
          <w:tcPr>
            <w:tcW w:w="456" w:type="pct"/>
            <w:tcBorders>
              <w:top w:val="nil"/>
              <w:left w:val="nil"/>
              <w:bottom w:val="single" w:sz="4" w:space="0" w:color="auto"/>
              <w:right w:val="single" w:sz="4" w:space="0" w:color="auto"/>
            </w:tcBorders>
            <w:shd w:val="clear" w:color="auto" w:fill="auto"/>
            <w:vAlign w:val="center"/>
            <w:hideMark/>
          </w:tcPr>
          <w:p w14:paraId="703293E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c>
          <w:tcPr>
            <w:tcW w:w="416" w:type="pct"/>
            <w:tcBorders>
              <w:top w:val="nil"/>
              <w:left w:val="nil"/>
              <w:bottom w:val="single" w:sz="4" w:space="0" w:color="auto"/>
              <w:right w:val="single" w:sz="4" w:space="0" w:color="auto"/>
            </w:tcBorders>
            <w:shd w:val="clear" w:color="auto" w:fill="auto"/>
            <w:vAlign w:val="center"/>
            <w:hideMark/>
          </w:tcPr>
          <w:p w14:paraId="5F607D0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Strategjia Kombetare e Energjisë; Planin Kombëtar për Energjine dhe Klimen </w:t>
            </w:r>
          </w:p>
        </w:tc>
        <w:tc>
          <w:tcPr>
            <w:tcW w:w="403" w:type="pct"/>
            <w:tcBorders>
              <w:top w:val="nil"/>
              <w:left w:val="nil"/>
              <w:bottom w:val="single" w:sz="4" w:space="0" w:color="auto"/>
              <w:right w:val="single" w:sz="4" w:space="0" w:color="auto"/>
            </w:tcBorders>
            <w:shd w:val="clear" w:color="auto" w:fill="auto"/>
            <w:vAlign w:val="center"/>
            <w:hideMark/>
          </w:tcPr>
          <w:p w14:paraId="13AA32D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2B5CDE57"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348D06E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16</w:t>
            </w:r>
          </w:p>
        </w:tc>
        <w:tc>
          <w:tcPr>
            <w:tcW w:w="524" w:type="pct"/>
            <w:tcBorders>
              <w:top w:val="nil"/>
              <w:left w:val="nil"/>
              <w:bottom w:val="single" w:sz="4" w:space="0" w:color="auto"/>
              <w:right w:val="single" w:sz="4" w:space="0" w:color="auto"/>
            </w:tcBorders>
            <w:shd w:val="clear" w:color="auto" w:fill="auto"/>
            <w:vAlign w:val="center"/>
            <w:hideMark/>
          </w:tcPr>
          <w:p w14:paraId="214D801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performancën energjetike të ndërtesave"</w:t>
            </w:r>
          </w:p>
        </w:tc>
        <w:tc>
          <w:tcPr>
            <w:tcW w:w="311" w:type="pct"/>
            <w:tcBorders>
              <w:top w:val="nil"/>
              <w:left w:val="nil"/>
              <w:bottom w:val="single" w:sz="4" w:space="0" w:color="auto"/>
              <w:right w:val="single" w:sz="4" w:space="0" w:color="auto"/>
            </w:tcBorders>
            <w:shd w:val="clear" w:color="auto" w:fill="auto"/>
            <w:vAlign w:val="center"/>
            <w:hideMark/>
          </w:tcPr>
          <w:p w14:paraId="3538AFF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88" w:type="pct"/>
            <w:tcBorders>
              <w:top w:val="nil"/>
              <w:left w:val="nil"/>
              <w:bottom w:val="single" w:sz="4" w:space="0" w:color="auto"/>
              <w:right w:val="single" w:sz="4" w:space="0" w:color="auto"/>
            </w:tcBorders>
            <w:shd w:val="clear" w:color="auto" w:fill="auto"/>
            <w:vAlign w:val="center"/>
            <w:hideMark/>
          </w:tcPr>
          <w:p w14:paraId="5AC3E2A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27DC3DC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4739B0F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Perafrimi i direktives 2024/1275 BE e Parlamentit dhe e Këshillit e datës 24.Prill 2024 për performancën energjetike në ndërtesa</w:t>
            </w:r>
          </w:p>
        </w:tc>
        <w:tc>
          <w:tcPr>
            <w:tcW w:w="678" w:type="pct"/>
            <w:tcBorders>
              <w:top w:val="nil"/>
              <w:left w:val="nil"/>
              <w:bottom w:val="single" w:sz="4" w:space="0" w:color="auto"/>
              <w:right w:val="single" w:sz="4" w:space="0" w:color="auto"/>
            </w:tcBorders>
            <w:shd w:val="clear" w:color="auto" w:fill="auto"/>
            <w:vAlign w:val="center"/>
            <w:hideMark/>
          </w:tcPr>
          <w:p w14:paraId="0B47A34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1.Perfshirja e infrastruktures se furnizimit me energji per burimet alternative ;                                                    2. Strategjia e rinovimit te ndertesave; 3. Faturimi i energjise se ngrohje ftohjes.                                                             4. Treguesi i dixhitalizimit te ndertesave.                                                                                                                                                                                                              </w:t>
            </w:r>
          </w:p>
        </w:tc>
        <w:tc>
          <w:tcPr>
            <w:tcW w:w="447" w:type="pct"/>
            <w:tcBorders>
              <w:top w:val="nil"/>
              <w:left w:val="nil"/>
              <w:bottom w:val="single" w:sz="4" w:space="0" w:color="auto"/>
              <w:right w:val="single" w:sz="4" w:space="0" w:color="auto"/>
            </w:tcBorders>
            <w:shd w:val="clear" w:color="auto" w:fill="auto"/>
            <w:vAlign w:val="center"/>
            <w:hideMark/>
          </w:tcPr>
          <w:p w14:paraId="564F3AD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15 "Energjia"</w:t>
            </w:r>
          </w:p>
        </w:tc>
        <w:tc>
          <w:tcPr>
            <w:tcW w:w="456" w:type="pct"/>
            <w:tcBorders>
              <w:top w:val="nil"/>
              <w:left w:val="nil"/>
              <w:bottom w:val="single" w:sz="4" w:space="0" w:color="auto"/>
              <w:right w:val="single" w:sz="4" w:space="0" w:color="auto"/>
            </w:tcBorders>
            <w:shd w:val="clear" w:color="auto" w:fill="auto"/>
            <w:vAlign w:val="center"/>
            <w:hideMark/>
          </w:tcPr>
          <w:p w14:paraId="38926EA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vAlign w:val="center"/>
            <w:hideMark/>
          </w:tcPr>
          <w:p w14:paraId="64ACD1B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e Energjise;  Plani Kombetar per Energjine dhe Klimen</w:t>
            </w:r>
          </w:p>
        </w:tc>
        <w:tc>
          <w:tcPr>
            <w:tcW w:w="403" w:type="pct"/>
            <w:tcBorders>
              <w:top w:val="nil"/>
              <w:left w:val="nil"/>
              <w:bottom w:val="single" w:sz="4" w:space="0" w:color="auto"/>
              <w:right w:val="single" w:sz="4" w:space="0" w:color="auto"/>
            </w:tcBorders>
            <w:shd w:val="clear" w:color="auto" w:fill="auto"/>
            <w:vAlign w:val="center"/>
            <w:hideMark/>
          </w:tcPr>
          <w:p w14:paraId="54F7394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5C5F17FA"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24CA740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17</w:t>
            </w:r>
          </w:p>
        </w:tc>
        <w:tc>
          <w:tcPr>
            <w:tcW w:w="524" w:type="pct"/>
            <w:tcBorders>
              <w:top w:val="nil"/>
              <w:left w:val="nil"/>
              <w:bottom w:val="single" w:sz="4" w:space="0" w:color="auto"/>
              <w:right w:val="single" w:sz="4" w:space="0" w:color="auto"/>
            </w:tcBorders>
            <w:shd w:val="clear" w:color="auto" w:fill="auto"/>
            <w:vAlign w:val="center"/>
            <w:hideMark/>
          </w:tcPr>
          <w:p w14:paraId="05D1911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Projektimin Ekologjik të produkteve me ndikim në energji"</w:t>
            </w:r>
          </w:p>
        </w:tc>
        <w:tc>
          <w:tcPr>
            <w:tcW w:w="311" w:type="pct"/>
            <w:tcBorders>
              <w:top w:val="nil"/>
              <w:left w:val="nil"/>
              <w:bottom w:val="single" w:sz="4" w:space="0" w:color="auto"/>
              <w:right w:val="single" w:sz="4" w:space="0" w:color="auto"/>
            </w:tcBorders>
            <w:shd w:val="clear" w:color="auto" w:fill="auto"/>
            <w:vAlign w:val="center"/>
            <w:hideMark/>
          </w:tcPr>
          <w:p w14:paraId="53B754A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88" w:type="pct"/>
            <w:tcBorders>
              <w:top w:val="nil"/>
              <w:left w:val="nil"/>
              <w:bottom w:val="single" w:sz="4" w:space="0" w:color="auto"/>
              <w:right w:val="single" w:sz="4" w:space="0" w:color="auto"/>
            </w:tcBorders>
            <w:shd w:val="clear" w:color="auto" w:fill="auto"/>
            <w:vAlign w:val="center"/>
            <w:hideMark/>
          </w:tcPr>
          <w:p w14:paraId="3B3760D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568AC73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250A2C4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Perafrimi I Direktives 2009/125/EC e Parlamentit Evropian dhe e Këshillit e datës 21 tetor 2009 "Per projektimin ekologjik të produkteveqë lidhen me energjinë"</w:t>
            </w:r>
          </w:p>
        </w:tc>
        <w:tc>
          <w:tcPr>
            <w:tcW w:w="678" w:type="pct"/>
            <w:tcBorders>
              <w:top w:val="nil"/>
              <w:left w:val="nil"/>
              <w:bottom w:val="single" w:sz="4" w:space="0" w:color="auto"/>
              <w:right w:val="single" w:sz="4" w:space="0" w:color="auto"/>
            </w:tcBorders>
            <w:shd w:val="clear" w:color="auto" w:fill="auto"/>
            <w:vAlign w:val="center"/>
            <w:hideMark/>
          </w:tcPr>
          <w:p w14:paraId="1252683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 Përmirësimi i konsumit të energjisë për produktet me ndikim në energji;         2. Përmirësimi i performancës mjedisore të produkteve; 3. Vendosja e detyrimeve për prodhuesit e produkteve me ndikim në energji;              4. Sigurimi i lëvizjes së lirë të kësaj kategorie produktesh.</w:t>
            </w:r>
          </w:p>
        </w:tc>
        <w:tc>
          <w:tcPr>
            <w:tcW w:w="447" w:type="pct"/>
            <w:tcBorders>
              <w:top w:val="nil"/>
              <w:left w:val="nil"/>
              <w:bottom w:val="single" w:sz="4" w:space="0" w:color="auto"/>
              <w:right w:val="single" w:sz="4" w:space="0" w:color="auto"/>
            </w:tcBorders>
            <w:shd w:val="clear" w:color="auto" w:fill="auto"/>
            <w:vAlign w:val="center"/>
            <w:hideMark/>
          </w:tcPr>
          <w:p w14:paraId="7E7471B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15 "Energjia"</w:t>
            </w:r>
          </w:p>
        </w:tc>
        <w:tc>
          <w:tcPr>
            <w:tcW w:w="456" w:type="pct"/>
            <w:tcBorders>
              <w:top w:val="nil"/>
              <w:left w:val="nil"/>
              <w:bottom w:val="single" w:sz="4" w:space="0" w:color="auto"/>
              <w:right w:val="single" w:sz="4" w:space="0" w:color="auto"/>
            </w:tcBorders>
            <w:shd w:val="clear" w:color="auto" w:fill="auto"/>
            <w:noWrap/>
            <w:vAlign w:val="center"/>
            <w:hideMark/>
          </w:tcPr>
          <w:p w14:paraId="543CAAF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vAlign w:val="center"/>
            <w:hideMark/>
          </w:tcPr>
          <w:p w14:paraId="3676B17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Kombetare e Energjise;  Plani Kombetar per Energjine dhe Klimen</w:t>
            </w:r>
          </w:p>
        </w:tc>
        <w:tc>
          <w:tcPr>
            <w:tcW w:w="403" w:type="pct"/>
            <w:tcBorders>
              <w:top w:val="nil"/>
              <w:left w:val="nil"/>
              <w:bottom w:val="single" w:sz="4" w:space="0" w:color="auto"/>
              <w:right w:val="single" w:sz="4" w:space="0" w:color="auto"/>
            </w:tcBorders>
            <w:shd w:val="clear" w:color="auto" w:fill="auto"/>
            <w:vAlign w:val="center"/>
            <w:hideMark/>
          </w:tcPr>
          <w:p w14:paraId="028250B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6CB6C94A"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4727C51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18</w:t>
            </w:r>
          </w:p>
        </w:tc>
        <w:tc>
          <w:tcPr>
            <w:tcW w:w="524" w:type="pct"/>
            <w:tcBorders>
              <w:top w:val="nil"/>
              <w:left w:val="nil"/>
              <w:bottom w:val="single" w:sz="4" w:space="0" w:color="auto"/>
              <w:right w:val="single" w:sz="4" w:space="0" w:color="auto"/>
            </w:tcBorders>
            <w:shd w:val="clear" w:color="000000" w:fill="FFFFFF"/>
            <w:vAlign w:val="center"/>
            <w:hideMark/>
          </w:tcPr>
          <w:p w14:paraId="5BBFCF3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listës me përbërësit kritikë dhe pjesët e ndjeshme të rrjeteve 5G" </w:t>
            </w:r>
          </w:p>
        </w:tc>
        <w:tc>
          <w:tcPr>
            <w:tcW w:w="311" w:type="pct"/>
            <w:tcBorders>
              <w:top w:val="nil"/>
              <w:left w:val="nil"/>
              <w:bottom w:val="single" w:sz="4" w:space="0" w:color="auto"/>
              <w:right w:val="single" w:sz="4" w:space="0" w:color="auto"/>
            </w:tcBorders>
            <w:shd w:val="clear" w:color="auto" w:fill="auto"/>
            <w:noWrap/>
            <w:vAlign w:val="center"/>
            <w:hideMark/>
          </w:tcPr>
          <w:p w14:paraId="687DCAC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3CD9CF1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0AE9D30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4750DC0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"Për komunikimet elektronike në RSH", pika 3, neni 55</w:t>
            </w:r>
          </w:p>
        </w:tc>
        <w:tc>
          <w:tcPr>
            <w:tcW w:w="678" w:type="pct"/>
            <w:tcBorders>
              <w:top w:val="nil"/>
              <w:left w:val="nil"/>
              <w:bottom w:val="single" w:sz="4" w:space="0" w:color="auto"/>
              <w:right w:val="single" w:sz="4" w:space="0" w:color="auto"/>
            </w:tcBorders>
            <w:shd w:val="clear" w:color="auto" w:fill="auto"/>
            <w:vAlign w:val="center"/>
            <w:hideMark/>
          </w:tcPr>
          <w:p w14:paraId="0415CC6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Miratimi i listës me përbërësit kritike dhe pjesët e ndjeshme të rrjeteve 5G që lidhen me masat për sigurinë e furnizuesve dhe ofruesve të rrjetit 5G</w:t>
            </w:r>
          </w:p>
        </w:tc>
        <w:tc>
          <w:tcPr>
            <w:tcW w:w="447" w:type="pct"/>
            <w:tcBorders>
              <w:top w:val="nil"/>
              <w:left w:val="nil"/>
              <w:bottom w:val="single" w:sz="4" w:space="0" w:color="auto"/>
              <w:right w:val="single" w:sz="4" w:space="0" w:color="auto"/>
            </w:tcBorders>
            <w:shd w:val="clear" w:color="auto" w:fill="auto"/>
            <w:vAlign w:val="center"/>
            <w:hideMark/>
          </w:tcPr>
          <w:p w14:paraId="534ED59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Po </w:t>
            </w:r>
            <w:r w:rsidRPr="00727111">
              <w:rPr>
                <w:rFonts w:ascii="Garamond" w:hAnsi="Garamond"/>
                <w:color w:val="000000"/>
                <w:sz w:val="12"/>
                <w:szCs w:val="12"/>
                <w:lang w:eastAsia="sq-AL"/>
              </w:rPr>
              <w:br/>
              <w:t xml:space="preserve">  Kapitulli 10 "Shoqëria e informacionit dhe media"</w:t>
            </w:r>
          </w:p>
        </w:tc>
        <w:tc>
          <w:tcPr>
            <w:tcW w:w="456" w:type="pct"/>
            <w:tcBorders>
              <w:top w:val="nil"/>
              <w:left w:val="nil"/>
              <w:bottom w:val="single" w:sz="4" w:space="0" w:color="auto"/>
              <w:right w:val="single" w:sz="4" w:space="0" w:color="auto"/>
            </w:tcBorders>
            <w:shd w:val="clear" w:color="auto" w:fill="auto"/>
            <w:vAlign w:val="center"/>
            <w:hideMark/>
          </w:tcPr>
          <w:p w14:paraId="1265FE9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6DE3D74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1.SKZHI 2.Agjenda Digjitale    3.Plani Kombëtar Broadband 2021-2030</w:t>
            </w:r>
          </w:p>
        </w:tc>
        <w:tc>
          <w:tcPr>
            <w:tcW w:w="403" w:type="pct"/>
            <w:tcBorders>
              <w:top w:val="nil"/>
              <w:left w:val="nil"/>
              <w:bottom w:val="single" w:sz="4" w:space="0" w:color="auto"/>
              <w:right w:val="single" w:sz="4" w:space="0" w:color="auto"/>
            </w:tcBorders>
            <w:shd w:val="clear" w:color="auto" w:fill="auto"/>
            <w:vAlign w:val="center"/>
            <w:hideMark/>
          </w:tcPr>
          <w:p w14:paraId="58C7312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301099A9"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3B55075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19</w:t>
            </w:r>
          </w:p>
        </w:tc>
        <w:tc>
          <w:tcPr>
            <w:tcW w:w="524" w:type="pct"/>
            <w:tcBorders>
              <w:top w:val="nil"/>
              <w:left w:val="nil"/>
              <w:bottom w:val="single" w:sz="4" w:space="0" w:color="auto"/>
              <w:right w:val="single" w:sz="4" w:space="0" w:color="auto"/>
            </w:tcBorders>
            <w:shd w:val="clear" w:color="000000" w:fill="FFFFFF"/>
            <w:vAlign w:val="center"/>
            <w:hideMark/>
          </w:tcPr>
          <w:p w14:paraId="48070DA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metodologjisë për vlerësimin e profilit të rrezikut të furnitorëve dhe ofruesve të pajisjeve të rrjetit, komponenteve kritike dhe pjesëve të ndjeshme të 5G"</w:t>
            </w:r>
          </w:p>
        </w:tc>
        <w:tc>
          <w:tcPr>
            <w:tcW w:w="311" w:type="pct"/>
            <w:tcBorders>
              <w:top w:val="nil"/>
              <w:left w:val="nil"/>
              <w:bottom w:val="single" w:sz="4" w:space="0" w:color="auto"/>
              <w:right w:val="single" w:sz="4" w:space="0" w:color="auto"/>
            </w:tcBorders>
            <w:shd w:val="clear" w:color="auto" w:fill="auto"/>
            <w:noWrap/>
            <w:vAlign w:val="center"/>
            <w:hideMark/>
          </w:tcPr>
          <w:p w14:paraId="51A3042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5E403A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476CADD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2F56670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"Për komunikimet elektronike në RSH", Pika 7, neni 55</w:t>
            </w:r>
          </w:p>
        </w:tc>
        <w:tc>
          <w:tcPr>
            <w:tcW w:w="678" w:type="pct"/>
            <w:tcBorders>
              <w:top w:val="nil"/>
              <w:left w:val="nil"/>
              <w:bottom w:val="single" w:sz="4" w:space="0" w:color="auto"/>
              <w:right w:val="single" w:sz="4" w:space="0" w:color="auto"/>
            </w:tcBorders>
            <w:shd w:val="clear" w:color="auto" w:fill="auto"/>
            <w:vAlign w:val="center"/>
            <w:hideMark/>
          </w:tcPr>
          <w:p w14:paraId="20BB416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Miratimi i metodologjisë për vlerësimin e profilit të rrezikut të furnizuesve dhe ofruesve të pajisjeve të rrjetit 5G</w:t>
            </w:r>
          </w:p>
        </w:tc>
        <w:tc>
          <w:tcPr>
            <w:tcW w:w="447" w:type="pct"/>
            <w:tcBorders>
              <w:top w:val="nil"/>
              <w:left w:val="nil"/>
              <w:bottom w:val="single" w:sz="4" w:space="0" w:color="auto"/>
              <w:right w:val="single" w:sz="4" w:space="0" w:color="auto"/>
            </w:tcBorders>
            <w:shd w:val="clear" w:color="auto" w:fill="auto"/>
            <w:vAlign w:val="center"/>
            <w:hideMark/>
          </w:tcPr>
          <w:p w14:paraId="4AC9A9D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Po </w:t>
            </w:r>
            <w:r w:rsidRPr="00727111">
              <w:rPr>
                <w:rFonts w:ascii="Garamond" w:hAnsi="Garamond"/>
                <w:color w:val="000000"/>
                <w:sz w:val="12"/>
                <w:szCs w:val="12"/>
                <w:lang w:eastAsia="sq-AL"/>
              </w:rPr>
              <w:br/>
              <w:t xml:space="preserve">  Kapitulli 10 "Shoqëria e informacionit dhe media"</w:t>
            </w:r>
          </w:p>
        </w:tc>
        <w:tc>
          <w:tcPr>
            <w:tcW w:w="456" w:type="pct"/>
            <w:tcBorders>
              <w:top w:val="nil"/>
              <w:left w:val="nil"/>
              <w:bottom w:val="single" w:sz="4" w:space="0" w:color="auto"/>
              <w:right w:val="single" w:sz="4" w:space="0" w:color="auto"/>
            </w:tcBorders>
            <w:shd w:val="clear" w:color="auto" w:fill="auto"/>
            <w:vAlign w:val="center"/>
            <w:hideMark/>
          </w:tcPr>
          <w:p w14:paraId="3584B21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3EB1A75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1.SKZHI 2.Agjenda Digjitale    3.Plani Kombëtar Broadband 2021-2031</w:t>
            </w:r>
          </w:p>
        </w:tc>
        <w:tc>
          <w:tcPr>
            <w:tcW w:w="403" w:type="pct"/>
            <w:tcBorders>
              <w:top w:val="nil"/>
              <w:left w:val="nil"/>
              <w:bottom w:val="single" w:sz="4" w:space="0" w:color="auto"/>
              <w:right w:val="single" w:sz="4" w:space="0" w:color="auto"/>
            </w:tcBorders>
            <w:shd w:val="clear" w:color="auto" w:fill="auto"/>
            <w:vAlign w:val="center"/>
            <w:hideMark/>
          </w:tcPr>
          <w:p w14:paraId="406CFC1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39A8AE9F"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07E3B9E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20</w:t>
            </w:r>
          </w:p>
        </w:tc>
        <w:tc>
          <w:tcPr>
            <w:tcW w:w="524" w:type="pct"/>
            <w:tcBorders>
              <w:top w:val="nil"/>
              <w:left w:val="nil"/>
              <w:bottom w:val="single" w:sz="4" w:space="0" w:color="auto"/>
              <w:right w:val="single" w:sz="4" w:space="0" w:color="auto"/>
            </w:tcBorders>
            <w:shd w:val="clear" w:color="000000" w:fill="FFFFFF"/>
            <w:vAlign w:val="center"/>
            <w:hideMark/>
          </w:tcPr>
          <w:p w14:paraId="466037D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kritereve për përcaktimin e një qeverie të huaj pa kontroll të pavarur gjyqësor"</w:t>
            </w:r>
          </w:p>
        </w:tc>
        <w:tc>
          <w:tcPr>
            <w:tcW w:w="311" w:type="pct"/>
            <w:tcBorders>
              <w:top w:val="nil"/>
              <w:left w:val="nil"/>
              <w:bottom w:val="single" w:sz="4" w:space="0" w:color="auto"/>
              <w:right w:val="single" w:sz="4" w:space="0" w:color="auto"/>
            </w:tcBorders>
            <w:shd w:val="clear" w:color="auto" w:fill="auto"/>
            <w:noWrap/>
            <w:vAlign w:val="center"/>
            <w:hideMark/>
          </w:tcPr>
          <w:p w14:paraId="744A701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66BC204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5A2EA3C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4A4EB3C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"Për komunikimet elektronike në RSH", Pika 9, 2 dhe 5 e nenit 55</w:t>
            </w:r>
          </w:p>
        </w:tc>
        <w:tc>
          <w:tcPr>
            <w:tcW w:w="678" w:type="pct"/>
            <w:tcBorders>
              <w:top w:val="nil"/>
              <w:left w:val="nil"/>
              <w:bottom w:val="single" w:sz="4" w:space="0" w:color="auto"/>
              <w:right w:val="single" w:sz="4" w:space="0" w:color="auto"/>
            </w:tcBorders>
            <w:shd w:val="clear" w:color="auto" w:fill="auto"/>
            <w:vAlign w:val="center"/>
            <w:hideMark/>
          </w:tcPr>
          <w:p w14:paraId="4854D8D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kritereve në zbatim të parashikimit në pikën 9 të nenit 55, të ligjit 54/2024  "Për komunikimet elektronike në RSH"</w:t>
            </w:r>
          </w:p>
        </w:tc>
        <w:tc>
          <w:tcPr>
            <w:tcW w:w="447" w:type="pct"/>
            <w:tcBorders>
              <w:top w:val="nil"/>
              <w:left w:val="nil"/>
              <w:bottom w:val="single" w:sz="4" w:space="0" w:color="auto"/>
              <w:right w:val="single" w:sz="4" w:space="0" w:color="auto"/>
            </w:tcBorders>
            <w:shd w:val="clear" w:color="auto" w:fill="auto"/>
            <w:vAlign w:val="center"/>
            <w:hideMark/>
          </w:tcPr>
          <w:p w14:paraId="7A0FF61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515FBFF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6154662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1.SKZHI 2.Agjenda Digjitale    3.Plani Kombëtar Broadband 2021-2032</w:t>
            </w:r>
          </w:p>
        </w:tc>
        <w:tc>
          <w:tcPr>
            <w:tcW w:w="403" w:type="pct"/>
            <w:tcBorders>
              <w:top w:val="nil"/>
              <w:left w:val="nil"/>
              <w:bottom w:val="single" w:sz="4" w:space="0" w:color="auto"/>
              <w:right w:val="single" w:sz="4" w:space="0" w:color="auto"/>
            </w:tcBorders>
            <w:shd w:val="clear" w:color="auto" w:fill="auto"/>
            <w:vAlign w:val="center"/>
            <w:hideMark/>
          </w:tcPr>
          <w:p w14:paraId="7DE0F1C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37E5B9E3"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173FD45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21</w:t>
            </w:r>
          </w:p>
        </w:tc>
        <w:tc>
          <w:tcPr>
            <w:tcW w:w="524" w:type="pct"/>
            <w:tcBorders>
              <w:top w:val="nil"/>
              <w:left w:val="nil"/>
              <w:bottom w:val="single" w:sz="4" w:space="0" w:color="auto"/>
              <w:right w:val="single" w:sz="4" w:space="0" w:color="auto"/>
            </w:tcBorders>
            <w:shd w:val="clear" w:color="000000" w:fill="FFFFFF"/>
            <w:vAlign w:val="center"/>
            <w:hideMark/>
          </w:tcPr>
          <w:p w14:paraId="06C0F70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rregullave specifike për transferimin apo dhënien me qira të të drejtave të përdorimit të frekuencave"</w:t>
            </w:r>
          </w:p>
        </w:tc>
        <w:tc>
          <w:tcPr>
            <w:tcW w:w="311" w:type="pct"/>
            <w:tcBorders>
              <w:top w:val="nil"/>
              <w:left w:val="nil"/>
              <w:bottom w:val="single" w:sz="4" w:space="0" w:color="auto"/>
              <w:right w:val="single" w:sz="4" w:space="0" w:color="auto"/>
            </w:tcBorders>
            <w:shd w:val="clear" w:color="auto" w:fill="auto"/>
            <w:noWrap/>
            <w:vAlign w:val="center"/>
            <w:hideMark/>
          </w:tcPr>
          <w:p w14:paraId="33D0911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635B143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3824762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69D571A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"Komunikimet elektronike në RSH", Pika 4, e nenit 71</w:t>
            </w:r>
          </w:p>
        </w:tc>
        <w:tc>
          <w:tcPr>
            <w:tcW w:w="678" w:type="pct"/>
            <w:tcBorders>
              <w:top w:val="nil"/>
              <w:left w:val="nil"/>
              <w:bottom w:val="single" w:sz="4" w:space="0" w:color="auto"/>
              <w:right w:val="single" w:sz="4" w:space="0" w:color="auto"/>
            </w:tcBorders>
            <w:shd w:val="clear" w:color="auto" w:fill="auto"/>
            <w:vAlign w:val="center"/>
            <w:hideMark/>
          </w:tcPr>
          <w:p w14:paraId="3C7642C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Rregullat që duhen ndjekur në rastet e lejura për transferimin ose dhënien me qira të të drejtave individuale të përdorimit për spektrin e frekuencave</w:t>
            </w:r>
          </w:p>
        </w:tc>
        <w:tc>
          <w:tcPr>
            <w:tcW w:w="447" w:type="pct"/>
            <w:tcBorders>
              <w:top w:val="nil"/>
              <w:left w:val="nil"/>
              <w:bottom w:val="single" w:sz="4" w:space="0" w:color="auto"/>
              <w:right w:val="single" w:sz="4" w:space="0" w:color="auto"/>
            </w:tcBorders>
            <w:shd w:val="clear" w:color="auto" w:fill="auto"/>
            <w:vAlign w:val="center"/>
            <w:hideMark/>
          </w:tcPr>
          <w:p w14:paraId="1FEC92B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51C5B98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296AF5E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1.SKZHI 2.Agjenda Digjitale    3.Plani Kombëtar Broadband 2021-2033</w:t>
            </w:r>
          </w:p>
        </w:tc>
        <w:tc>
          <w:tcPr>
            <w:tcW w:w="403" w:type="pct"/>
            <w:tcBorders>
              <w:top w:val="nil"/>
              <w:left w:val="nil"/>
              <w:bottom w:val="single" w:sz="4" w:space="0" w:color="auto"/>
              <w:right w:val="single" w:sz="4" w:space="0" w:color="auto"/>
            </w:tcBorders>
            <w:shd w:val="clear" w:color="auto" w:fill="auto"/>
            <w:vAlign w:val="center"/>
            <w:hideMark/>
          </w:tcPr>
          <w:p w14:paraId="0767E5C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097BC33B"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031909B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22</w:t>
            </w:r>
          </w:p>
        </w:tc>
        <w:tc>
          <w:tcPr>
            <w:tcW w:w="524" w:type="pct"/>
            <w:tcBorders>
              <w:top w:val="nil"/>
              <w:left w:val="nil"/>
              <w:bottom w:val="single" w:sz="4" w:space="0" w:color="auto"/>
              <w:right w:val="single" w:sz="4" w:space="0" w:color="auto"/>
            </w:tcBorders>
            <w:shd w:val="clear" w:color="000000" w:fill="FFFFFF"/>
            <w:vAlign w:val="center"/>
            <w:hideMark/>
          </w:tcPr>
          <w:p w14:paraId="7296798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procedurave të detajuara për ndarjen funksionale te sipërmarrësve të integruar vertikalisht"</w:t>
            </w:r>
          </w:p>
        </w:tc>
        <w:tc>
          <w:tcPr>
            <w:tcW w:w="311" w:type="pct"/>
            <w:tcBorders>
              <w:top w:val="nil"/>
              <w:left w:val="nil"/>
              <w:bottom w:val="single" w:sz="4" w:space="0" w:color="auto"/>
              <w:right w:val="single" w:sz="4" w:space="0" w:color="auto"/>
            </w:tcBorders>
            <w:shd w:val="clear" w:color="auto" w:fill="auto"/>
            <w:noWrap/>
            <w:vAlign w:val="center"/>
            <w:hideMark/>
          </w:tcPr>
          <w:p w14:paraId="11C2591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67E1892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52583C7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1E13A4A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"Komunikimet elektronike në RSH", Pika 5, neni 103</w:t>
            </w:r>
          </w:p>
        </w:tc>
        <w:tc>
          <w:tcPr>
            <w:tcW w:w="678" w:type="pct"/>
            <w:tcBorders>
              <w:top w:val="nil"/>
              <w:left w:val="nil"/>
              <w:bottom w:val="single" w:sz="4" w:space="0" w:color="auto"/>
              <w:right w:val="single" w:sz="4" w:space="0" w:color="auto"/>
            </w:tcBorders>
            <w:shd w:val="clear" w:color="auto" w:fill="auto"/>
            <w:vAlign w:val="center"/>
            <w:hideMark/>
          </w:tcPr>
          <w:p w14:paraId="729F655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rregullave për ndarjen funksionale të sipërmarrësve me integrim vertikal</w:t>
            </w:r>
          </w:p>
        </w:tc>
        <w:tc>
          <w:tcPr>
            <w:tcW w:w="447" w:type="pct"/>
            <w:tcBorders>
              <w:top w:val="nil"/>
              <w:left w:val="nil"/>
              <w:bottom w:val="single" w:sz="4" w:space="0" w:color="auto"/>
              <w:right w:val="single" w:sz="4" w:space="0" w:color="auto"/>
            </w:tcBorders>
            <w:shd w:val="clear" w:color="auto" w:fill="auto"/>
            <w:vAlign w:val="center"/>
            <w:hideMark/>
          </w:tcPr>
          <w:p w14:paraId="67FFA4E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55670EB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6DAC243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1.SKZHI 2.Agjenda Digjitale    3.Plani Kombëtar Broadband 2021-2034</w:t>
            </w:r>
          </w:p>
        </w:tc>
        <w:tc>
          <w:tcPr>
            <w:tcW w:w="403" w:type="pct"/>
            <w:tcBorders>
              <w:top w:val="nil"/>
              <w:left w:val="nil"/>
              <w:bottom w:val="single" w:sz="4" w:space="0" w:color="auto"/>
              <w:right w:val="single" w:sz="4" w:space="0" w:color="auto"/>
            </w:tcBorders>
            <w:shd w:val="clear" w:color="auto" w:fill="auto"/>
            <w:vAlign w:val="center"/>
            <w:hideMark/>
          </w:tcPr>
          <w:p w14:paraId="7FF5885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0D7A9665"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6BFD514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23</w:t>
            </w:r>
          </w:p>
        </w:tc>
        <w:tc>
          <w:tcPr>
            <w:tcW w:w="524" w:type="pct"/>
            <w:tcBorders>
              <w:top w:val="nil"/>
              <w:left w:val="nil"/>
              <w:bottom w:val="single" w:sz="4" w:space="0" w:color="auto"/>
              <w:right w:val="single" w:sz="4" w:space="0" w:color="auto"/>
            </w:tcBorders>
            <w:shd w:val="clear" w:color="000000" w:fill="FFFFFF"/>
            <w:vAlign w:val="center"/>
            <w:hideMark/>
          </w:tcPr>
          <w:p w14:paraId="7023D60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miratimin e rregullave për përcaktimin e ofruesit të shërbimit universal" </w:t>
            </w:r>
          </w:p>
        </w:tc>
        <w:tc>
          <w:tcPr>
            <w:tcW w:w="311" w:type="pct"/>
            <w:tcBorders>
              <w:top w:val="nil"/>
              <w:left w:val="nil"/>
              <w:bottom w:val="single" w:sz="4" w:space="0" w:color="auto"/>
              <w:right w:val="single" w:sz="4" w:space="0" w:color="auto"/>
            </w:tcBorders>
            <w:shd w:val="clear" w:color="auto" w:fill="auto"/>
            <w:noWrap/>
            <w:vAlign w:val="center"/>
            <w:hideMark/>
          </w:tcPr>
          <w:p w14:paraId="29D69E1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297BA03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06BE18E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45CD1A5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"Komunikimet elektronike në RSH", Pika 2, neni 111</w:t>
            </w:r>
          </w:p>
        </w:tc>
        <w:tc>
          <w:tcPr>
            <w:tcW w:w="678" w:type="pct"/>
            <w:tcBorders>
              <w:top w:val="nil"/>
              <w:left w:val="nil"/>
              <w:bottom w:val="single" w:sz="4" w:space="0" w:color="auto"/>
              <w:right w:val="single" w:sz="4" w:space="0" w:color="auto"/>
            </w:tcBorders>
            <w:shd w:val="clear" w:color="auto" w:fill="auto"/>
            <w:vAlign w:val="center"/>
            <w:hideMark/>
          </w:tcPr>
          <w:p w14:paraId="687995E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Rregullat për përcaktimin e ofruesit të shërbimit universal të cilat bazohen në parimet e efektivitetit, objektivitetit, transparencës dhe mosdiskriminimit </w:t>
            </w:r>
          </w:p>
        </w:tc>
        <w:tc>
          <w:tcPr>
            <w:tcW w:w="447" w:type="pct"/>
            <w:tcBorders>
              <w:top w:val="nil"/>
              <w:left w:val="nil"/>
              <w:bottom w:val="single" w:sz="4" w:space="0" w:color="auto"/>
              <w:right w:val="single" w:sz="4" w:space="0" w:color="auto"/>
            </w:tcBorders>
            <w:shd w:val="clear" w:color="auto" w:fill="auto"/>
            <w:vAlign w:val="center"/>
            <w:hideMark/>
          </w:tcPr>
          <w:p w14:paraId="1B78FEF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0BD9EBC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4235EA0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1.SKZHI 2.Agjenda Digjitale    3.Plani Kombëtar Broadband 2021-2035</w:t>
            </w:r>
          </w:p>
        </w:tc>
        <w:tc>
          <w:tcPr>
            <w:tcW w:w="403" w:type="pct"/>
            <w:tcBorders>
              <w:top w:val="nil"/>
              <w:left w:val="nil"/>
              <w:bottom w:val="single" w:sz="4" w:space="0" w:color="auto"/>
              <w:right w:val="single" w:sz="4" w:space="0" w:color="auto"/>
            </w:tcBorders>
            <w:shd w:val="clear" w:color="auto" w:fill="auto"/>
            <w:vAlign w:val="center"/>
            <w:hideMark/>
          </w:tcPr>
          <w:p w14:paraId="29611BF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456A99" w:rsidRPr="00727111" w14:paraId="160670B6"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32E854F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24</w:t>
            </w:r>
          </w:p>
        </w:tc>
        <w:tc>
          <w:tcPr>
            <w:tcW w:w="524" w:type="pct"/>
            <w:tcBorders>
              <w:top w:val="nil"/>
              <w:left w:val="nil"/>
              <w:bottom w:val="single" w:sz="4" w:space="0" w:color="auto"/>
              <w:right w:val="single" w:sz="4" w:space="0" w:color="auto"/>
            </w:tcBorders>
            <w:shd w:val="clear" w:color="auto" w:fill="auto"/>
            <w:vAlign w:val="center"/>
            <w:hideMark/>
          </w:tcPr>
          <w:p w14:paraId="161165E0" w14:textId="77777777" w:rsidR="00456A99" w:rsidRPr="00727111" w:rsidRDefault="00456A99" w:rsidP="00456A99">
            <w:pPr>
              <w:jc w:val="center"/>
              <w:rPr>
                <w:rFonts w:ascii="Garamond" w:hAnsi="Garamond"/>
                <w:sz w:val="12"/>
                <w:szCs w:val="12"/>
                <w:lang w:eastAsia="sq-AL"/>
              </w:rPr>
            </w:pPr>
            <w:r w:rsidRPr="00727111">
              <w:rPr>
                <w:rFonts w:ascii="Garamond" w:hAnsi="Garamond"/>
                <w:sz w:val="12"/>
                <w:szCs w:val="12"/>
                <w:lang w:eastAsia="sq-AL"/>
              </w:rPr>
              <w:t xml:space="preserve"> "Për miratimin e masave për sigurimin e vazhdueshmërisë së ofrimit të shërbimeve të komunikimeve elektronike në situata të jashtëzakonshme</w:t>
            </w:r>
          </w:p>
        </w:tc>
        <w:tc>
          <w:tcPr>
            <w:tcW w:w="311" w:type="pct"/>
            <w:tcBorders>
              <w:top w:val="nil"/>
              <w:left w:val="nil"/>
              <w:bottom w:val="single" w:sz="4" w:space="0" w:color="auto"/>
              <w:right w:val="single" w:sz="4" w:space="0" w:color="auto"/>
            </w:tcBorders>
            <w:shd w:val="clear" w:color="auto" w:fill="auto"/>
            <w:noWrap/>
            <w:vAlign w:val="center"/>
            <w:hideMark/>
          </w:tcPr>
          <w:p w14:paraId="347DEE6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5E30EAA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15A793D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58E054C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54/2024 "Komunikimet elektronike në RSH", Pika 5, neni 174</w:t>
            </w:r>
          </w:p>
        </w:tc>
        <w:tc>
          <w:tcPr>
            <w:tcW w:w="678" w:type="pct"/>
            <w:tcBorders>
              <w:top w:val="nil"/>
              <w:left w:val="nil"/>
              <w:bottom w:val="single" w:sz="4" w:space="0" w:color="auto"/>
              <w:right w:val="single" w:sz="4" w:space="0" w:color="auto"/>
            </w:tcBorders>
            <w:shd w:val="clear" w:color="auto" w:fill="auto"/>
            <w:vAlign w:val="center"/>
            <w:hideMark/>
          </w:tcPr>
          <w:p w14:paraId="3121722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Sigurimi i vazhdueshmërisë së shërbimit të komunikimeve elektronike në situata të jashtëzakonshme</w:t>
            </w:r>
          </w:p>
        </w:tc>
        <w:tc>
          <w:tcPr>
            <w:tcW w:w="447" w:type="pct"/>
            <w:tcBorders>
              <w:top w:val="nil"/>
              <w:left w:val="nil"/>
              <w:bottom w:val="single" w:sz="4" w:space="0" w:color="auto"/>
              <w:right w:val="single" w:sz="4" w:space="0" w:color="auto"/>
            </w:tcBorders>
            <w:shd w:val="clear" w:color="auto" w:fill="auto"/>
            <w:vAlign w:val="center"/>
            <w:hideMark/>
          </w:tcPr>
          <w:p w14:paraId="6B24C81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7D1CDB3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Shoqëria digjitale   2. Integrimi Evropian</w:t>
            </w:r>
          </w:p>
        </w:tc>
        <w:tc>
          <w:tcPr>
            <w:tcW w:w="416" w:type="pct"/>
            <w:tcBorders>
              <w:top w:val="nil"/>
              <w:left w:val="nil"/>
              <w:bottom w:val="single" w:sz="4" w:space="0" w:color="auto"/>
              <w:right w:val="single" w:sz="4" w:space="0" w:color="auto"/>
            </w:tcBorders>
            <w:shd w:val="clear" w:color="auto" w:fill="auto"/>
            <w:vAlign w:val="center"/>
            <w:hideMark/>
          </w:tcPr>
          <w:p w14:paraId="5713BF0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1.SKZHI 2.Agjenda Digjitale    3.Plani Kombëtar Broadband 2021-2036</w:t>
            </w:r>
          </w:p>
        </w:tc>
        <w:tc>
          <w:tcPr>
            <w:tcW w:w="403" w:type="pct"/>
            <w:tcBorders>
              <w:top w:val="nil"/>
              <w:left w:val="nil"/>
              <w:bottom w:val="single" w:sz="4" w:space="0" w:color="auto"/>
              <w:right w:val="single" w:sz="4" w:space="0" w:color="auto"/>
            </w:tcBorders>
            <w:shd w:val="clear" w:color="auto" w:fill="auto"/>
            <w:vAlign w:val="center"/>
            <w:hideMark/>
          </w:tcPr>
          <w:p w14:paraId="2B95345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35C90AB9"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101EADF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25</w:t>
            </w:r>
          </w:p>
        </w:tc>
        <w:tc>
          <w:tcPr>
            <w:tcW w:w="524" w:type="pct"/>
            <w:tcBorders>
              <w:top w:val="nil"/>
              <w:left w:val="nil"/>
              <w:bottom w:val="single" w:sz="4" w:space="0" w:color="auto"/>
              <w:right w:val="single" w:sz="4" w:space="0" w:color="auto"/>
            </w:tcBorders>
            <w:shd w:val="clear" w:color="FFFFFF" w:fill="FFFFFF"/>
            <w:vAlign w:val="center"/>
            <w:hideMark/>
          </w:tcPr>
          <w:p w14:paraId="0403B66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"Mbi sigurine e furnizimit me gaz natyror nepermjet kapaciteteve depozituese</w:t>
            </w:r>
          </w:p>
        </w:tc>
        <w:tc>
          <w:tcPr>
            <w:tcW w:w="311" w:type="pct"/>
            <w:tcBorders>
              <w:top w:val="nil"/>
              <w:left w:val="nil"/>
              <w:bottom w:val="single" w:sz="4" w:space="0" w:color="auto"/>
              <w:right w:val="single" w:sz="4" w:space="0" w:color="auto"/>
            </w:tcBorders>
            <w:shd w:val="clear" w:color="auto" w:fill="auto"/>
            <w:noWrap/>
            <w:vAlign w:val="center"/>
            <w:hideMark/>
          </w:tcPr>
          <w:p w14:paraId="1D78EAE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42D7775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5F09B73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FFFFFF" w:fill="FFFFFF"/>
            <w:vAlign w:val="center"/>
            <w:hideMark/>
          </w:tcPr>
          <w:p w14:paraId="12C5BF4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Rregullorja (BE) 2022/1032 e Parlamentit Evropian dhe e Këshillit e datës 29 qershor 2022 që ndryshon Rregulloret (BE) 2017/1938 dhe (KE) Nr. 715/2009 në lidhje me ruajtjen e gazit</w:t>
            </w:r>
          </w:p>
        </w:tc>
        <w:tc>
          <w:tcPr>
            <w:tcW w:w="678" w:type="pct"/>
            <w:tcBorders>
              <w:top w:val="nil"/>
              <w:left w:val="nil"/>
              <w:bottom w:val="single" w:sz="4" w:space="0" w:color="auto"/>
              <w:right w:val="single" w:sz="4" w:space="0" w:color="auto"/>
            </w:tcBorders>
            <w:shd w:val="clear" w:color="FFFFFF" w:fill="FFFFFF"/>
            <w:vAlign w:val="center"/>
            <w:hideMark/>
          </w:tcPr>
          <w:p w14:paraId="4748A10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Kjo direktivë duhet t'i japë përparësi masave që mund të forcojnë sigurinë e furnizimit me gaz në nivel lokal dhe rajonal, në veçanti furnizimet me gaz për klientët e mbrojtur. Prandaj është thelbësore që të veprohet në mënyrë të koordinuar për të shmangur rreziqet e mundshme që rrjedhin nga ndërprerjet e mundshme të furnizimit me gaz. Çdo Shtet Anëtar duhet, në parim, të sigurojë që objektet nëntokësore të depozitimit të gazit që ndodhen në territorin e tij dhe të ndërlidhura drejtpërdrejt me një zonë tregu të atij Shteti Anëtar, të mbushen të paktën 90% të kapacitetit të tyre në nivel Shteti Anëtar deri më 1 nëntor të këtij viti. cdo vit</w:t>
            </w:r>
          </w:p>
        </w:tc>
        <w:tc>
          <w:tcPr>
            <w:tcW w:w="447" w:type="pct"/>
            <w:tcBorders>
              <w:top w:val="nil"/>
              <w:left w:val="nil"/>
              <w:bottom w:val="single" w:sz="4" w:space="0" w:color="auto"/>
              <w:right w:val="single" w:sz="4" w:space="0" w:color="auto"/>
            </w:tcBorders>
            <w:shd w:val="clear" w:color="auto" w:fill="auto"/>
            <w:vAlign w:val="center"/>
            <w:hideMark/>
          </w:tcPr>
          <w:p w14:paraId="48572C6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15 "Energjia"</w:t>
            </w:r>
          </w:p>
        </w:tc>
        <w:tc>
          <w:tcPr>
            <w:tcW w:w="456" w:type="pct"/>
            <w:tcBorders>
              <w:top w:val="nil"/>
              <w:left w:val="nil"/>
              <w:bottom w:val="single" w:sz="4" w:space="0" w:color="auto"/>
              <w:right w:val="single" w:sz="4" w:space="0" w:color="auto"/>
            </w:tcBorders>
            <w:shd w:val="clear" w:color="auto" w:fill="auto"/>
            <w:vAlign w:val="center"/>
            <w:hideMark/>
          </w:tcPr>
          <w:p w14:paraId="534FBD4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Po, Rritja e Sigurise  se Furnizimit </w:t>
            </w:r>
          </w:p>
        </w:tc>
        <w:tc>
          <w:tcPr>
            <w:tcW w:w="416" w:type="pct"/>
            <w:tcBorders>
              <w:top w:val="nil"/>
              <w:left w:val="nil"/>
              <w:bottom w:val="single" w:sz="4" w:space="0" w:color="auto"/>
              <w:right w:val="single" w:sz="4" w:space="0" w:color="auto"/>
            </w:tcBorders>
            <w:shd w:val="clear" w:color="auto" w:fill="auto"/>
            <w:vAlign w:val="center"/>
            <w:hideMark/>
          </w:tcPr>
          <w:p w14:paraId="351DB77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Vendim nr. 480, datë 31.7.2018 “Për miratimin e strategjisë kombëtare të energjisë për periudhën 2018–2030”</w:t>
            </w:r>
          </w:p>
        </w:tc>
        <w:tc>
          <w:tcPr>
            <w:tcW w:w="403" w:type="pct"/>
            <w:tcBorders>
              <w:top w:val="nil"/>
              <w:left w:val="nil"/>
              <w:bottom w:val="single" w:sz="4" w:space="0" w:color="auto"/>
              <w:right w:val="single" w:sz="4" w:space="0" w:color="auto"/>
            </w:tcBorders>
            <w:shd w:val="clear" w:color="auto" w:fill="auto"/>
            <w:noWrap/>
            <w:vAlign w:val="center"/>
            <w:hideMark/>
          </w:tcPr>
          <w:p w14:paraId="50144C8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48F10114"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7CAD24B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26</w:t>
            </w:r>
          </w:p>
        </w:tc>
        <w:tc>
          <w:tcPr>
            <w:tcW w:w="524" w:type="pct"/>
            <w:tcBorders>
              <w:top w:val="nil"/>
              <w:left w:val="nil"/>
              <w:bottom w:val="single" w:sz="4" w:space="0" w:color="auto"/>
              <w:right w:val="single" w:sz="4" w:space="0" w:color="auto"/>
            </w:tcBorders>
            <w:shd w:val="clear" w:color="auto" w:fill="auto"/>
            <w:vAlign w:val="center"/>
            <w:hideMark/>
          </w:tcPr>
          <w:p w14:paraId="19663B3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Miratimin e Rregullores për Sigurinë e Furnizimit dhe Menaxhimin e Riskut në Sektorin e Energjisë Elektrike"</w:t>
            </w:r>
          </w:p>
        </w:tc>
        <w:tc>
          <w:tcPr>
            <w:tcW w:w="311" w:type="pct"/>
            <w:tcBorders>
              <w:top w:val="nil"/>
              <w:left w:val="nil"/>
              <w:bottom w:val="single" w:sz="4" w:space="0" w:color="auto"/>
              <w:right w:val="single" w:sz="4" w:space="0" w:color="auto"/>
            </w:tcBorders>
            <w:shd w:val="clear" w:color="auto" w:fill="auto"/>
            <w:noWrap/>
            <w:vAlign w:val="center"/>
            <w:hideMark/>
          </w:tcPr>
          <w:p w14:paraId="01FAE32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10E858A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3C9D0B0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6FBDFE8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Transpozim i Rregullores (BE) 2019/941 e Parlamentit Evropian dhe e Këshillit e datës 5 qershor 2019 mbi gatishmërinë ndaj rrezikut në sektorin e energjisë elektrike dhe shfuqizimin e Direktivës 2005/89/EC</w:t>
            </w:r>
          </w:p>
        </w:tc>
        <w:tc>
          <w:tcPr>
            <w:tcW w:w="678" w:type="pct"/>
            <w:tcBorders>
              <w:top w:val="nil"/>
              <w:left w:val="nil"/>
              <w:bottom w:val="single" w:sz="4" w:space="0" w:color="auto"/>
              <w:right w:val="single" w:sz="4" w:space="0" w:color="auto"/>
            </w:tcBorders>
            <w:shd w:val="clear" w:color="auto" w:fill="auto"/>
            <w:vAlign w:val="center"/>
            <w:hideMark/>
          </w:tcPr>
          <w:p w14:paraId="66D9CD0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Ky projektvendim parashikon miratimin e rregullave për sigurinë e furnizimit me energji elektrike të cilat përfshijnë masat që duhet të ndërmerren në rastet e situatave emergjente, rolin dhe detyrimet e pjesëmarrësve të tregut të energjisë elektrike në lidhje me sigurinë e furnizimit me energji elektrike.    </w:t>
            </w:r>
          </w:p>
        </w:tc>
        <w:tc>
          <w:tcPr>
            <w:tcW w:w="447" w:type="pct"/>
            <w:tcBorders>
              <w:top w:val="nil"/>
              <w:left w:val="nil"/>
              <w:bottom w:val="single" w:sz="4" w:space="0" w:color="auto"/>
              <w:right w:val="single" w:sz="4" w:space="0" w:color="auto"/>
            </w:tcBorders>
            <w:shd w:val="clear" w:color="auto" w:fill="auto"/>
            <w:vAlign w:val="center"/>
            <w:hideMark/>
          </w:tcPr>
          <w:p w14:paraId="4C9BF6B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15 "Energjia"</w:t>
            </w:r>
          </w:p>
        </w:tc>
        <w:tc>
          <w:tcPr>
            <w:tcW w:w="456" w:type="pct"/>
            <w:tcBorders>
              <w:top w:val="nil"/>
              <w:left w:val="nil"/>
              <w:bottom w:val="single" w:sz="4" w:space="0" w:color="auto"/>
              <w:right w:val="single" w:sz="4" w:space="0" w:color="auto"/>
            </w:tcBorders>
            <w:shd w:val="clear" w:color="auto" w:fill="auto"/>
            <w:vAlign w:val="center"/>
            <w:hideMark/>
          </w:tcPr>
          <w:p w14:paraId="16557F0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 akti vjen ne perputhje me politikat e qeverise mbi sigurinë  e furnizimit me energji elektrike.</w:t>
            </w:r>
          </w:p>
        </w:tc>
        <w:tc>
          <w:tcPr>
            <w:tcW w:w="416" w:type="pct"/>
            <w:tcBorders>
              <w:top w:val="nil"/>
              <w:left w:val="nil"/>
              <w:bottom w:val="single" w:sz="4" w:space="0" w:color="auto"/>
              <w:right w:val="single" w:sz="4" w:space="0" w:color="auto"/>
            </w:tcBorders>
            <w:shd w:val="clear" w:color="auto" w:fill="auto"/>
            <w:vAlign w:val="center"/>
            <w:hideMark/>
          </w:tcPr>
          <w:p w14:paraId="68F755F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e Energjisë 2018-2030, miratuar me Vendimin e Këshillit të Ministrave Nr. 480, datë 31.07.2018.                                                       Vendimit te Këshillit të Ministrave nr. 872 datë 29.12.2021 “Për miratimin e Planit Kombëtar i Energjisë dhe Klimës 2020-2030</w:t>
            </w:r>
          </w:p>
        </w:tc>
        <w:tc>
          <w:tcPr>
            <w:tcW w:w="403" w:type="pct"/>
            <w:tcBorders>
              <w:top w:val="nil"/>
              <w:left w:val="nil"/>
              <w:bottom w:val="single" w:sz="4" w:space="0" w:color="auto"/>
              <w:right w:val="single" w:sz="4" w:space="0" w:color="auto"/>
            </w:tcBorders>
            <w:shd w:val="clear" w:color="auto" w:fill="auto"/>
            <w:noWrap/>
            <w:vAlign w:val="center"/>
            <w:hideMark/>
          </w:tcPr>
          <w:p w14:paraId="73A9821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0B52E7A7"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60C329D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27</w:t>
            </w:r>
          </w:p>
        </w:tc>
        <w:tc>
          <w:tcPr>
            <w:tcW w:w="524" w:type="pct"/>
            <w:tcBorders>
              <w:top w:val="nil"/>
              <w:left w:val="nil"/>
              <w:bottom w:val="single" w:sz="4" w:space="0" w:color="auto"/>
              <w:right w:val="single" w:sz="4" w:space="0" w:color="auto"/>
            </w:tcBorders>
            <w:shd w:val="clear" w:color="auto" w:fill="auto"/>
            <w:vAlign w:val="center"/>
            <w:hideMark/>
          </w:tcPr>
          <w:p w14:paraId="3A2810B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përcaktimin e kushteve dhe procedurave për pjesëmarrjen në ACER</w:t>
            </w:r>
          </w:p>
        </w:tc>
        <w:tc>
          <w:tcPr>
            <w:tcW w:w="311" w:type="pct"/>
            <w:tcBorders>
              <w:top w:val="nil"/>
              <w:left w:val="nil"/>
              <w:bottom w:val="single" w:sz="4" w:space="0" w:color="auto"/>
              <w:right w:val="single" w:sz="4" w:space="0" w:color="auto"/>
            </w:tcBorders>
            <w:shd w:val="clear" w:color="auto" w:fill="auto"/>
            <w:noWrap/>
            <w:vAlign w:val="center"/>
            <w:hideMark/>
          </w:tcPr>
          <w:p w14:paraId="2E15210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BA000D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444E5F3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0DA8036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Transpozim i Rregullores ACER- Rregullorja 2019/942  për krijimin e Agjencisë së Bashkimit Evropian për Bashkëpunimin e Rregullatorëve të Energjisë </w:t>
            </w:r>
          </w:p>
        </w:tc>
        <w:tc>
          <w:tcPr>
            <w:tcW w:w="678" w:type="pct"/>
            <w:tcBorders>
              <w:top w:val="nil"/>
              <w:left w:val="nil"/>
              <w:bottom w:val="single" w:sz="4" w:space="0" w:color="auto"/>
              <w:right w:val="single" w:sz="4" w:space="0" w:color="auto"/>
            </w:tcBorders>
            <w:shd w:val="clear" w:color="auto" w:fill="auto"/>
            <w:vAlign w:val="center"/>
            <w:hideMark/>
          </w:tcPr>
          <w:p w14:paraId="0198076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Ky projektvendim parashikon të përmirësojë koordinimin ndërmjet autoriteteve rregullatore të energjisë të vendeve të ndryshme për çështjet ndërkufitare. </w:t>
            </w:r>
          </w:p>
        </w:tc>
        <w:tc>
          <w:tcPr>
            <w:tcW w:w="447" w:type="pct"/>
            <w:tcBorders>
              <w:top w:val="nil"/>
              <w:left w:val="nil"/>
              <w:bottom w:val="single" w:sz="4" w:space="0" w:color="auto"/>
              <w:right w:val="single" w:sz="4" w:space="0" w:color="auto"/>
            </w:tcBorders>
            <w:shd w:val="clear" w:color="auto" w:fill="auto"/>
            <w:vAlign w:val="center"/>
            <w:hideMark/>
          </w:tcPr>
          <w:p w14:paraId="4061951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15 "Energjia"</w:t>
            </w:r>
          </w:p>
        </w:tc>
        <w:tc>
          <w:tcPr>
            <w:tcW w:w="456" w:type="pct"/>
            <w:tcBorders>
              <w:top w:val="nil"/>
              <w:left w:val="nil"/>
              <w:bottom w:val="single" w:sz="4" w:space="0" w:color="auto"/>
              <w:right w:val="single" w:sz="4" w:space="0" w:color="auto"/>
            </w:tcBorders>
            <w:shd w:val="clear" w:color="auto" w:fill="auto"/>
            <w:vAlign w:val="center"/>
            <w:hideMark/>
          </w:tcPr>
          <w:p w14:paraId="7AA2ACC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 akti vjen ne perputhje me politikat e qeverise mbi sigurinë  e furnizimit me energji elektrike.</w:t>
            </w:r>
          </w:p>
        </w:tc>
        <w:tc>
          <w:tcPr>
            <w:tcW w:w="416" w:type="pct"/>
            <w:tcBorders>
              <w:top w:val="nil"/>
              <w:left w:val="nil"/>
              <w:bottom w:val="single" w:sz="4" w:space="0" w:color="auto"/>
              <w:right w:val="single" w:sz="4" w:space="0" w:color="auto"/>
            </w:tcBorders>
            <w:shd w:val="clear" w:color="auto" w:fill="auto"/>
            <w:vAlign w:val="center"/>
            <w:hideMark/>
          </w:tcPr>
          <w:p w14:paraId="4DCAACB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e Energjisë 2018-2030, miratuar me Vendimin e Këshillit të Ministrave Nr. 480, datë 31.07.2018.                                                       Vendimit te Këshillit të Ministrave nr. 872 datë 29.12.2021 “Për miratimin e Planit Kombëtar i Energjisë dhe Klimës 2020-2030</w:t>
            </w:r>
          </w:p>
        </w:tc>
        <w:tc>
          <w:tcPr>
            <w:tcW w:w="403" w:type="pct"/>
            <w:tcBorders>
              <w:top w:val="nil"/>
              <w:left w:val="nil"/>
              <w:bottom w:val="single" w:sz="4" w:space="0" w:color="auto"/>
              <w:right w:val="single" w:sz="4" w:space="0" w:color="auto"/>
            </w:tcBorders>
            <w:shd w:val="clear" w:color="auto" w:fill="auto"/>
            <w:noWrap/>
            <w:vAlign w:val="center"/>
            <w:hideMark/>
          </w:tcPr>
          <w:p w14:paraId="7351270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0F386A98"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068D967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28</w:t>
            </w:r>
          </w:p>
        </w:tc>
        <w:tc>
          <w:tcPr>
            <w:tcW w:w="524" w:type="pct"/>
            <w:tcBorders>
              <w:top w:val="nil"/>
              <w:left w:val="nil"/>
              <w:bottom w:val="single" w:sz="4" w:space="0" w:color="auto"/>
              <w:right w:val="single" w:sz="4" w:space="0" w:color="auto"/>
            </w:tcBorders>
            <w:shd w:val="clear" w:color="auto" w:fill="auto"/>
            <w:vAlign w:val="center"/>
            <w:hideMark/>
          </w:tcPr>
          <w:p w14:paraId="00D1E77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rishikimin e Vendimit  Nr. 822, datë 7.10.2015 të Këshillit të Ministrave "Për miratimin e rregullave dhe procedurave të ndërtimit të kapaciteteve të reja prodhuese të energjisë elektrike, që nuk janë objekt koncesion", e ndryshuar</w:t>
            </w:r>
          </w:p>
        </w:tc>
        <w:tc>
          <w:tcPr>
            <w:tcW w:w="311" w:type="pct"/>
            <w:tcBorders>
              <w:top w:val="nil"/>
              <w:left w:val="nil"/>
              <w:bottom w:val="single" w:sz="4" w:space="0" w:color="auto"/>
              <w:right w:val="single" w:sz="4" w:space="0" w:color="auto"/>
            </w:tcBorders>
            <w:shd w:val="clear" w:color="auto" w:fill="auto"/>
            <w:noWrap/>
            <w:vAlign w:val="center"/>
            <w:hideMark/>
          </w:tcPr>
          <w:p w14:paraId="0FA9755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307F59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13652C1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2B5906D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Transpozim i Rregullore së Këshillit (BE) 2022/2577 e datës 22 dhjetor 2022 që përcakton një kornizë për të përshpejtuar vendosjen e energjisë së rinovueshme.</w:t>
            </w:r>
          </w:p>
        </w:tc>
        <w:tc>
          <w:tcPr>
            <w:tcW w:w="678" w:type="pct"/>
            <w:tcBorders>
              <w:top w:val="nil"/>
              <w:left w:val="nil"/>
              <w:bottom w:val="single" w:sz="4" w:space="0" w:color="auto"/>
              <w:right w:val="single" w:sz="4" w:space="0" w:color="auto"/>
            </w:tcBorders>
            <w:shd w:val="clear" w:color="auto" w:fill="auto"/>
            <w:vAlign w:val="center"/>
            <w:hideMark/>
          </w:tcPr>
          <w:p w14:paraId="1168E89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Ky projektvendim parashikon përcaktimin e kushteve dhe procedurave për të ndihmuar në përshpejtimin procesin e dhënies së lejeve për prodhimin e energjisë nga burimet e rinovueshme të energjisë. </w:t>
            </w:r>
          </w:p>
        </w:tc>
        <w:tc>
          <w:tcPr>
            <w:tcW w:w="447" w:type="pct"/>
            <w:tcBorders>
              <w:top w:val="nil"/>
              <w:left w:val="nil"/>
              <w:bottom w:val="single" w:sz="4" w:space="0" w:color="auto"/>
              <w:right w:val="single" w:sz="4" w:space="0" w:color="auto"/>
            </w:tcBorders>
            <w:shd w:val="clear" w:color="auto" w:fill="auto"/>
            <w:vAlign w:val="center"/>
            <w:hideMark/>
          </w:tcPr>
          <w:p w14:paraId="00B0757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15 "Energjia"</w:t>
            </w:r>
          </w:p>
        </w:tc>
        <w:tc>
          <w:tcPr>
            <w:tcW w:w="456" w:type="pct"/>
            <w:tcBorders>
              <w:top w:val="nil"/>
              <w:left w:val="nil"/>
              <w:bottom w:val="single" w:sz="4" w:space="0" w:color="auto"/>
              <w:right w:val="single" w:sz="4" w:space="0" w:color="auto"/>
            </w:tcBorders>
            <w:shd w:val="clear" w:color="auto" w:fill="auto"/>
            <w:vAlign w:val="center"/>
            <w:hideMark/>
          </w:tcPr>
          <w:p w14:paraId="0C9783C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 akti vjen ne perputhje me politikat e qeverise mbi sigurinë  e furnizimit me energji elektrike, diversifikimin dhe promovimin e burimeve te rinovueshme te energjise  </w:t>
            </w:r>
          </w:p>
        </w:tc>
        <w:tc>
          <w:tcPr>
            <w:tcW w:w="416" w:type="pct"/>
            <w:tcBorders>
              <w:top w:val="nil"/>
              <w:left w:val="nil"/>
              <w:bottom w:val="single" w:sz="4" w:space="0" w:color="auto"/>
              <w:right w:val="single" w:sz="4" w:space="0" w:color="auto"/>
            </w:tcBorders>
            <w:shd w:val="clear" w:color="auto" w:fill="auto"/>
            <w:vAlign w:val="center"/>
            <w:hideMark/>
          </w:tcPr>
          <w:p w14:paraId="2BA6C3C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Kombëtare e Energjisë 2018-2030, miratuar me Vendimin e Këshillit të Ministrave Nr. 480, datë 31.07.2018.                                                       Vendimit te Këshillit të Ministrave nr. 872 datë 29.12.2021 “Për miratimin e Planit Kombëtar i Energjisë dhe Klimës 2020-2030</w:t>
            </w:r>
          </w:p>
        </w:tc>
        <w:tc>
          <w:tcPr>
            <w:tcW w:w="403" w:type="pct"/>
            <w:tcBorders>
              <w:top w:val="nil"/>
              <w:left w:val="nil"/>
              <w:bottom w:val="single" w:sz="4" w:space="0" w:color="auto"/>
              <w:right w:val="single" w:sz="4" w:space="0" w:color="auto"/>
            </w:tcBorders>
            <w:shd w:val="clear" w:color="auto" w:fill="auto"/>
            <w:noWrap/>
            <w:vAlign w:val="center"/>
            <w:hideMark/>
          </w:tcPr>
          <w:p w14:paraId="37B0A86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1E473088"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025E00D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29</w:t>
            </w:r>
          </w:p>
        </w:tc>
        <w:tc>
          <w:tcPr>
            <w:tcW w:w="524" w:type="pct"/>
            <w:tcBorders>
              <w:top w:val="nil"/>
              <w:left w:val="nil"/>
              <w:bottom w:val="single" w:sz="4" w:space="0" w:color="auto"/>
              <w:right w:val="single" w:sz="4" w:space="0" w:color="auto"/>
            </w:tcBorders>
            <w:shd w:val="clear" w:color="auto" w:fill="auto"/>
            <w:vAlign w:val="center"/>
            <w:hideMark/>
          </w:tcPr>
          <w:p w14:paraId="6B52233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promovimin e mjeteve të transportit rrugor të pastra në mbështetje të lëvizshmërisë me emetim të ulët. </w:t>
            </w:r>
          </w:p>
        </w:tc>
        <w:tc>
          <w:tcPr>
            <w:tcW w:w="311" w:type="pct"/>
            <w:tcBorders>
              <w:top w:val="nil"/>
              <w:left w:val="nil"/>
              <w:bottom w:val="single" w:sz="4" w:space="0" w:color="auto"/>
              <w:right w:val="single" w:sz="4" w:space="0" w:color="auto"/>
            </w:tcBorders>
            <w:shd w:val="clear" w:color="auto" w:fill="auto"/>
            <w:noWrap/>
            <w:vAlign w:val="center"/>
            <w:hideMark/>
          </w:tcPr>
          <w:p w14:paraId="491E1E9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23898D4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6EFED77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419D63F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Transpozimi i Direktivës 2009/33/EC e Parlamentit Evropian dhe e Këshillit e datës 23 Prill 2009 për promovimin e mjeteve të transportit rrugor të pastra në mbështetje të lëvizshmërisë me emetim të ulët. (consolidated version)</w:t>
            </w:r>
            <w:r w:rsidRPr="00727111">
              <w:rPr>
                <w:rFonts w:ascii="Garamond" w:hAnsi="Garamond"/>
                <w:color w:val="000000"/>
                <w:sz w:val="12"/>
                <w:szCs w:val="12"/>
                <w:lang w:eastAsia="sq-AL"/>
              </w:rPr>
              <w:br/>
              <w:t>Amended by:</w:t>
            </w:r>
            <w:r w:rsidRPr="00727111">
              <w:rPr>
                <w:rFonts w:ascii="Garamond" w:hAnsi="Garamond"/>
                <w:color w:val="000000"/>
                <w:sz w:val="12"/>
                <w:szCs w:val="12"/>
                <w:lang w:eastAsia="sq-AL"/>
              </w:rPr>
              <w:br/>
              <w:t xml:space="preserve">M1 Directive (EU) 2019/1161 of the European Parliament and of the Council of 20 June 2019 </w:t>
            </w:r>
            <w:r w:rsidRPr="00727111">
              <w:rPr>
                <w:rFonts w:ascii="Garamond" w:hAnsi="Garamond"/>
                <w:color w:val="000000"/>
                <w:sz w:val="12"/>
                <w:szCs w:val="12"/>
                <w:lang w:eastAsia="sq-AL"/>
              </w:rPr>
              <w:br/>
              <w:t>M2 Decision (EU) 2024/1254 of the European Parliament and of the Council of 24 April 2024</w:t>
            </w:r>
          </w:p>
        </w:tc>
        <w:tc>
          <w:tcPr>
            <w:tcW w:w="678" w:type="pct"/>
            <w:tcBorders>
              <w:top w:val="nil"/>
              <w:left w:val="nil"/>
              <w:bottom w:val="single" w:sz="4" w:space="0" w:color="auto"/>
              <w:right w:val="single" w:sz="4" w:space="0" w:color="auto"/>
            </w:tcBorders>
            <w:shd w:val="clear" w:color="auto" w:fill="auto"/>
            <w:vAlign w:val="center"/>
            <w:hideMark/>
          </w:tcPr>
          <w:p w14:paraId="4E111CA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Të harmonizojnë praktikat dhe tendencat në sektorin e transportit rrugor me objektivat më të gjera të promovimit të qëndrueshmërisë dhe efikasitetit të energjisë </w:t>
            </w:r>
            <w:r w:rsidRPr="00727111">
              <w:rPr>
                <w:rFonts w:ascii="Garamond" w:hAnsi="Garamond"/>
                <w:color w:val="000000"/>
                <w:sz w:val="12"/>
                <w:szCs w:val="12"/>
                <w:lang w:eastAsia="sq-AL"/>
              </w:rPr>
              <w:br/>
              <w:t>Ky akt trajton:                                                          1-Kërkesat e prokurimit për autoritetet publike;</w:t>
            </w:r>
            <w:r w:rsidRPr="00727111">
              <w:rPr>
                <w:rFonts w:ascii="Garamond" w:hAnsi="Garamond"/>
                <w:color w:val="000000"/>
                <w:sz w:val="12"/>
                <w:szCs w:val="12"/>
                <w:lang w:eastAsia="sq-AL"/>
              </w:rPr>
              <w:br/>
              <w:t>2-Specifikimet teknike dhe etiketimi;</w:t>
            </w:r>
          </w:p>
        </w:tc>
        <w:tc>
          <w:tcPr>
            <w:tcW w:w="447" w:type="pct"/>
            <w:tcBorders>
              <w:top w:val="nil"/>
              <w:left w:val="nil"/>
              <w:bottom w:val="single" w:sz="4" w:space="0" w:color="auto"/>
              <w:right w:val="single" w:sz="4" w:space="0" w:color="auto"/>
            </w:tcBorders>
            <w:shd w:val="clear" w:color="auto" w:fill="auto"/>
            <w:vAlign w:val="center"/>
            <w:hideMark/>
          </w:tcPr>
          <w:p w14:paraId="0184FA4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14 "Politikat e transportit"</w:t>
            </w:r>
          </w:p>
        </w:tc>
        <w:tc>
          <w:tcPr>
            <w:tcW w:w="456" w:type="pct"/>
            <w:tcBorders>
              <w:top w:val="nil"/>
              <w:left w:val="nil"/>
              <w:bottom w:val="single" w:sz="4" w:space="0" w:color="auto"/>
              <w:right w:val="single" w:sz="4" w:space="0" w:color="auto"/>
            </w:tcBorders>
            <w:shd w:val="clear" w:color="auto" w:fill="auto"/>
            <w:vAlign w:val="center"/>
            <w:hideMark/>
          </w:tcPr>
          <w:p w14:paraId="6583285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vAlign w:val="center"/>
            <w:hideMark/>
          </w:tcPr>
          <w:p w14:paraId="73AED58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Strategjia Kombetare e Energjisë; Planin Kombëtar për Energjine dhe Klimen </w:t>
            </w:r>
          </w:p>
        </w:tc>
        <w:tc>
          <w:tcPr>
            <w:tcW w:w="403" w:type="pct"/>
            <w:tcBorders>
              <w:top w:val="nil"/>
              <w:left w:val="nil"/>
              <w:bottom w:val="single" w:sz="4" w:space="0" w:color="auto"/>
              <w:right w:val="single" w:sz="4" w:space="0" w:color="auto"/>
            </w:tcBorders>
            <w:shd w:val="clear" w:color="auto" w:fill="auto"/>
            <w:vAlign w:val="center"/>
            <w:hideMark/>
          </w:tcPr>
          <w:p w14:paraId="1541F45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38D296F8"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2C1D881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30</w:t>
            </w:r>
          </w:p>
        </w:tc>
        <w:tc>
          <w:tcPr>
            <w:tcW w:w="524" w:type="pct"/>
            <w:tcBorders>
              <w:top w:val="nil"/>
              <w:left w:val="nil"/>
              <w:bottom w:val="single" w:sz="4" w:space="0" w:color="auto"/>
              <w:right w:val="single" w:sz="4" w:space="0" w:color="auto"/>
            </w:tcBorders>
            <w:shd w:val="clear" w:color="auto" w:fill="auto"/>
            <w:vAlign w:val="center"/>
            <w:hideMark/>
          </w:tcPr>
          <w:p w14:paraId="03FB3E3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Per percaktimin e rregullave te Sistemit Inteligjent te Transportit (ITS) ne fushen e transportit rrugor si  dhe nderlidhja me menyrat e tjera te transportit. </w:t>
            </w:r>
          </w:p>
        </w:tc>
        <w:tc>
          <w:tcPr>
            <w:tcW w:w="311" w:type="pct"/>
            <w:tcBorders>
              <w:top w:val="nil"/>
              <w:left w:val="nil"/>
              <w:bottom w:val="single" w:sz="4" w:space="0" w:color="auto"/>
              <w:right w:val="single" w:sz="4" w:space="0" w:color="auto"/>
            </w:tcBorders>
            <w:shd w:val="clear" w:color="auto" w:fill="auto"/>
            <w:noWrap/>
            <w:vAlign w:val="center"/>
            <w:hideMark/>
          </w:tcPr>
          <w:p w14:paraId="588E859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6EA8DCB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5F28E61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3F0F2F5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Transpozimi i Direktivës  (BE) 2010/40 e Parlamentit Evropian dhe e Keshillit e dates 07.07.2010 per vendosjen e kudrit ligjor te e Sistemeve Inteligjent te Transportit ne fushen e transportit rrugor dhe per nderlidhjen/nderveprimin me menyrat e tjera te transportit. </w:t>
            </w:r>
            <w:r w:rsidRPr="00727111">
              <w:rPr>
                <w:rFonts w:ascii="Garamond" w:hAnsi="Garamond"/>
                <w:color w:val="000000"/>
                <w:sz w:val="12"/>
                <w:szCs w:val="12"/>
                <w:lang w:eastAsia="sq-AL"/>
              </w:rPr>
              <w:br/>
              <w:t xml:space="preserve"> (consolidated version)</w:t>
            </w:r>
            <w:r w:rsidRPr="00727111">
              <w:rPr>
                <w:rFonts w:ascii="Garamond" w:hAnsi="Garamond"/>
                <w:color w:val="000000"/>
                <w:sz w:val="12"/>
                <w:szCs w:val="12"/>
                <w:lang w:eastAsia="sq-AL"/>
              </w:rPr>
              <w:br/>
              <w:t xml:space="preserve">Amended by:  </w:t>
            </w:r>
            <w:r w:rsidRPr="00727111">
              <w:rPr>
                <w:rFonts w:ascii="Garamond" w:hAnsi="Garamond"/>
                <w:color w:val="000000"/>
                <w:sz w:val="12"/>
                <w:szCs w:val="12"/>
                <w:lang w:eastAsia="sq-AL"/>
              </w:rPr>
              <w:br/>
              <w:t>M1 Decision (EU) 2017/2380</w:t>
            </w:r>
            <w:r w:rsidRPr="00727111">
              <w:rPr>
                <w:rFonts w:ascii="Garamond" w:hAnsi="Garamond"/>
                <w:color w:val="000000"/>
                <w:sz w:val="12"/>
                <w:szCs w:val="12"/>
                <w:lang w:eastAsia="sq-AL"/>
              </w:rPr>
              <w:br/>
              <w:t>M2 Directive (EU) 2023/2661</w:t>
            </w:r>
          </w:p>
        </w:tc>
        <w:tc>
          <w:tcPr>
            <w:tcW w:w="678" w:type="pct"/>
            <w:tcBorders>
              <w:top w:val="nil"/>
              <w:left w:val="nil"/>
              <w:bottom w:val="single" w:sz="4" w:space="0" w:color="auto"/>
              <w:right w:val="single" w:sz="4" w:space="0" w:color="auto"/>
            </w:tcBorders>
            <w:shd w:val="clear" w:color="auto" w:fill="auto"/>
            <w:vAlign w:val="center"/>
            <w:hideMark/>
          </w:tcPr>
          <w:p w14:paraId="4498A8B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 Promovimi i shërbimeve të informimit për trafikun për udhëtarët dhe përdoruesit e rrugës, në kohë reale, për të lehtësuar lëvizjen e sigurt dhe të informuar të përdoruesve të rrugës.</w:t>
            </w:r>
            <w:r w:rsidRPr="00727111">
              <w:rPr>
                <w:rFonts w:ascii="Garamond" w:hAnsi="Garamond"/>
                <w:color w:val="000000"/>
                <w:sz w:val="12"/>
                <w:szCs w:val="12"/>
                <w:lang w:eastAsia="sq-AL"/>
              </w:rPr>
              <w:br/>
              <w:t>2. Mbledhja dhe shkëmbimi i të dhënave, duke përcaktuar kërkesat për mbledhjen, përpunimin dhe shpërndarjen e të dhënave për trafikun dhe transportin, duke përfshirë mbrojtjen e të dhënave personale dhe privatësisë së përdoruesve të ITS.</w:t>
            </w:r>
            <w:r w:rsidRPr="00727111">
              <w:rPr>
                <w:rFonts w:ascii="Garamond" w:hAnsi="Garamond"/>
                <w:color w:val="000000"/>
                <w:sz w:val="12"/>
                <w:szCs w:val="12"/>
                <w:lang w:eastAsia="sq-AL"/>
              </w:rPr>
              <w:br/>
              <w:t>3. Rritja e sigurisë dhe e mbrojtjes së rrugëve, duke pasur në fokus parandalimin e aksidenteve dhe minimizimin e rreziqeve për përdoruesit e rrugës.</w:t>
            </w:r>
            <w:r w:rsidRPr="00727111">
              <w:rPr>
                <w:rFonts w:ascii="Garamond" w:hAnsi="Garamond"/>
                <w:color w:val="000000"/>
                <w:sz w:val="12"/>
                <w:szCs w:val="12"/>
                <w:lang w:eastAsia="sq-AL"/>
              </w:rPr>
              <w:br/>
              <w:t xml:space="preserve">Direktiva krijon një bazë për zhvillimin e teknologjive të transportit inteligjent në mënyrë të unifikuar dhe të qëndrueshme, duke synuar një sistem transporti më të sigurt, efikas </w:t>
            </w:r>
          </w:p>
        </w:tc>
        <w:tc>
          <w:tcPr>
            <w:tcW w:w="447" w:type="pct"/>
            <w:tcBorders>
              <w:top w:val="nil"/>
              <w:left w:val="nil"/>
              <w:bottom w:val="single" w:sz="4" w:space="0" w:color="auto"/>
              <w:right w:val="single" w:sz="4" w:space="0" w:color="auto"/>
            </w:tcBorders>
            <w:shd w:val="clear" w:color="auto" w:fill="auto"/>
            <w:vAlign w:val="center"/>
            <w:hideMark/>
          </w:tcPr>
          <w:p w14:paraId="2F8CB16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14 "Politikat e transportit"</w:t>
            </w:r>
          </w:p>
        </w:tc>
        <w:tc>
          <w:tcPr>
            <w:tcW w:w="456" w:type="pct"/>
            <w:tcBorders>
              <w:top w:val="nil"/>
              <w:left w:val="nil"/>
              <w:bottom w:val="single" w:sz="4" w:space="0" w:color="auto"/>
              <w:right w:val="single" w:sz="4" w:space="0" w:color="auto"/>
            </w:tcBorders>
            <w:shd w:val="clear" w:color="auto" w:fill="auto"/>
            <w:vAlign w:val="center"/>
            <w:hideMark/>
          </w:tcPr>
          <w:p w14:paraId="437F404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vAlign w:val="center"/>
            <w:hideMark/>
          </w:tcPr>
          <w:p w14:paraId="03D16E3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për aplikimin e sistemeve inteligjente në transportin rrugor”</w:t>
            </w:r>
          </w:p>
        </w:tc>
        <w:tc>
          <w:tcPr>
            <w:tcW w:w="403" w:type="pct"/>
            <w:tcBorders>
              <w:top w:val="nil"/>
              <w:left w:val="nil"/>
              <w:bottom w:val="single" w:sz="4" w:space="0" w:color="auto"/>
              <w:right w:val="single" w:sz="4" w:space="0" w:color="auto"/>
            </w:tcBorders>
            <w:shd w:val="clear" w:color="auto" w:fill="auto"/>
            <w:vAlign w:val="center"/>
            <w:hideMark/>
          </w:tcPr>
          <w:p w14:paraId="147DCA9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0983825D"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01F668D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31</w:t>
            </w:r>
          </w:p>
        </w:tc>
        <w:tc>
          <w:tcPr>
            <w:tcW w:w="524" w:type="pct"/>
            <w:tcBorders>
              <w:top w:val="nil"/>
              <w:left w:val="nil"/>
              <w:bottom w:val="single" w:sz="4" w:space="0" w:color="auto"/>
              <w:right w:val="single" w:sz="4" w:space="0" w:color="auto"/>
            </w:tcBorders>
            <w:shd w:val="clear" w:color="auto" w:fill="auto"/>
            <w:vAlign w:val="center"/>
            <w:hideMark/>
          </w:tcPr>
          <w:p w14:paraId="65208AD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vendosjen e infrastrukturës së karburanteve alternative </w:t>
            </w:r>
          </w:p>
        </w:tc>
        <w:tc>
          <w:tcPr>
            <w:tcW w:w="311" w:type="pct"/>
            <w:tcBorders>
              <w:top w:val="nil"/>
              <w:left w:val="nil"/>
              <w:bottom w:val="single" w:sz="4" w:space="0" w:color="auto"/>
              <w:right w:val="single" w:sz="4" w:space="0" w:color="auto"/>
            </w:tcBorders>
            <w:shd w:val="clear" w:color="auto" w:fill="auto"/>
            <w:noWrap/>
            <w:vAlign w:val="center"/>
            <w:hideMark/>
          </w:tcPr>
          <w:p w14:paraId="2C7A732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0A0A05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5D342F8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360F321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Tranpozimi i Rregullores  (BE) 2023/1804 e Parlamentit Evropian dhe e Këshillit e datës 13 shtator 2023 për vendosjen e infrastrukturës së karburanteve alternative dhe shfuqizimin e Direktivës 2014/94/BE. </w:t>
            </w:r>
          </w:p>
        </w:tc>
        <w:tc>
          <w:tcPr>
            <w:tcW w:w="678" w:type="pct"/>
            <w:tcBorders>
              <w:top w:val="nil"/>
              <w:left w:val="nil"/>
              <w:bottom w:val="single" w:sz="4" w:space="0" w:color="auto"/>
              <w:right w:val="single" w:sz="4" w:space="0" w:color="auto"/>
            </w:tcBorders>
            <w:shd w:val="clear" w:color="auto" w:fill="auto"/>
            <w:vAlign w:val="center"/>
            <w:hideMark/>
          </w:tcPr>
          <w:p w14:paraId="000282F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1. Vendosja e infrastrukturës për karburantet alternative lidhur me zgjerimin e  infrastrukturën për karburantet alternative.</w:t>
            </w:r>
            <w:r w:rsidRPr="00727111">
              <w:rPr>
                <w:rFonts w:ascii="Garamond" w:hAnsi="Garamond"/>
                <w:color w:val="000000"/>
                <w:sz w:val="12"/>
                <w:szCs w:val="12"/>
                <w:lang w:eastAsia="sq-AL"/>
              </w:rPr>
              <w:br/>
              <w:t xml:space="preserve">2. Standardizimi dhe interoperabiliteti i infrastrukturës lidhur me stacionet e karburanteve alternative për të qenë të standardizuara dhe të ndërveprueshme. </w:t>
            </w:r>
            <w:r w:rsidRPr="00727111">
              <w:rPr>
                <w:rFonts w:ascii="Garamond" w:hAnsi="Garamond"/>
                <w:color w:val="000000"/>
                <w:sz w:val="12"/>
                <w:szCs w:val="12"/>
                <w:lang w:eastAsia="sq-AL"/>
              </w:rPr>
              <w:br/>
              <w:t xml:space="preserve">3. Vendosja e targeteve të detajuara dhe afateve lidhur me përcaktimin e objektivave për numrin e pikave të karikimit dhe kapacitetin e furnizimit, me afate kohore specifike, për të siguruar një shpërndarje të qëndrueshme dhe të mjaftueshme të infrastrukturës. </w:t>
            </w:r>
            <w:r w:rsidRPr="00727111">
              <w:rPr>
                <w:rFonts w:ascii="Garamond" w:hAnsi="Garamond"/>
                <w:color w:val="000000"/>
                <w:sz w:val="12"/>
                <w:szCs w:val="12"/>
                <w:lang w:eastAsia="sq-AL"/>
              </w:rPr>
              <w:br/>
              <w:t>4. Reduktimi i emetimeve dhe mbështetja e tranzicionit të gjelbër: Synon të reduktojë ndotjen nga sektori i transportit, duke mbështetur kalimin në karburante alternative me emetime të ulëta ose zero, në përputhje me objektivat e BE-së për klimën dhe energjinë</w:t>
            </w:r>
          </w:p>
        </w:tc>
        <w:tc>
          <w:tcPr>
            <w:tcW w:w="447" w:type="pct"/>
            <w:tcBorders>
              <w:top w:val="nil"/>
              <w:left w:val="nil"/>
              <w:bottom w:val="single" w:sz="4" w:space="0" w:color="auto"/>
              <w:right w:val="single" w:sz="4" w:space="0" w:color="auto"/>
            </w:tcBorders>
            <w:shd w:val="clear" w:color="auto" w:fill="auto"/>
            <w:vAlign w:val="center"/>
            <w:hideMark/>
          </w:tcPr>
          <w:p w14:paraId="7B66FDF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14 "Politikat e transportit"</w:t>
            </w:r>
          </w:p>
        </w:tc>
        <w:tc>
          <w:tcPr>
            <w:tcW w:w="456" w:type="pct"/>
            <w:tcBorders>
              <w:top w:val="nil"/>
              <w:left w:val="nil"/>
              <w:bottom w:val="single" w:sz="4" w:space="0" w:color="auto"/>
              <w:right w:val="single" w:sz="4" w:space="0" w:color="auto"/>
            </w:tcBorders>
            <w:shd w:val="clear" w:color="auto" w:fill="auto"/>
            <w:vAlign w:val="center"/>
            <w:hideMark/>
          </w:tcPr>
          <w:p w14:paraId="3928F9F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vAlign w:val="center"/>
            <w:hideMark/>
          </w:tcPr>
          <w:p w14:paraId="74096FD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Strategjia Kombetare e Energjisë; Planin Kombëtar për Energjine dhe Klimen </w:t>
            </w:r>
          </w:p>
        </w:tc>
        <w:tc>
          <w:tcPr>
            <w:tcW w:w="403" w:type="pct"/>
            <w:tcBorders>
              <w:top w:val="nil"/>
              <w:left w:val="nil"/>
              <w:bottom w:val="single" w:sz="4" w:space="0" w:color="auto"/>
              <w:right w:val="single" w:sz="4" w:space="0" w:color="auto"/>
            </w:tcBorders>
            <w:shd w:val="clear" w:color="auto" w:fill="auto"/>
            <w:noWrap/>
            <w:vAlign w:val="center"/>
            <w:hideMark/>
          </w:tcPr>
          <w:p w14:paraId="2914440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1D746CBD"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152CE2E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32</w:t>
            </w:r>
          </w:p>
        </w:tc>
        <w:tc>
          <w:tcPr>
            <w:tcW w:w="524" w:type="pct"/>
            <w:tcBorders>
              <w:top w:val="nil"/>
              <w:left w:val="nil"/>
              <w:bottom w:val="single" w:sz="4" w:space="0" w:color="auto"/>
              <w:right w:val="single" w:sz="4" w:space="0" w:color="auto"/>
            </w:tcBorders>
            <w:shd w:val="clear" w:color="auto" w:fill="auto"/>
            <w:vAlign w:val="center"/>
            <w:hideMark/>
          </w:tcPr>
          <w:p w14:paraId="7608BB4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disa ndryshime ne Vendimin nr. 411, date 19.06.2024 të Këshillit të Ministrave "Për miratimin e Programit Kombëtar të Sigurisë së Aviacionit Civil"</w:t>
            </w:r>
          </w:p>
        </w:tc>
        <w:tc>
          <w:tcPr>
            <w:tcW w:w="311" w:type="pct"/>
            <w:tcBorders>
              <w:top w:val="nil"/>
              <w:left w:val="nil"/>
              <w:bottom w:val="single" w:sz="4" w:space="0" w:color="auto"/>
              <w:right w:val="single" w:sz="4" w:space="0" w:color="auto"/>
            </w:tcBorders>
            <w:shd w:val="clear" w:color="auto" w:fill="auto"/>
            <w:noWrap/>
            <w:vAlign w:val="center"/>
            <w:hideMark/>
          </w:tcPr>
          <w:p w14:paraId="4806C34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467E651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79FA001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06E19A0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Korrigimi i mangësive dhe përmbushja e rekomandimeve të Auditit të Sigurisë të ICAO-s</w:t>
            </w:r>
          </w:p>
        </w:tc>
        <w:tc>
          <w:tcPr>
            <w:tcW w:w="678" w:type="pct"/>
            <w:tcBorders>
              <w:top w:val="nil"/>
              <w:left w:val="nil"/>
              <w:bottom w:val="single" w:sz="4" w:space="0" w:color="auto"/>
              <w:right w:val="single" w:sz="4" w:space="0" w:color="auto"/>
            </w:tcBorders>
            <w:shd w:val="clear" w:color="auto" w:fill="auto"/>
            <w:vAlign w:val="center"/>
            <w:hideMark/>
          </w:tcPr>
          <w:p w14:paraId="17DE5F7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Rregullimin e harmonizuar të detyrimeve ndërkombëtare në fushën e sigurisë së aviacionit civil </w:t>
            </w:r>
          </w:p>
        </w:tc>
        <w:tc>
          <w:tcPr>
            <w:tcW w:w="447" w:type="pct"/>
            <w:tcBorders>
              <w:top w:val="nil"/>
              <w:left w:val="nil"/>
              <w:bottom w:val="single" w:sz="4" w:space="0" w:color="auto"/>
              <w:right w:val="single" w:sz="4" w:space="0" w:color="auto"/>
            </w:tcBorders>
            <w:shd w:val="clear" w:color="auto" w:fill="auto"/>
            <w:noWrap/>
            <w:vAlign w:val="center"/>
            <w:hideMark/>
          </w:tcPr>
          <w:p w14:paraId="49008A0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56" w:type="pct"/>
            <w:tcBorders>
              <w:top w:val="nil"/>
              <w:left w:val="nil"/>
              <w:bottom w:val="single" w:sz="4" w:space="0" w:color="auto"/>
              <w:right w:val="single" w:sz="4" w:space="0" w:color="auto"/>
            </w:tcBorders>
            <w:shd w:val="clear" w:color="auto" w:fill="auto"/>
            <w:vAlign w:val="center"/>
            <w:hideMark/>
          </w:tcPr>
          <w:p w14:paraId="34BB304A" w14:textId="77777777" w:rsidR="00456A99" w:rsidRPr="00727111" w:rsidRDefault="00456A99" w:rsidP="00456A99">
            <w:pPr>
              <w:jc w:val="center"/>
              <w:rPr>
                <w:rFonts w:ascii="Garamond" w:hAnsi="Garamond"/>
                <w:sz w:val="12"/>
                <w:szCs w:val="12"/>
                <w:lang w:eastAsia="sq-AL"/>
              </w:rPr>
            </w:pPr>
            <w:r w:rsidRPr="00727111">
              <w:rPr>
                <w:rFonts w:ascii="Garamond" w:hAnsi="Garamond"/>
                <w:sz w:val="12"/>
                <w:szCs w:val="12"/>
                <w:lang w:eastAsia="sq-AL"/>
              </w:rPr>
              <w:t>Jo</w:t>
            </w:r>
          </w:p>
        </w:tc>
        <w:tc>
          <w:tcPr>
            <w:tcW w:w="416" w:type="pct"/>
            <w:tcBorders>
              <w:top w:val="nil"/>
              <w:left w:val="nil"/>
              <w:bottom w:val="single" w:sz="4" w:space="0" w:color="auto"/>
              <w:right w:val="single" w:sz="4" w:space="0" w:color="auto"/>
            </w:tcBorders>
            <w:shd w:val="clear" w:color="auto" w:fill="auto"/>
            <w:noWrap/>
            <w:vAlign w:val="center"/>
            <w:hideMark/>
          </w:tcPr>
          <w:p w14:paraId="0C385E4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noWrap/>
            <w:vAlign w:val="center"/>
            <w:hideMark/>
          </w:tcPr>
          <w:p w14:paraId="69848F2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43D1685A"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167C508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33</w:t>
            </w:r>
          </w:p>
        </w:tc>
        <w:tc>
          <w:tcPr>
            <w:tcW w:w="524" w:type="pct"/>
            <w:tcBorders>
              <w:top w:val="nil"/>
              <w:left w:val="nil"/>
              <w:bottom w:val="single" w:sz="4" w:space="0" w:color="auto"/>
              <w:right w:val="single" w:sz="4" w:space="0" w:color="auto"/>
            </w:tcBorders>
            <w:shd w:val="clear" w:color="FFFFFF" w:fill="FFFFFF"/>
            <w:vAlign w:val="center"/>
            <w:hideMark/>
          </w:tcPr>
          <w:p w14:paraId="3A29F18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"Mbi objektet e shërbimeve portuale për dorëzimin e mbetjeve nga anijet PRF"</w:t>
            </w:r>
          </w:p>
        </w:tc>
        <w:tc>
          <w:tcPr>
            <w:tcW w:w="311" w:type="pct"/>
            <w:tcBorders>
              <w:top w:val="nil"/>
              <w:left w:val="nil"/>
              <w:bottom w:val="single" w:sz="4" w:space="0" w:color="auto"/>
              <w:right w:val="single" w:sz="4" w:space="0" w:color="auto"/>
            </w:tcBorders>
            <w:shd w:val="clear" w:color="auto" w:fill="auto"/>
            <w:noWrap/>
            <w:vAlign w:val="center"/>
            <w:hideMark/>
          </w:tcPr>
          <w:p w14:paraId="7624BC5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A5B053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10E3E91F"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FFFFFF" w:fill="FFFFFF"/>
            <w:vAlign w:val="center"/>
            <w:hideMark/>
          </w:tcPr>
          <w:p w14:paraId="1273118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Mbrojtja e mjedisit detar nga efektet negative nga shkarkimet e mbetjeve nga anijet që përdorin portet e vendosura në Republikën e Shqipërisë, duke siguruar njëkohësisht funksionimin normal të trafikut detar, duke përmirësuar disponueshmërinë dhe përdorimin e objekteve të përshtatshme të pritjes portuale dhe dërgimin e mbetjeve në ato objektet. Sigurimi i grumbullimit të veçantë për të lehtësuar ripërdorimin dhe riciklimin e mbetjeve nga anijet në porte siç kërkohet nga ligji i Bashkimit Evropian për mbetjet.</w:t>
            </w:r>
          </w:p>
        </w:tc>
        <w:tc>
          <w:tcPr>
            <w:tcW w:w="678" w:type="pct"/>
            <w:tcBorders>
              <w:top w:val="nil"/>
              <w:left w:val="nil"/>
              <w:bottom w:val="single" w:sz="4" w:space="0" w:color="auto"/>
              <w:right w:val="single" w:sz="4" w:space="0" w:color="auto"/>
            </w:tcBorders>
            <w:shd w:val="clear" w:color="auto" w:fill="auto"/>
            <w:vAlign w:val="center"/>
            <w:hideMark/>
          </w:tcPr>
          <w:p w14:paraId="6373EB3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Plani i pritjes dhe trajtimit të mbeturinave  , i zbatuar për mjediset e pritjes së portit (në vijim: MPP) përcakton procedurën e pranimit dhe trajtimit të mbetjeve nga anijet e marra nga një anije që ankorohet në portet e vendosura në territorin e Republikës së Shqipërisë dhe përcakton kërkesat organizative për njoftimin, dorëzimin, dhe pranimin e mbeturinave nga anijet (në vijim të referuara si "Portet").</w:t>
            </w:r>
          </w:p>
        </w:tc>
        <w:tc>
          <w:tcPr>
            <w:tcW w:w="447" w:type="pct"/>
            <w:tcBorders>
              <w:top w:val="nil"/>
              <w:left w:val="nil"/>
              <w:bottom w:val="single" w:sz="4" w:space="0" w:color="auto"/>
              <w:right w:val="single" w:sz="4" w:space="0" w:color="auto"/>
            </w:tcBorders>
            <w:shd w:val="clear" w:color="auto" w:fill="auto"/>
            <w:vAlign w:val="center"/>
            <w:hideMark/>
          </w:tcPr>
          <w:p w14:paraId="7112826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14 "Politikat e transportit"</w:t>
            </w:r>
          </w:p>
        </w:tc>
        <w:tc>
          <w:tcPr>
            <w:tcW w:w="456" w:type="pct"/>
            <w:tcBorders>
              <w:top w:val="nil"/>
              <w:left w:val="nil"/>
              <w:bottom w:val="single" w:sz="4" w:space="0" w:color="auto"/>
              <w:right w:val="single" w:sz="4" w:space="0" w:color="auto"/>
            </w:tcBorders>
            <w:shd w:val="clear" w:color="auto" w:fill="auto"/>
            <w:noWrap/>
            <w:vAlign w:val="center"/>
            <w:hideMark/>
          </w:tcPr>
          <w:p w14:paraId="6E218DD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vAlign w:val="center"/>
            <w:hideMark/>
          </w:tcPr>
          <w:p w14:paraId="184A9A6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Nuk ka lidhje me strategjite kombetare dhe sektoriale.</w:t>
            </w:r>
          </w:p>
        </w:tc>
        <w:tc>
          <w:tcPr>
            <w:tcW w:w="403" w:type="pct"/>
            <w:tcBorders>
              <w:top w:val="nil"/>
              <w:left w:val="nil"/>
              <w:bottom w:val="single" w:sz="4" w:space="0" w:color="auto"/>
              <w:right w:val="single" w:sz="4" w:space="0" w:color="auto"/>
            </w:tcBorders>
            <w:shd w:val="clear" w:color="auto" w:fill="auto"/>
            <w:vAlign w:val="center"/>
            <w:hideMark/>
          </w:tcPr>
          <w:p w14:paraId="0112A85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Ndikime Mjedisore, ekonomike ka. Efekte financiare per buxhetin e shtetit nuk ka.</w:t>
            </w:r>
          </w:p>
        </w:tc>
      </w:tr>
      <w:tr w:rsidR="00456A99" w:rsidRPr="00727111" w14:paraId="48D65369"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539D0E80"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34</w:t>
            </w:r>
          </w:p>
        </w:tc>
        <w:tc>
          <w:tcPr>
            <w:tcW w:w="524" w:type="pct"/>
            <w:tcBorders>
              <w:top w:val="nil"/>
              <w:left w:val="nil"/>
              <w:bottom w:val="single" w:sz="4" w:space="0" w:color="auto"/>
              <w:right w:val="single" w:sz="4" w:space="0" w:color="auto"/>
            </w:tcBorders>
            <w:shd w:val="clear" w:color="auto" w:fill="auto"/>
            <w:vAlign w:val="center"/>
            <w:hideMark/>
          </w:tcPr>
          <w:p w14:paraId="4B42269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ngritjen e një sistemi të monitorimit dhe informacionit të trafikut të anijeve te Komunitetit"</w:t>
            </w:r>
          </w:p>
        </w:tc>
        <w:tc>
          <w:tcPr>
            <w:tcW w:w="311" w:type="pct"/>
            <w:tcBorders>
              <w:top w:val="nil"/>
              <w:left w:val="nil"/>
              <w:bottom w:val="single" w:sz="4" w:space="0" w:color="auto"/>
              <w:right w:val="single" w:sz="4" w:space="0" w:color="auto"/>
            </w:tcBorders>
            <w:shd w:val="clear" w:color="auto" w:fill="auto"/>
            <w:noWrap/>
            <w:vAlign w:val="center"/>
            <w:hideMark/>
          </w:tcPr>
          <w:p w14:paraId="43CEF30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54F1A2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76AB419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23009F7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Ngritja e një sistemi monitorimi dhe informacioni të trafikut të anijeve me synimin për të rritur sigurinë dhe efikasitetin e trafikut detar, përmirësimin e reagimit të autoriteteve ndaj incidenteve, aksidenteve ose situatave potencialisht të rrezikshme në det, duke përfshirë operacionet e kërkim-shpëtimit dhe kontributin në një parandalim më të mirë dhe zbulimin e ndotjes nga anijet.</w:t>
            </w:r>
            <w:r w:rsidRPr="00727111">
              <w:rPr>
                <w:rFonts w:ascii="Garamond" w:hAnsi="Garamond"/>
                <w:color w:val="000000"/>
                <w:sz w:val="12"/>
                <w:szCs w:val="12"/>
                <w:lang w:eastAsia="sq-AL"/>
              </w:rPr>
              <w:br/>
            </w:r>
            <w:r w:rsidRPr="00727111">
              <w:rPr>
                <w:rFonts w:ascii="Garamond" w:hAnsi="Garamond"/>
                <w:color w:val="000000"/>
                <w:sz w:val="12"/>
                <w:szCs w:val="12"/>
                <w:lang w:eastAsia="sq-AL"/>
              </w:rPr>
              <w:br/>
              <w:t>Shteti monitoron dhe merr të gjitha masat e nevojshme dhe të përshtatshme për të siguruar që kapitenët, operatorët ose agjentët e anijeve, si dhe transportuesit ose pronarët e mallrave të rrezikshme ose ndotëse të transportuara në bordin e këtyre anijeve, të jenë në përputhje me kërkesat e kësaj direktive.</w:t>
            </w:r>
          </w:p>
        </w:tc>
        <w:tc>
          <w:tcPr>
            <w:tcW w:w="678" w:type="pct"/>
            <w:tcBorders>
              <w:top w:val="nil"/>
              <w:left w:val="nil"/>
              <w:bottom w:val="single" w:sz="4" w:space="0" w:color="auto"/>
              <w:right w:val="single" w:sz="4" w:space="0" w:color="auto"/>
            </w:tcBorders>
            <w:shd w:val="clear" w:color="auto" w:fill="auto"/>
            <w:vAlign w:val="center"/>
            <w:hideMark/>
          </w:tcPr>
          <w:p w14:paraId="69F26F1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Pavarësisht faktit se sistemi VTMIS ende nuk është zbatuar në Republikën e Shqipërisë, trafiku i anijeve dhe anijeve në Ujërat Territoriale monitorohet 24/24 sipas Kuadrit Ligjor shqiptar. *Trafiku Detar Shqiptar* është një sistem i dedikuar për trafikun e anijeve dhe operon brenda Ujërave Territoriale të Republikës së Shqipërisë. Ky sistem ofron informacion të dedikuar të ndarë nga çdo lloj anijeje që viziton portet shqiptare. Të gjitha autoritetet që janë të përfshira në Monitorimin e Trafikut të Anijeve dhe procedurat e mbërritjes dhe largimit të anijeve kanë akses në këtë sistem *Trafiku Detar Shqiptar* për të marrë dhe përpunuar të dhënat e nevojshme.</w:t>
            </w:r>
          </w:p>
        </w:tc>
        <w:tc>
          <w:tcPr>
            <w:tcW w:w="447" w:type="pct"/>
            <w:tcBorders>
              <w:top w:val="nil"/>
              <w:left w:val="nil"/>
              <w:bottom w:val="single" w:sz="4" w:space="0" w:color="auto"/>
              <w:right w:val="single" w:sz="4" w:space="0" w:color="auto"/>
            </w:tcBorders>
            <w:shd w:val="clear" w:color="auto" w:fill="auto"/>
            <w:vAlign w:val="center"/>
            <w:hideMark/>
          </w:tcPr>
          <w:p w14:paraId="149BF36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14 "Politikat e transportit"</w:t>
            </w:r>
          </w:p>
        </w:tc>
        <w:tc>
          <w:tcPr>
            <w:tcW w:w="456" w:type="pct"/>
            <w:tcBorders>
              <w:top w:val="nil"/>
              <w:left w:val="nil"/>
              <w:bottom w:val="single" w:sz="4" w:space="0" w:color="auto"/>
              <w:right w:val="single" w:sz="4" w:space="0" w:color="auto"/>
            </w:tcBorders>
            <w:shd w:val="clear" w:color="auto" w:fill="auto"/>
            <w:noWrap/>
            <w:vAlign w:val="center"/>
            <w:hideMark/>
          </w:tcPr>
          <w:p w14:paraId="3DD4DB6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16" w:type="pct"/>
            <w:tcBorders>
              <w:top w:val="nil"/>
              <w:left w:val="nil"/>
              <w:bottom w:val="single" w:sz="4" w:space="0" w:color="auto"/>
              <w:right w:val="single" w:sz="4" w:space="0" w:color="auto"/>
            </w:tcBorders>
            <w:shd w:val="clear" w:color="auto" w:fill="auto"/>
            <w:vAlign w:val="center"/>
            <w:hideMark/>
          </w:tcPr>
          <w:p w14:paraId="29F0FDD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vAlign w:val="center"/>
            <w:hideMark/>
          </w:tcPr>
          <w:p w14:paraId="1D4706A3" w14:textId="77777777" w:rsidR="00456A99" w:rsidRPr="00727111" w:rsidRDefault="00456A99" w:rsidP="00456A99">
            <w:pPr>
              <w:jc w:val="center"/>
              <w:rPr>
                <w:rFonts w:ascii="Garamond" w:hAnsi="Garamond"/>
                <w:sz w:val="12"/>
                <w:szCs w:val="12"/>
                <w:lang w:eastAsia="sq-AL"/>
              </w:rPr>
            </w:pPr>
            <w:r w:rsidRPr="00727111">
              <w:rPr>
                <w:rFonts w:ascii="Garamond" w:hAnsi="Garamond"/>
                <w:sz w:val="12"/>
                <w:szCs w:val="12"/>
                <w:lang w:eastAsia="sq-AL"/>
              </w:rPr>
              <w:t>Po</w:t>
            </w:r>
          </w:p>
        </w:tc>
      </w:tr>
      <w:tr w:rsidR="00456A99" w:rsidRPr="00727111" w14:paraId="0CD81337"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614AC5D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35</w:t>
            </w:r>
          </w:p>
        </w:tc>
        <w:tc>
          <w:tcPr>
            <w:tcW w:w="524" w:type="pct"/>
            <w:tcBorders>
              <w:top w:val="nil"/>
              <w:left w:val="nil"/>
              <w:bottom w:val="single" w:sz="4" w:space="0" w:color="auto"/>
              <w:right w:val="single" w:sz="4" w:space="0" w:color="auto"/>
            </w:tcBorders>
            <w:shd w:val="clear" w:color="auto" w:fill="auto"/>
            <w:vAlign w:val="center"/>
            <w:hideMark/>
          </w:tcPr>
          <w:p w14:paraId="0C9411F6"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Strategjisë Kombëtare te Menaxhimit të Llumit</w:t>
            </w:r>
          </w:p>
        </w:tc>
        <w:tc>
          <w:tcPr>
            <w:tcW w:w="311" w:type="pct"/>
            <w:tcBorders>
              <w:top w:val="nil"/>
              <w:left w:val="nil"/>
              <w:bottom w:val="single" w:sz="4" w:space="0" w:color="auto"/>
              <w:right w:val="single" w:sz="4" w:space="0" w:color="auto"/>
            </w:tcBorders>
            <w:shd w:val="clear" w:color="auto" w:fill="auto"/>
            <w:noWrap/>
            <w:vAlign w:val="center"/>
            <w:hideMark/>
          </w:tcPr>
          <w:p w14:paraId="2781C9D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3928C47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6C0541F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20C0D14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Ky projekt vendim zhvillon kuadrin strategjik për menaxhimin e llumit në nivel kombëtar, si dhe përcakton kërkesat teknike, financiare legjislative dhe administrative për të mundësuar zbatimin praktik të qasjes së menaxhimit të llumit në raport me zhvillimin e projekteve të infrastrukturës së ujërave të ndotura në të ardhmen.</w:t>
            </w:r>
          </w:p>
        </w:tc>
        <w:tc>
          <w:tcPr>
            <w:tcW w:w="678" w:type="pct"/>
            <w:tcBorders>
              <w:top w:val="nil"/>
              <w:left w:val="nil"/>
              <w:bottom w:val="single" w:sz="4" w:space="0" w:color="auto"/>
              <w:right w:val="single" w:sz="4" w:space="0" w:color="auto"/>
            </w:tcBorders>
            <w:shd w:val="clear" w:color="auto" w:fill="auto"/>
            <w:vAlign w:val="center"/>
            <w:hideMark/>
          </w:tcPr>
          <w:p w14:paraId="2028CF1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Ky projekt vendim ka si objektiv të përgjithshëm:                                               - mbrojtjen e mjedisit nga efektet negative të ujërave të zeza urbane nëpërmjet grumbullimit dhe trajtimit të tyre përpara shkarkimit;                                                  -sigurimin e furnizimit me ujë të pijshëm të sigurt;                                                                    - rritjen e kapacitetit të menaxhimit të ujit.             Gjithashtu, përfshihen masat për zhvillimin e ardhshëm të projekteve të investimeve të qëndrueshme për ujin në mënyrë që të zbatohen kërkesat e Direktivës së Trajtimit të Ujërave të zeza Urbane (DTUZU) dhe Direktivës së Ujit të Pijshëm.</w:t>
            </w:r>
          </w:p>
        </w:tc>
        <w:tc>
          <w:tcPr>
            <w:tcW w:w="447" w:type="pct"/>
            <w:tcBorders>
              <w:top w:val="nil"/>
              <w:left w:val="nil"/>
              <w:bottom w:val="single" w:sz="4" w:space="0" w:color="auto"/>
              <w:right w:val="single" w:sz="4" w:space="0" w:color="auto"/>
            </w:tcBorders>
            <w:shd w:val="clear" w:color="auto" w:fill="auto"/>
            <w:vAlign w:val="center"/>
            <w:hideMark/>
          </w:tcPr>
          <w:p w14:paraId="589D270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27 "Mjedisi"</w:t>
            </w:r>
          </w:p>
        </w:tc>
        <w:tc>
          <w:tcPr>
            <w:tcW w:w="456" w:type="pct"/>
            <w:tcBorders>
              <w:top w:val="nil"/>
              <w:left w:val="nil"/>
              <w:bottom w:val="single" w:sz="4" w:space="0" w:color="auto"/>
              <w:right w:val="single" w:sz="4" w:space="0" w:color="auto"/>
            </w:tcBorders>
            <w:shd w:val="clear" w:color="auto" w:fill="auto"/>
            <w:vAlign w:val="center"/>
            <w:hideMark/>
          </w:tcPr>
          <w:p w14:paraId="1FEE2B0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investime në fushën e ujësjellës- kanalizimeve</w:t>
            </w:r>
          </w:p>
        </w:tc>
        <w:tc>
          <w:tcPr>
            <w:tcW w:w="416" w:type="pct"/>
            <w:tcBorders>
              <w:top w:val="nil"/>
              <w:left w:val="nil"/>
              <w:bottom w:val="single" w:sz="4" w:space="0" w:color="auto"/>
              <w:right w:val="single" w:sz="4" w:space="0" w:color="auto"/>
            </w:tcBorders>
            <w:shd w:val="clear" w:color="auto" w:fill="auto"/>
            <w:vAlign w:val="center"/>
            <w:hideMark/>
          </w:tcPr>
          <w:p w14:paraId="0EF67BD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SKZHI, Është Strategji</w:t>
            </w:r>
          </w:p>
        </w:tc>
        <w:tc>
          <w:tcPr>
            <w:tcW w:w="403" w:type="pct"/>
            <w:tcBorders>
              <w:top w:val="nil"/>
              <w:left w:val="nil"/>
              <w:bottom w:val="single" w:sz="4" w:space="0" w:color="auto"/>
              <w:right w:val="single" w:sz="4" w:space="0" w:color="auto"/>
            </w:tcBorders>
            <w:shd w:val="clear" w:color="auto" w:fill="auto"/>
            <w:noWrap/>
            <w:vAlign w:val="center"/>
            <w:hideMark/>
          </w:tcPr>
          <w:p w14:paraId="20F908E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6C046932"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5865D16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36</w:t>
            </w:r>
          </w:p>
        </w:tc>
        <w:tc>
          <w:tcPr>
            <w:tcW w:w="524" w:type="pct"/>
            <w:tcBorders>
              <w:top w:val="nil"/>
              <w:left w:val="nil"/>
              <w:bottom w:val="single" w:sz="4" w:space="0" w:color="auto"/>
              <w:right w:val="single" w:sz="4" w:space="0" w:color="auto"/>
            </w:tcBorders>
            <w:shd w:val="clear" w:color="auto" w:fill="auto"/>
            <w:vAlign w:val="center"/>
            <w:hideMark/>
          </w:tcPr>
          <w:p w14:paraId="551F9E55"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miratimin e programit të veprimit 3-vjeçar, 2025-2027, për zhvillimin e aktivitetit minerar dhe përcaktimin e zonave minerare të rrezikshme”. </w:t>
            </w:r>
          </w:p>
        </w:tc>
        <w:tc>
          <w:tcPr>
            <w:tcW w:w="311" w:type="pct"/>
            <w:tcBorders>
              <w:top w:val="nil"/>
              <w:left w:val="nil"/>
              <w:bottom w:val="single" w:sz="4" w:space="0" w:color="auto"/>
              <w:right w:val="single" w:sz="4" w:space="0" w:color="auto"/>
            </w:tcBorders>
            <w:shd w:val="clear" w:color="auto" w:fill="auto"/>
            <w:noWrap/>
            <w:vAlign w:val="center"/>
            <w:hideMark/>
          </w:tcPr>
          <w:p w14:paraId="390A000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4FAF6AD3"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17A2048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3D94B41E" w14:textId="77777777" w:rsidR="00456A99" w:rsidRPr="00727111" w:rsidRDefault="00456A99" w:rsidP="00456A99">
            <w:pPr>
              <w:jc w:val="center"/>
              <w:rPr>
                <w:rFonts w:ascii="Garamond" w:hAnsi="Garamond"/>
                <w:sz w:val="12"/>
                <w:szCs w:val="12"/>
                <w:lang w:eastAsia="sq-AL"/>
              </w:rPr>
            </w:pPr>
            <w:r w:rsidRPr="00727111">
              <w:rPr>
                <w:rFonts w:ascii="Garamond" w:hAnsi="Garamond"/>
                <w:sz w:val="12"/>
                <w:szCs w:val="12"/>
                <w:lang w:eastAsia="sq-AL"/>
              </w:rPr>
              <w:t>Ligji 10304, datë 15.10.2010 "Për sektorin minerar në Republikën e Shqipërisë", i ndryshuar, neni 8</w:t>
            </w:r>
          </w:p>
        </w:tc>
        <w:tc>
          <w:tcPr>
            <w:tcW w:w="678" w:type="pct"/>
            <w:tcBorders>
              <w:top w:val="nil"/>
              <w:left w:val="nil"/>
              <w:bottom w:val="single" w:sz="4" w:space="0" w:color="auto"/>
              <w:right w:val="single" w:sz="4" w:space="0" w:color="auto"/>
            </w:tcBorders>
            <w:shd w:val="clear" w:color="auto" w:fill="auto"/>
            <w:vAlign w:val="center"/>
            <w:hideMark/>
          </w:tcPr>
          <w:p w14:paraId="0CCEAD28"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-Përcaktimi i zonave minerare për të cilat  do të jepen lejet minerare, përmes procesit të konkurrimit apo procedurave të hapura për periudhën 3 (tre) vjeçare 2025 – 2027</w:t>
            </w:r>
            <w:r w:rsidRPr="00727111">
              <w:rPr>
                <w:rFonts w:ascii="Garamond" w:hAnsi="Garamond"/>
                <w:color w:val="000000"/>
                <w:sz w:val="12"/>
                <w:szCs w:val="12"/>
                <w:lang w:eastAsia="sq-AL"/>
              </w:rPr>
              <w:br/>
              <w:t>- Përcaktimi i zonave në zona konkurruese dhe të hapura</w:t>
            </w:r>
            <w:r w:rsidRPr="00727111">
              <w:rPr>
                <w:rFonts w:ascii="Garamond" w:hAnsi="Garamond"/>
                <w:color w:val="000000"/>
                <w:sz w:val="12"/>
                <w:szCs w:val="12"/>
                <w:lang w:eastAsia="sq-AL"/>
              </w:rPr>
              <w:br/>
              <w:t>- Drejtimet e veprimtarisë studimore gjeologjike gjatë periudhës 3 vjeçare</w:t>
            </w:r>
            <w:r w:rsidRPr="00727111">
              <w:rPr>
                <w:rFonts w:ascii="Garamond" w:hAnsi="Garamond"/>
                <w:color w:val="000000"/>
                <w:sz w:val="12"/>
                <w:szCs w:val="12"/>
                <w:lang w:eastAsia="sq-AL"/>
              </w:rPr>
              <w:br/>
              <w:t>- Përcaktimi i zonave të rrezikshme</w:t>
            </w:r>
          </w:p>
        </w:tc>
        <w:tc>
          <w:tcPr>
            <w:tcW w:w="447" w:type="pct"/>
            <w:tcBorders>
              <w:top w:val="nil"/>
              <w:left w:val="nil"/>
              <w:bottom w:val="single" w:sz="4" w:space="0" w:color="auto"/>
              <w:right w:val="single" w:sz="4" w:space="0" w:color="auto"/>
            </w:tcBorders>
            <w:shd w:val="clear" w:color="auto" w:fill="auto"/>
            <w:vAlign w:val="center"/>
            <w:hideMark/>
          </w:tcPr>
          <w:p w14:paraId="6FD58B3B"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20 "Ndërmarrjet dhe politikat industriale"</w:t>
            </w:r>
          </w:p>
        </w:tc>
        <w:tc>
          <w:tcPr>
            <w:tcW w:w="456" w:type="pct"/>
            <w:tcBorders>
              <w:top w:val="nil"/>
              <w:left w:val="nil"/>
              <w:bottom w:val="single" w:sz="4" w:space="0" w:color="auto"/>
              <w:right w:val="single" w:sz="4" w:space="0" w:color="auto"/>
            </w:tcBorders>
            <w:shd w:val="clear" w:color="auto" w:fill="auto"/>
            <w:vAlign w:val="center"/>
            <w:hideMark/>
          </w:tcPr>
          <w:p w14:paraId="6E4B3D0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Integrimi Evropian</w:t>
            </w:r>
          </w:p>
        </w:tc>
        <w:tc>
          <w:tcPr>
            <w:tcW w:w="416" w:type="pct"/>
            <w:tcBorders>
              <w:top w:val="nil"/>
              <w:left w:val="nil"/>
              <w:bottom w:val="single" w:sz="4" w:space="0" w:color="auto"/>
              <w:right w:val="single" w:sz="4" w:space="0" w:color="auto"/>
            </w:tcBorders>
            <w:shd w:val="clear" w:color="auto" w:fill="auto"/>
            <w:vAlign w:val="center"/>
            <w:hideMark/>
          </w:tcPr>
          <w:p w14:paraId="57706931"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minerare</w:t>
            </w:r>
          </w:p>
        </w:tc>
        <w:tc>
          <w:tcPr>
            <w:tcW w:w="403" w:type="pct"/>
            <w:tcBorders>
              <w:top w:val="nil"/>
              <w:left w:val="nil"/>
              <w:bottom w:val="single" w:sz="4" w:space="0" w:color="auto"/>
              <w:right w:val="single" w:sz="4" w:space="0" w:color="auto"/>
            </w:tcBorders>
            <w:shd w:val="clear" w:color="auto" w:fill="auto"/>
            <w:vAlign w:val="center"/>
            <w:hideMark/>
          </w:tcPr>
          <w:p w14:paraId="0E805332"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r w:rsidR="00456A99" w:rsidRPr="00727111" w14:paraId="558F540E" w14:textId="77777777" w:rsidTr="00456A99">
        <w:trPr>
          <w:gridAfter w:val="1"/>
          <w:wAfter w:w="3" w:type="pct"/>
          <w:trHeight w:val="180"/>
          <w:jc w:val="center"/>
        </w:trPr>
        <w:tc>
          <w:tcPr>
            <w:tcW w:w="134" w:type="pct"/>
            <w:tcBorders>
              <w:top w:val="nil"/>
              <w:left w:val="single" w:sz="4" w:space="0" w:color="auto"/>
              <w:bottom w:val="single" w:sz="4" w:space="0" w:color="auto"/>
              <w:right w:val="single" w:sz="4" w:space="0" w:color="auto"/>
            </w:tcBorders>
            <w:shd w:val="clear" w:color="auto" w:fill="auto"/>
            <w:vAlign w:val="center"/>
            <w:hideMark/>
          </w:tcPr>
          <w:p w14:paraId="0044A0A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37</w:t>
            </w:r>
          </w:p>
        </w:tc>
        <w:tc>
          <w:tcPr>
            <w:tcW w:w="524" w:type="pct"/>
            <w:tcBorders>
              <w:top w:val="nil"/>
              <w:left w:val="nil"/>
              <w:bottom w:val="single" w:sz="4" w:space="0" w:color="auto"/>
              <w:right w:val="single" w:sz="4" w:space="0" w:color="auto"/>
            </w:tcBorders>
            <w:shd w:val="clear" w:color="auto" w:fill="auto"/>
            <w:vAlign w:val="center"/>
            <w:hideMark/>
          </w:tcPr>
          <w:p w14:paraId="63D4A38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Strategjisë Minerare të Republikës së Shqipërisë"</w:t>
            </w:r>
          </w:p>
        </w:tc>
        <w:tc>
          <w:tcPr>
            <w:tcW w:w="311" w:type="pct"/>
            <w:tcBorders>
              <w:top w:val="nil"/>
              <w:left w:val="nil"/>
              <w:bottom w:val="single" w:sz="4" w:space="0" w:color="auto"/>
              <w:right w:val="single" w:sz="4" w:space="0" w:color="auto"/>
            </w:tcBorders>
            <w:shd w:val="clear" w:color="auto" w:fill="auto"/>
            <w:noWrap/>
            <w:vAlign w:val="center"/>
            <w:hideMark/>
          </w:tcPr>
          <w:p w14:paraId="6F93337C"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88" w:type="pct"/>
            <w:tcBorders>
              <w:top w:val="nil"/>
              <w:left w:val="nil"/>
              <w:bottom w:val="single" w:sz="4" w:space="0" w:color="auto"/>
              <w:right w:val="single" w:sz="4" w:space="0" w:color="auto"/>
            </w:tcBorders>
            <w:shd w:val="clear" w:color="auto" w:fill="auto"/>
            <w:vAlign w:val="center"/>
            <w:hideMark/>
          </w:tcPr>
          <w:p w14:paraId="7D2B0D6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Infrastrukturës dhe Energjisë</w:t>
            </w:r>
          </w:p>
        </w:tc>
        <w:tc>
          <w:tcPr>
            <w:tcW w:w="300" w:type="pct"/>
            <w:tcBorders>
              <w:top w:val="nil"/>
              <w:left w:val="nil"/>
              <w:bottom w:val="single" w:sz="4" w:space="0" w:color="auto"/>
              <w:right w:val="single" w:sz="4" w:space="0" w:color="auto"/>
            </w:tcBorders>
            <w:shd w:val="clear" w:color="auto" w:fill="auto"/>
            <w:vAlign w:val="center"/>
            <w:hideMark/>
          </w:tcPr>
          <w:p w14:paraId="77AE6E9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941" w:type="pct"/>
            <w:tcBorders>
              <w:top w:val="nil"/>
              <w:left w:val="nil"/>
              <w:bottom w:val="single" w:sz="4" w:space="0" w:color="auto"/>
              <w:right w:val="single" w:sz="4" w:space="0" w:color="auto"/>
            </w:tcBorders>
            <w:shd w:val="clear" w:color="auto" w:fill="auto"/>
            <w:vAlign w:val="center"/>
            <w:hideMark/>
          </w:tcPr>
          <w:p w14:paraId="79D5F4B7"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Ligji 10304, datë 15.10.2010 "Për sektorin minerar në Republikën e Shqipërisë", i ndryshuar, neni 7</w:t>
            </w:r>
          </w:p>
        </w:tc>
        <w:tc>
          <w:tcPr>
            <w:tcW w:w="678" w:type="pct"/>
            <w:tcBorders>
              <w:top w:val="nil"/>
              <w:left w:val="nil"/>
              <w:bottom w:val="single" w:sz="4" w:space="0" w:color="auto"/>
              <w:right w:val="single" w:sz="4" w:space="0" w:color="auto"/>
            </w:tcBorders>
            <w:shd w:val="clear" w:color="auto" w:fill="auto"/>
            <w:vAlign w:val="center"/>
            <w:hideMark/>
          </w:tcPr>
          <w:p w14:paraId="201A0A8A"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të industrisë minerare përcakton politikat dhe programet e veprimit të menaxhimit të burimeve minerare ekzistuese, si dhe zhvillimin e tyre në perspektivë në përputhje me zhvillimet e reja të ekonomisë shqiptare, prioritetet e zhvillimit të kësaj industrie, me objektivat afatgjatë, objektivat afatmesëm dhe afatshkutër, vlerësimin e potencialit minerar sipas grup-mineraleve, bazë për vendim-marrjen, planifikimin territorial, zhvillimin e qëndrueshëm të ekonomisë dhe infrastrukturës</w:t>
            </w:r>
          </w:p>
        </w:tc>
        <w:tc>
          <w:tcPr>
            <w:tcW w:w="447" w:type="pct"/>
            <w:tcBorders>
              <w:top w:val="nil"/>
              <w:left w:val="nil"/>
              <w:bottom w:val="single" w:sz="4" w:space="0" w:color="auto"/>
              <w:right w:val="single" w:sz="4" w:space="0" w:color="auto"/>
            </w:tcBorders>
            <w:shd w:val="clear" w:color="auto" w:fill="auto"/>
            <w:vAlign w:val="center"/>
            <w:hideMark/>
          </w:tcPr>
          <w:p w14:paraId="221325EE"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20 "Ndërmarrjet dhe politikat industriale"</w:t>
            </w:r>
          </w:p>
        </w:tc>
        <w:tc>
          <w:tcPr>
            <w:tcW w:w="456" w:type="pct"/>
            <w:tcBorders>
              <w:top w:val="nil"/>
              <w:left w:val="nil"/>
              <w:bottom w:val="single" w:sz="4" w:space="0" w:color="auto"/>
              <w:right w:val="single" w:sz="4" w:space="0" w:color="auto"/>
            </w:tcBorders>
            <w:shd w:val="clear" w:color="auto" w:fill="auto"/>
            <w:vAlign w:val="center"/>
            <w:hideMark/>
          </w:tcPr>
          <w:p w14:paraId="53A2CE1D"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Lidhet me programin qeverisës në seksionet               1. Integrimi Evropian</w:t>
            </w:r>
          </w:p>
        </w:tc>
        <w:tc>
          <w:tcPr>
            <w:tcW w:w="416" w:type="pct"/>
            <w:tcBorders>
              <w:top w:val="nil"/>
              <w:left w:val="nil"/>
              <w:bottom w:val="single" w:sz="4" w:space="0" w:color="auto"/>
              <w:right w:val="single" w:sz="4" w:space="0" w:color="auto"/>
            </w:tcBorders>
            <w:shd w:val="clear" w:color="auto" w:fill="auto"/>
            <w:vAlign w:val="center"/>
            <w:hideMark/>
          </w:tcPr>
          <w:p w14:paraId="27CA0049"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03" w:type="pct"/>
            <w:tcBorders>
              <w:top w:val="nil"/>
              <w:left w:val="nil"/>
              <w:bottom w:val="single" w:sz="4" w:space="0" w:color="auto"/>
              <w:right w:val="single" w:sz="4" w:space="0" w:color="auto"/>
            </w:tcBorders>
            <w:shd w:val="clear" w:color="auto" w:fill="auto"/>
            <w:vAlign w:val="center"/>
            <w:hideMark/>
          </w:tcPr>
          <w:p w14:paraId="0B79AA84" w14:textId="77777777" w:rsidR="00456A99" w:rsidRPr="00727111" w:rsidRDefault="00456A99" w:rsidP="00456A99">
            <w:pPr>
              <w:jc w:val="center"/>
              <w:rPr>
                <w:rFonts w:ascii="Garamond" w:hAnsi="Garamond"/>
                <w:color w:val="000000"/>
                <w:sz w:val="12"/>
                <w:szCs w:val="12"/>
                <w:lang w:eastAsia="sq-AL"/>
              </w:rPr>
            </w:pPr>
            <w:r w:rsidRPr="00727111">
              <w:rPr>
                <w:rFonts w:ascii="Garamond" w:hAnsi="Garamond"/>
                <w:color w:val="000000"/>
                <w:sz w:val="12"/>
                <w:szCs w:val="12"/>
                <w:lang w:eastAsia="sq-AL"/>
              </w:rPr>
              <w:t>Po</w:t>
            </w:r>
          </w:p>
        </w:tc>
      </w:tr>
    </w:tbl>
    <w:p w14:paraId="1CDD55C7" w14:textId="7E229B43" w:rsidR="00456A99" w:rsidRPr="00727111" w:rsidRDefault="00456A99" w:rsidP="00593BF4">
      <w:pPr>
        <w:ind w:firstLine="284"/>
        <w:jc w:val="both"/>
        <w:rPr>
          <w:rFonts w:ascii="Garamond" w:hAnsi="Garamond"/>
          <w:b/>
          <w:sz w:val="24"/>
        </w:rPr>
      </w:pPr>
    </w:p>
    <w:p w14:paraId="10AB537A" w14:textId="17AE25CC" w:rsidR="00C34C2F" w:rsidRPr="00727111" w:rsidRDefault="00C34C2F" w:rsidP="00593BF4">
      <w:pPr>
        <w:ind w:firstLine="284"/>
        <w:jc w:val="both"/>
        <w:rPr>
          <w:rFonts w:ascii="Garamond" w:hAnsi="Garamond"/>
          <w:b/>
          <w:sz w:val="24"/>
        </w:rPr>
      </w:pPr>
    </w:p>
    <w:p w14:paraId="0EECB89D" w14:textId="2A7306AD" w:rsidR="00C34C2F" w:rsidRPr="00727111" w:rsidRDefault="00C34C2F" w:rsidP="00593BF4">
      <w:pPr>
        <w:ind w:firstLine="284"/>
        <w:jc w:val="both"/>
        <w:rPr>
          <w:rFonts w:ascii="Garamond" w:hAnsi="Garamond"/>
          <w:b/>
          <w:sz w:val="24"/>
        </w:rPr>
      </w:pPr>
    </w:p>
    <w:p w14:paraId="19D3D1B3" w14:textId="6E207201" w:rsidR="00C34C2F" w:rsidRPr="00727111" w:rsidRDefault="00C34C2F" w:rsidP="00593BF4">
      <w:pPr>
        <w:ind w:firstLine="284"/>
        <w:jc w:val="both"/>
        <w:rPr>
          <w:rFonts w:ascii="Garamond" w:hAnsi="Garamond"/>
          <w:b/>
          <w:sz w:val="24"/>
        </w:rPr>
      </w:pPr>
    </w:p>
    <w:p w14:paraId="6DC2701F" w14:textId="0BCB1BB3" w:rsidR="00C34C2F" w:rsidRPr="00727111" w:rsidRDefault="00C34C2F" w:rsidP="00593BF4">
      <w:pPr>
        <w:ind w:firstLine="284"/>
        <w:jc w:val="both"/>
        <w:rPr>
          <w:rFonts w:ascii="Garamond" w:hAnsi="Garamond"/>
          <w:b/>
          <w:sz w:val="24"/>
        </w:rPr>
      </w:pPr>
    </w:p>
    <w:p w14:paraId="09F250B6" w14:textId="300F0FD0" w:rsidR="00E935C9" w:rsidRPr="00727111" w:rsidRDefault="00E935C9" w:rsidP="00593BF4">
      <w:pPr>
        <w:ind w:firstLine="284"/>
        <w:jc w:val="both"/>
        <w:rPr>
          <w:rFonts w:ascii="Garamond" w:hAnsi="Garamond"/>
          <w:b/>
          <w:sz w:val="24"/>
        </w:rPr>
      </w:pPr>
    </w:p>
    <w:p w14:paraId="4CDE7328" w14:textId="0CF4A225" w:rsidR="00E935C9" w:rsidRPr="00727111" w:rsidRDefault="00E935C9" w:rsidP="00593BF4">
      <w:pPr>
        <w:ind w:firstLine="284"/>
        <w:jc w:val="both"/>
        <w:rPr>
          <w:rFonts w:ascii="Garamond" w:hAnsi="Garamond"/>
          <w:b/>
          <w:sz w:val="24"/>
        </w:rPr>
      </w:pPr>
    </w:p>
    <w:p w14:paraId="1FFD2C67" w14:textId="7EBBEDC2" w:rsidR="00E935C9" w:rsidRPr="00727111" w:rsidRDefault="00E935C9" w:rsidP="00593BF4">
      <w:pPr>
        <w:ind w:firstLine="284"/>
        <w:jc w:val="both"/>
        <w:rPr>
          <w:rFonts w:ascii="Garamond" w:hAnsi="Garamond"/>
          <w:b/>
          <w:sz w:val="24"/>
        </w:rPr>
      </w:pPr>
    </w:p>
    <w:p w14:paraId="0A9D20F8" w14:textId="77777777" w:rsidR="00E935C9" w:rsidRPr="00727111" w:rsidRDefault="00E935C9" w:rsidP="00593BF4">
      <w:pPr>
        <w:ind w:firstLine="284"/>
        <w:jc w:val="both"/>
        <w:rPr>
          <w:rFonts w:ascii="Garamond" w:hAnsi="Garamond"/>
          <w:b/>
          <w:sz w:val="24"/>
        </w:rPr>
      </w:pPr>
    </w:p>
    <w:p w14:paraId="7CCB27F4" w14:textId="18C8C4E9" w:rsidR="00E935C9" w:rsidRPr="00727111" w:rsidRDefault="00E935C9" w:rsidP="00593BF4">
      <w:pPr>
        <w:ind w:firstLine="284"/>
        <w:jc w:val="both"/>
        <w:rPr>
          <w:rFonts w:ascii="Garamond" w:hAnsi="Garamond"/>
          <w:b/>
          <w:sz w:val="24"/>
        </w:rPr>
      </w:pPr>
    </w:p>
    <w:tbl>
      <w:tblPr>
        <w:tblW w:w="14770" w:type="dxa"/>
        <w:jc w:val="center"/>
        <w:tblLook w:val="04A0" w:firstRow="1" w:lastRow="0" w:firstColumn="1" w:lastColumn="0" w:noHBand="0" w:noVBand="1"/>
      </w:tblPr>
      <w:tblGrid>
        <w:gridCol w:w="390"/>
        <w:gridCol w:w="1261"/>
        <w:gridCol w:w="1216"/>
        <w:gridCol w:w="940"/>
        <w:gridCol w:w="1195"/>
        <w:gridCol w:w="2085"/>
        <w:gridCol w:w="3249"/>
        <w:gridCol w:w="1085"/>
        <w:gridCol w:w="1030"/>
        <w:gridCol w:w="1229"/>
        <w:gridCol w:w="1090"/>
      </w:tblGrid>
      <w:tr w:rsidR="00E935C9" w:rsidRPr="00727111" w14:paraId="18D4B573" w14:textId="77777777" w:rsidTr="00E935C9">
        <w:trPr>
          <w:trHeight w:val="180"/>
          <w:jc w:val="center"/>
        </w:trPr>
        <w:tc>
          <w:tcPr>
            <w:tcW w:w="14770"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4D2B7FDA" w14:textId="77777777" w:rsidR="00E935C9" w:rsidRPr="00727111" w:rsidRDefault="00E935C9" w:rsidP="00E935C9">
            <w:pPr>
              <w:jc w:val="center"/>
              <w:rPr>
                <w:rFonts w:ascii="Garamond" w:hAnsi="Garamond"/>
                <w:b/>
                <w:bCs/>
                <w:sz w:val="12"/>
                <w:szCs w:val="12"/>
                <w:lang w:eastAsia="sq-AL"/>
              </w:rPr>
            </w:pPr>
            <w:bookmarkStart w:id="13" w:name="RANGE!A1:K33"/>
            <w:r w:rsidRPr="00727111">
              <w:rPr>
                <w:rFonts w:ascii="Garamond" w:hAnsi="Garamond"/>
                <w:b/>
                <w:bCs/>
                <w:sz w:val="12"/>
                <w:szCs w:val="12"/>
                <w:lang w:eastAsia="sq-AL"/>
              </w:rPr>
              <w:t>Programi i Përgjithshëm Analitik i Projektakteve për vitin 2025</w:t>
            </w:r>
            <w:bookmarkEnd w:id="13"/>
          </w:p>
        </w:tc>
      </w:tr>
      <w:tr w:rsidR="00E935C9" w:rsidRPr="00727111" w14:paraId="7BCE2B5E" w14:textId="77777777" w:rsidTr="00E935C9">
        <w:trPr>
          <w:trHeight w:val="180"/>
          <w:jc w:val="center"/>
        </w:trPr>
        <w:tc>
          <w:tcPr>
            <w:tcW w:w="14770"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3341BBCB" w14:textId="77777777" w:rsidR="00E935C9" w:rsidRPr="00727111" w:rsidRDefault="00E935C9" w:rsidP="00E935C9">
            <w:pPr>
              <w:jc w:val="center"/>
              <w:rPr>
                <w:rFonts w:ascii="Garamond" w:hAnsi="Garamond"/>
                <w:b/>
                <w:bCs/>
                <w:sz w:val="12"/>
                <w:szCs w:val="12"/>
                <w:lang w:eastAsia="sq-AL"/>
              </w:rPr>
            </w:pPr>
            <w:r w:rsidRPr="00727111">
              <w:rPr>
                <w:rFonts w:ascii="Garamond" w:hAnsi="Garamond"/>
                <w:b/>
                <w:bCs/>
                <w:sz w:val="12"/>
                <w:szCs w:val="12"/>
                <w:lang w:eastAsia="sq-AL"/>
              </w:rPr>
              <w:t>Ministria e Mbrojtjes</w:t>
            </w:r>
          </w:p>
        </w:tc>
      </w:tr>
      <w:tr w:rsidR="00E935C9" w:rsidRPr="00727111" w14:paraId="0FF948C4"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000000" w:fill="C00000"/>
            <w:vAlign w:val="center"/>
            <w:hideMark/>
          </w:tcPr>
          <w:p w14:paraId="2F62A013"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Nr.</w:t>
            </w:r>
          </w:p>
        </w:tc>
        <w:tc>
          <w:tcPr>
            <w:tcW w:w="1261" w:type="dxa"/>
            <w:tcBorders>
              <w:top w:val="nil"/>
              <w:left w:val="nil"/>
              <w:bottom w:val="single" w:sz="4" w:space="0" w:color="auto"/>
              <w:right w:val="single" w:sz="4" w:space="0" w:color="auto"/>
            </w:tcBorders>
            <w:shd w:val="clear" w:color="000000" w:fill="C00000"/>
            <w:vAlign w:val="center"/>
            <w:hideMark/>
          </w:tcPr>
          <w:p w14:paraId="75A3B42B"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Titulli i projektaktit</w:t>
            </w:r>
          </w:p>
        </w:tc>
        <w:tc>
          <w:tcPr>
            <w:tcW w:w="1216" w:type="dxa"/>
            <w:tcBorders>
              <w:top w:val="nil"/>
              <w:left w:val="nil"/>
              <w:bottom w:val="single" w:sz="4" w:space="0" w:color="auto"/>
              <w:right w:val="single" w:sz="4" w:space="0" w:color="auto"/>
            </w:tcBorders>
            <w:shd w:val="clear" w:color="000000" w:fill="C00000"/>
            <w:vAlign w:val="center"/>
            <w:hideMark/>
          </w:tcPr>
          <w:p w14:paraId="2443C976"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Lloji i projektaktit</w:t>
            </w:r>
          </w:p>
        </w:tc>
        <w:tc>
          <w:tcPr>
            <w:tcW w:w="940" w:type="dxa"/>
            <w:tcBorders>
              <w:top w:val="nil"/>
              <w:left w:val="nil"/>
              <w:bottom w:val="single" w:sz="4" w:space="0" w:color="auto"/>
              <w:right w:val="single" w:sz="4" w:space="0" w:color="auto"/>
            </w:tcBorders>
            <w:shd w:val="clear" w:color="000000" w:fill="C00000"/>
            <w:vAlign w:val="center"/>
            <w:hideMark/>
          </w:tcPr>
          <w:p w14:paraId="579486D0"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Ministri propozues</w:t>
            </w:r>
          </w:p>
        </w:tc>
        <w:tc>
          <w:tcPr>
            <w:tcW w:w="1195" w:type="dxa"/>
            <w:tcBorders>
              <w:top w:val="nil"/>
              <w:left w:val="nil"/>
              <w:bottom w:val="single" w:sz="4" w:space="0" w:color="auto"/>
              <w:right w:val="single" w:sz="4" w:space="0" w:color="auto"/>
            </w:tcBorders>
            <w:shd w:val="clear" w:color="000000" w:fill="C00000"/>
            <w:vAlign w:val="center"/>
            <w:hideMark/>
          </w:tcPr>
          <w:p w14:paraId="7804B652"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Katër mujori</w:t>
            </w:r>
          </w:p>
        </w:tc>
        <w:tc>
          <w:tcPr>
            <w:tcW w:w="2085" w:type="dxa"/>
            <w:tcBorders>
              <w:top w:val="nil"/>
              <w:left w:val="nil"/>
              <w:bottom w:val="single" w:sz="4" w:space="0" w:color="auto"/>
              <w:right w:val="single" w:sz="4" w:space="0" w:color="auto"/>
            </w:tcBorders>
            <w:shd w:val="clear" w:color="000000" w:fill="C00000"/>
            <w:vAlign w:val="center"/>
            <w:hideMark/>
          </w:tcPr>
          <w:p w14:paraId="67D3630B"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Arsyet kryesore për propozimin e projektaktit</w:t>
            </w:r>
          </w:p>
        </w:tc>
        <w:tc>
          <w:tcPr>
            <w:tcW w:w="3249" w:type="dxa"/>
            <w:tcBorders>
              <w:top w:val="nil"/>
              <w:left w:val="nil"/>
              <w:bottom w:val="single" w:sz="4" w:space="0" w:color="auto"/>
              <w:right w:val="single" w:sz="4" w:space="0" w:color="auto"/>
            </w:tcBorders>
            <w:shd w:val="clear" w:color="000000" w:fill="C00000"/>
            <w:vAlign w:val="center"/>
            <w:hideMark/>
          </w:tcPr>
          <w:p w14:paraId="338B958F"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 xml:space="preserve">Çështjet kryesore që parashikon të rregullojë projektakti </w:t>
            </w:r>
          </w:p>
        </w:tc>
        <w:tc>
          <w:tcPr>
            <w:tcW w:w="1085" w:type="dxa"/>
            <w:tcBorders>
              <w:top w:val="nil"/>
              <w:left w:val="nil"/>
              <w:bottom w:val="single" w:sz="4" w:space="0" w:color="auto"/>
              <w:right w:val="single" w:sz="4" w:space="0" w:color="auto"/>
            </w:tcBorders>
            <w:shd w:val="clear" w:color="000000" w:fill="C00000"/>
            <w:vAlign w:val="center"/>
            <w:hideMark/>
          </w:tcPr>
          <w:p w14:paraId="0CF54C65"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 është parashikuar projektakti në PKIE?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po, të specifikohet kapitulli përkatës</w:t>
            </w:r>
          </w:p>
        </w:tc>
        <w:tc>
          <w:tcPr>
            <w:tcW w:w="1030" w:type="dxa"/>
            <w:tcBorders>
              <w:top w:val="nil"/>
              <w:left w:val="nil"/>
              <w:bottom w:val="single" w:sz="4" w:space="0" w:color="auto"/>
              <w:right w:val="single" w:sz="4" w:space="0" w:color="auto"/>
            </w:tcBorders>
            <w:shd w:val="clear" w:color="000000" w:fill="C00000"/>
            <w:vAlign w:val="center"/>
            <w:hideMark/>
          </w:tcPr>
          <w:p w14:paraId="39807012"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Përputhshmëria e projektaktit me programin politik qeverisës 2021-2025</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përputhet, të jepet  referenca e saktë në progam</w:t>
            </w:r>
          </w:p>
        </w:tc>
        <w:tc>
          <w:tcPr>
            <w:tcW w:w="1229" w:type="dxa"/>
            <w:tcBorders>
              <w:top w:val="nil"/>
              <w:left w:val="nil"/>
              <w:bottom w:val="single" w:sz="4" w:space="0" w:color="auto"/>
              <w:right w:val="single" w:sz="4" w:space="0" w:color="auto"/>
            </w:tcBorders>
            <w:shd w:val="clear" w:color="000000" w:fill="C00000"/>
            <w:vAlign w:val="center"/>
            <w:hideMark/>
          </w:tcPr>
          <w:p w14:paraId="0F5830EB"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Lidhja e projektaktit me strategjitë kombëtare dhe sektoriale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lidhet, të specifikohen strategjitë</w:t>
            </w:r>
          </w:p>
        </w:tc>
        <w:tc>
          <w:tcPr>
            <w:tcW w:w="1090" w:type="dxa"/>
            <w:tcBorders>
              <w:top w:val="nil"/>
              <w:left w:val="nil"/>
              <w:bottom w:val="single" w:sz="4" w:space="0" w:color="auto"/>
              <w:right w:val="single" w:sz="4" w:space="0" w:color="auto"/>
            </w:tcBorders>
            <w:shd w:val="clear" w:color="000000" w:fill="C00000"/>
            <w:vAlign w:val="center"/>
            <w:hideMark/>
          </w:tcPr>
          <w:p w14:paraId="45595AB2" w14:textId="77777777" w:rsidR="00E935C9" w:rsidRPr="00727111" w:rsidRDefault="00E935C9" w:rsidP="00E935C9">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Ndikimet e mundshme ekonomike, financiare, sociale dhe mjedisore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 xml:space="preserve">Përgjigjuni me Po/Jo për ndikimet përkatëse </w:t>
            </w:r>
          </w:p>
        </w:tc>
      </w:tr>
      <w:tr w:rsidR="00E935C9" w:rsidRPr="00727111" w14:paraId="4D7421CD"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969427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w:t>
            </w:r>
          </w:p>
        </w:tc>
        <w:tc>
          <w:tcPr>
            <w:tcW w:w="1261" w:type="dxa"/>
            <w:tcBorders>
              <w:top w:val="nil"/>
              <w:left w:val="nil"/>
              <w:bottom w:val="single" w:sz="4" w:space="0" w:color="auto"/>
              <w:right w:val="single" w:sz="4" w:space="0" w:color="auto"/>
            </w:tcBorders>
            <w:shd w:val="clear" w:color="000000" w:fill="FFFFFF"/>
            <w:vAlign w:val="center"/>
            <w:hideMark/>
          </w:tcPr>
          <w:p w14:paraId="0627E97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disa shtesa dhe ndryshime në ligjin nr. 45/2019, "Per mbrojtjen civile"</w:t>
            </w:r>
          </w:p>
        </w:tc>
        <w:tc>
          <w:tcPr>
            <w:tcW w:w="1216" w:type="dxa"/>
            <w:tcBorders>
              <w:top w:val="nil"/>
              <w:left w:val="nil"/>
              <w:bottom w:val="single" w:sz="4" w:space="0" w:color="auto"/>
              <w:right w:val="single" w:sz="4" w:space="0" w:color="auto"/>
            </w:tcBorders>
            <w:shd w:val="clear" w:color="000000" w:fill="FFFFFF"/>
            <w:vAlign w:val="center"/>
            <w:hideMark/>
          </w:tcPr>
          <w:p w14:paraId="44331A1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Projektligj</w:t>
            </w:r>
          </w:p>
        </w:tc>
        <w:tc>
          <w:tcPr>
            <w:tcW w:w="940" w:type="dxa"/>
            <w:tcBorders>
              <w:top w:val="nil"/>
              <w:left w:val="nil"/>
              <w:bottom w:val="single" w:sz="4" w:space="0" w:color="auto"/>
              <w:right w:val="single" w:sz="4" w:space="0" w:color="auto"/>
            </w:tcBorders>
            <w:shd w:val="clear" w:color="000000" w:fill="FFFFFF"/>
            <w:vAlign w:val="center"/>
            <w:hideMark/>
          </w:tcPr>
          <w:p w14:paraId="777DE61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33F0B721"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000000" w:fill="FFFFFF"/>
            <w:vAlign w:val="center"/>
            <w:hideMark/>
          </w:tcPr>
          <w:p w14:paraId="34AE3E7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Përforcimi i sistemit kombëtar të mbrojtjes civile dhe të kapaciteteve të mbrojtjes civile në Republikën e Shqipërisë me qëllim zvogëlimin e riskut nga fatkeqësitë dhe realizimin e mbrojtjes civile për të garantuar mbrojtjen e jetës së njerëzve, të gjësë së gjallë, të pronës, të trashëgimisë kulturore e të mjedisit.</w:t>
            </w:r>
          </w:p>
        </w:tc>
        <w:tc>
          <w:tcPr>
            <w:tcW w:w="3249" w:type="dxa"/>
            <w:tcBorders>
              <w:top w:val="nil"/>
              <w:left w:val="nil"/>
              <w:bottom w:val="single" w:sz="4" w:space="0" w:color="auto"/>
              <w:right w:val="single" w:sz="4" w:space="0" w:color="auto"/>
            </w:tcBorders>
            <w:shd w:val="clear" w:color="000000" w:fill="FFFFFF"/>
            <w:vAlign w:val="center"/>
            <w:hideMark/>
          </w:tcPr>
          <w:p w14:paraId="1B9E132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Detyrat e organeve kolegjiale të sistemit kombëtar të mbrojtjes civile dhe koordinimin e strukturave të parashikuara në ligj;</w:t>
            </w:r>
            <w:r w:rsidRPr="00727111">
              <w:rPr>
                <w:rFonts w:ascii="Garamond" w:hAnsi="Garamond"/>
                <w:sz w:val="12"/>
                <w:szCs w:val="12"/>
                <w:lang w:eastAsia="sq-AL"/>
              </w:rPr>
              <w:br/>
              <w:t>• Problematikat me zbatimin në praktikë të parimit të subsidiaritetit në të gjitha fazat e menaxhimit të fatkeqësive dhe të përballimit të emergjencave civile;</w:t>
            </w:r>
            <w:r w:rsidRPr="00727111">
              <w:rPr>
                <w:rFonts w:ascii="Garamond" w:hAnsi="Garamond"/>
                <w:sz w:val="12"/>
                <w:szCs w:val="12"/>
                <w:lang w:eastAsia="sq-AL"/>
              </w:rPr>
              <w:br/>
              <w:t>• Përfshirjen e strukturave operacionale në përballimin e emergjencave, brenda dhe jashtë vendit, si edhe procedurat e angazhimit të tyre në rastet e misioneve në kuadër të Mekanizmit të Mbrojtjes Civile të Bashkimit Evropian (UCPM);</w:t>
            </w:r>
            <w:r w:rsidRPr="00727111">
              <w:rPr>
                <w:rFonts w:ascii="Garamond" w:hAnsi="Garamond"/>
                <w:sz w:val="12"/>
                <w:szCs w:val="12"/>
                <w:lang w:eastAsia="sq-AL"/>
              </w:rPr>
              <w:br/>
              <w:t>• Nevojat për të rregulluar statusin e shërbimit të vullnetarëve të mbrojtjes civile dhe domosdoshmëria e saktësimit të detyrimit të trajnimit dhe formimit profesional në fushën e mbrojtjes civile për të gjithë subjektet e ligjit 45/2019;</w:t>
            </w:r>
            <w:r w:rsidRPr="00727111">
              <w:rPr>
                <w:rFonts w:ascii="Garamond" w:hAnsi="Garamond"/>
                <w:sz w:val="12"/>
                <w:szCs w:val="12"/>
                <w:lang w:eastAsia="sq-AL"/>
              </w:rPr>
              <w:br/>
              <w:t>• Përfshirjen e shtetit në ndihmën për subjektet e dëmtuara nga fatkeqësitë;</w:t>
            </w:r>
            <w:r w:rsidRPr="00727111">
              <w:rPr>
                <w:rFonts w:ascii="Garamond" w:hAnsi="Garamond"/>
                <w:sz w:val="12"/>
                <w:szCs w:val="12"/>
                <w:lang w:eastAsia="sq-AL"/>
              </w:rPr>
              <w:br/>
              <w:t>• Rolin dhe funksionet e AKMC-së në sistemin kombëtar të mbrojtjes civile.</w:t>
            </w:r>
          </w:p>
        </w:tc>
        <w:tc>
          <w:tcPr>
            <w:tcW w:w="1085" w:type="dxa"/>
            <w:tcBorders>
              <w:top w:val="nil"/>
              <w:left w:val="nil"/>
              <w:bottom w:val="single" w:sz="4" w:space="0" w:color="auto"/>
              <w:right w:val="single" w:sz="4" w:space="0" w:color="auto"/>
            </w:tcBorders>
            <w:shd w:val="clear" w:color="000000" w:fill="FFFFFF"/>
            <w:vAlign w:val="center"/>
            <w:hideMark/>
          </w:tcPr>
          <w:p w14:paraId="1A52599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6443270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7F3D347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6A11F1B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2E89FD6D"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7B41812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w:t>
            </w:r>
          </w:p>
        </w:tc>
        <w:tc>
          <w:tcPr>
            <w:tcW w:w="1261" w:type="dxa"/>
            <w:tcBorders>
              <w:top w:val="nil"/>
              <w:left w:val="nil"/>
              <w:bottom w:val="single" w:sz="4" w:space="0" w:color="auto"/>
              <w:right w:val="single" w:sz="4" w:space="0" w:color="auto"/>
            </w:tcBorders>
            <w:shd w:val="clear" w:color="000000" w:fill="FFFFFF"/>
            <w:vAlign w:val="center"/>
            <w:hideMark/>
          </w:tcPr>
          <w:p w14:paraId="1B047A2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 "Për rezervat materiale të shtetit" </w:t>
            </w:r>
          </w:p>
        </w:tc>
        <w:tc>
          <w:tcPr>
            <w:tcW w:w="1216" w:type="dxa"/>
            <w:tcBorders>
              <w:top w:val="nil"/>
              <w:left w:val="nil"/>
              <w:bottom w:val="single" w:sz="4" w:space="0" w:color="auto"/>
              <w:right w:val="single" w:sz="4" w:space="0" w:color="auto"/>
            </w:tcBorders>
            <w:shd w:val="clear" w:color="000000" w:fill="FFFFFF"/>
            <w:vAlign w:val="center"/>
            <w:hideMark/>
          </w:tcPr>
          <w:p w14:paraId="15CFF56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Projektligj</w:t>
            </w:r>
          </w:p>
        </w:tc>
        <w:tc>
          <w:tcPr>
            <w:tcW w:w="940" w:type="dxa"/>
            <w:tcBorders>
              <w:top w:val="nil"/>
              <w:left w:val="nil"/>
              <w:bottom w:val="single" w:sz="4" w:space="0" w:color="auto"/>
              <w:right w:val="single" w:sz="4" w:space="0" w:color="auto"/>
            </w:tcBorders>
            <w:shd w:val="clear" w:color="000000" w:fill="FFFFFF"/>
            <w:vAlign w:val="center"/>
            <w:hideMark/>
          </w:tcPr>
          <w:p w14:paraId="660731B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3D0AE829"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000000" w:fill="FFFFFF"/>
            <w:vAlign w:val="center"/>
            <w:hideMark/>
          </w:tcPr>
          <w:p w14:paraId="66794CF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Kjo nismë  synon përcaktimin e qartë të kompetencave dhe detyrimeve të rezervës materiale të shtetit në mbrojtjen e qytetarit në rastet e situatave të gjendjes së luftës, gjendjes së jashtëzakonshme, gjendjes së fatkeqësisë natyrore, veprimeve terroriste, emergjencave civile vendore e rajonale, si dhe garantimin e ndërhyrjes operative dhe sa më eficiente, duke siguruar ndihmën me mjete logjistike e mallra të cilësuara të domosdoshme për rastet e ndërhyrjes së kësaj strukture.</w:t>
            </w:r>
          </w:p>
        </w:tc>
        <w:tc>
          <w:tcPr>
            <w:tcW w:w="3249" w:type="dxa"/>
            <w:tcBorders>
              <w:top w:val="nil"/>
              <w:left w:val="nil"/>
              <w:bottom w:val="single" w:sz="4" w:space="0" w:color="auto"/>
              <w:right w:val="single" w:sz="4" w:space="0" w:color="auto"/>
            </w:tcBorders>
            <w:shd w:val="clear" w:color="000000" w:fill="FFFFFF"/>
            <w:vAlign w:val="center"/>
            <w:hideMark/>
          </w:tcPr>
          <w:p w14:paraId="568A013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Përditësim të legjislacionit të papërditësuar prej shumë kohësh, duke iniciuar një projektligj të ri, për të qenë aktual dhe mbi të gjitha, koherent dhe në harmonizim me ndryshimet e fundit ligjore të miratuara në fushën e mbrojtjes civile. Qartësimin e pozicionit të rezervës materiale të shtetit në funksion të mbrojtjes së qytetarit, duke përcaktuar rastet e ndërhyrjes operative dhe strukturat bashkëpunuese për secilin rast. Organizimin e infrastrukturës së rezervës materiale të shtetit sipas një plani strategjik afatmesëm dhe plani vjetor konkret pune të analizuar mbi menaxhimin e mallrave, plotësimin e nevojave nisur nga ndryshimet e numrit të popullsisë, lëvizjeve demografike dhe riskun e fatkeqësive të ndryshme. Riorganizimin e mënyrës së menaxhimit, plotësimit, shpërndarjes, freskimit e mirëmbajtjes të mallrave, për të siguruar eficiencën dhe ardhjen e menjëhershme në ndihmë të popullsisë. </w:t>
            </w:r>
          </w:p>
        </w:tc>
        <w:tc>
          <w:tcPr>
            <w:tcW w:w="1085" w:type="dxa"/>
            <w:tcBorders>
              <w:top w:val="nil"/>
              <w:left w:val="nil"/>
              <w:bottom w:val="single" w:sz="4" w:space="0" w:color="auto"/>
              <w:right w:val="single" w:sz="4" w:space="0" w:color="auto"/>
            </w:tcBorders>
            <w:shd w:val="clear" w:color="000000" w:fill="FFFFFF"/>
            <w:vAlign w:val="center"/>
            <w:hideMark/>
          </w:tcPr>
          <w:p w14:paraId="075E376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44807E1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107285D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1484324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2D5C0C37"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7ECC0F7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3</w:t>
            </w:r>
          </w:p>
        </w:tc>
        <w:tc>
          <w:tcPr>
            <w:tcW w:w="1261" w:type="dxa"/>
            <w:tcBorders>
              <w:top w:val="nil"/>
              <w:left w:val="nil"/>
              <w:bottom w:val="single" w:sz="4" w:space="0" w:color="auto"/>
              <w:right w:val="single" w:sz="4" w:space="0" w:color="auto"/>
            </w:tcBorders>
            <w:shd w:val="clear" w:color="000000" w:fill="FFFFFF"/>
            <w:vAlign w:val="center"/>
            <w:hideMark/>
          </w:tcPr>
          <w:p w14:paraId="757961E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përcaktimin e kritereve, rregullave, etiketën apo pullën unike të markimit, procedurën dhe mënyrën e markimit dhe të gjurmimit, si dhe autoritetin për realizimin e markimit dhe gjurmueshmërisë"</w:t>
            </w:r>
          </w:p>
        </w:tc>
        <w:tc>
          <w:tcPr>
            <w:tcW w:w="1216" w:type="dxa"/>
            <w:tcBorders>
              <w:top w:val="nil"/>
              <w:left w:val="nil"/>
              <w:bottom w:val="single" w:sz="4" w:space="0" w:color="auto"/>
              <w:right w:val="single" w:sz="4" w:space="0" w:color="auto"/>
            </w:tcBorders>
            <w:shd w:val="clear" w:color="000000" w:fill="FFFFFF"/>
            <w:vAlign w:val="center"/>
            <w:hideMark/>
          </w:tcPr>
          <w:p w14:paraId="4CACCA1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1BD15D4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49F41182"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000000" w:fill="FFFFFF"/>
            <w:vAlign w:val="center"/>
            <w:hideMark/>
          </w:tcPr>
          <w:p w14:paraId="3350823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pikës 3, të nenit 16, të ligjit 87/2024 "Për rregullimin e prodhimit, tregtimit, kërkimit dhe zhvillimit të armëve, municioneve, pajisjeve dhe teknologjive ushtarake"</w:t>
            </w:r>
          </w:p>
        </w:tc>
        <w:tc>
          <w:tcPr>
            <w:tcW w:w="3249" w:type="dxa"/>
            <w:tcBorders>
              <w:top w:val="nil"/>
              <w:left w:val="nil"/>
              <w:bottom w:val="single" w:sz="4" w:space="0" w:color="auto"/>
              <w:right w:val="single" w:sz="4" w:space="0" w:color="auto"/>
            </w:tcBorders>
            <w:shd w:val="clear" w:color="000000" w:fill="FFFFFF"/>
            <w:vAlign w:val="center"/>
            <w:hideMark/>
          </w:tcPr>
          <w:p w14:paraId="32A0579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Ky projektakt synon të rregulloje markimin nëpërmjet shënjës unike në fomë kodi, pulle apo etikete, ose çdo forme tjetër unike identifikimi e individualizimi në armatimin ushtarak, me qëllim identifikimin dhe gjurmimin e tyre.</w:t>
            </w:r>
          </w:p>
        </w:tc>
        <w:tc>
          <w:tcPr>
            <w:tcW w:w="1085" w:type="dxa"/>
            <w:tcBorders>
              <w:top w:val="nil"/>
              <w:left w:val="nil"/>
              <w:bottom w:val="single" w:sz="4" w:space="0" w:color="auto"/>
              <w:right w:val="single" w:sz="4" w:space="0" w:color="auto"/>
            </w:tcBorders>
            <w:shd w:val="clear" w:color="000000" w:fill="FFFFFF"/>
            <w:vAlign w:val="center"/>
            <w:hideMark/>
          </w:tcPr>
          <w:p w14:paraId="4C4D0D0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42F8AE5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5945045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47C3608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197F6449"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F4D71A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4</w:t>
            </w:r>
          </w:p>
        </w:tc>
        <w:tc>
          <w:tcPr>
            <w:tcW w:w="1261" w:type="dxa"/>
            <w:tcBorders>
              <w:top w:val="nil"/>
              <w:left w:val="nil"/>
              <w:bottom w:val="single" w:sz="4" w:space="0" w:color="auto"/>
              <w:right w:val="single" w:sz="4" w:space="0" w:color="auto"/>
            </w:tcBorders>
            <w:shd w:val="clear" w:color="000000" w:fill="FFFFFF"/>
            <w:vAlign w:val="center"/>
            <w:hideMark/>
          </w:tcPr>
          <w:p w14:paraId="190DB4B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pjesëmarrjen e personelit të Forcave të Armatosura të Republikës së Shqipërisë në operacionin e NATO-s, “Aegean Sea”, në detin Egje”</w:t>
            </w:r>
          </w:p>
        </w:tc>
        <w:tc>
          <w:tcPr>
            <w:tcW w:w="1216" w:type="dxa"/>
            <w:tcBorders>
              <w:top w:val="nil"/>
              <w:left w:val="nil"/>
              <w:bottom w:val="single" w:sz="4" w:space="0" w:color="auto"/>
              <w:right w:val="single" w:sz="4" w:space="0" w:color="auto"/>
            </w:tcBorders>
            <w:shd w:val="clear" w:color="000000" w:fill="FFFFFF"/>
            <w:vAlign w:val="center"/>
            <w:hideMark/>
          </w:tcPr>
          <w:p w14:paraId="3DDA87E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039D78D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4B30F571"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000000" w:fill="FFFFFF"/>
            <w:vAlign w:val="center"/>
            <w:hideMark/>
          </w:tcPr>
          <w:p w14:paraId="3044D22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Zgjatet kontributi I FA ne Operacionin ne detin Egje</w:t>
            </w:r>
          </w:p>
        </w:tc>
        <w:tc>
          <w:tcPr>
            <w:tcW w:w="3249" w:type="dxa"/>
            <w:tcBorders>
              <w:top w:val="nil"/>
              <w:left w:val="nil"/>
              <w:bottom w:val="single" w:sz="4" w:space="0" w:color="auto"/>
              <w:right w:val="single" w:sz="4" w:space="0" w:color="auto"/>
            </w:tcBorders>
            <w:shd w:val="clear" w:color="000000" w:fill="FFFFFF"/>
            <w:vAlign w:val="center"/>
            <w:hideMark/>
          </w:tcPr>
          <w:p w14:paraId="5B3E334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Zgjatet kontributi I FA ne Operacionin ne detin Egje</w:t>
            </w:r>
          </w:p>
        </w:tc>
        <w:tc>
          <w:tcPr>
            <w:tcW w:w="1085" w:type="dxa"/>
            <w:tcBorders>
              <w:top w:val="nil"/>
              <w:left w:val="nil"/>
              <w:bottom w:val="single" w:sz="4" w:space="0" w:color="auto"/>
              <w:right w:val="single" w:sz="4" w:space="0" w:color="auto"/>
            </w:tcBorders>
            <w:shd w:val="clear" w:color="000000" w:fill="FFFFFF"/>
            <w:vAlign w:val="center"/>
            <w:hideMark/>
          </w:tcPr>
          <w:p w14:paraId="7C41E4D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06F5C35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1D54689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4A3CCC8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1BEFD7CB"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737070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5</w:t>
            </w:r>
          </w:p>
        </w:tc>
        <w:tc>
          <w:tcPr>
            <w:tcW w:w="1261" w:type="dxa"/>
            <w:tcBorders>
              <w:top w:val="nil"/>
              <w:left w:val="nil"/>
              <w:bottom w:val="single" w:sz="4" w:space="0" w:color="auto"/>
              <w:right w:val="single" w:sz="4" w:space="0" w:color="auto"/>
            </w:tcBorders>
            <w:shd w:val="clear" w:color="000000" w:fill="FFFFFF"/>
            <w:vAlign w:val="center"/>
            <w:hideMark/>
          </w:tcPr>
          <w:p w14:paraId="2516895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disa shtesa dhe ndryshime në Vendimin nr. 145, datë 20.2.2013, të Këshillit të Ministrave, “Për pjesëmarrjen e Forcave të Armatosura të Republikës së Shqipërisë, me përfaqësues në Shtabin “EUFOR”, në kuadër të operacionit ushtarak “ALTHEA” të Bashkimit Evropian në Bosnjë-Hercegovinë”, të ndryshuar.</w:t>
            </w:r>
          </w:p>
        </w:tc>
        <w:tc>
          <w:tcPr>
            <w:tcW w:w="1216" w:type="dxa"/>
            <w:tcBorders>
              <w:top w:val="nil"/>
              <w:left w:val="nil"/>
              <w:bottom w:val="single" w:sz="4" w:space="0" w:color="auto"/>
              <w:right w:val="single" w:sz="4" w:space="0" w:color="auto"/>
            </w:tcBorders>
            <w:shd w:val="clear" w:color="000000" w:fill="FFFFFF"/>
            <w:vAlign w:val="center"/>
            <w:hideMark/>
          </w:tcPr>
          <w:p w14:paraId="6C9EAB1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1E17445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7DA5781F"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000000" w:fill="FFFFFF"/>
            <w:vAlign w:val="center"/>
            <w:hideMark/>
          </w:tcPr>
          <w:p w14:paraId="4FFE382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Ndryshimi I nivelit të rrezikut, si dhe shtimi I kontributit me personel te FA.</w:t>
            </w:r>
          </w:p>
        </w:tc>
        <w:tc>
          <w:tcPr>
            <w:tcW w:w="3249" w:type="dxa"/>
            <w:tcBorders>
              <w:top w:val="nil"/>
              <w:left w:val="nil"/>
              <w:bottom w:val="single" w:sz="4" w:space="0" w:color="auto"/>
              <w:right w:val="single" w:sz="4" w:space="0" w:color="auto"/>
            </w:tcBorders>
            <w:shd w:val="clear" w:color="000000" w:fill="FFFFFF"/>
            <w:vAlign w:val="center"/>
            <w:hideMark/>
          </w:tcPr>
          <w:p w14:paraId="66BCB91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Kohëzgjatja e misionit, shtimi I kontributit, si dhe ndryshimi I nivelit te rrezikut ne kete zone operacioni (nga "i ulet" ne "i larte")</w:t>
            </w:r>
          </w:p>
        </w:tc>
        <w:tc>
          <w:tcPr>
            <w:tcW w:w="1085" w:type="dxa"/>
            <w:tcBorders>
              <w:top w:val="nil"/>
              <w:left w:val="nil"/>
              <w:bottom w:val="single" w:sz="4" w:space="0" w:color="auto"/>
              <w:right w:val="single" w:sz="4" w:space="0" w:color="auto"/>
            </w:tcBorders>
            <w:shd w:val="clear" w:color="000000" w:fill="FFFFFF"/>
            <w:vAlign w:val="center"/>
            <w:hideMark/>
          </w:tcPr>
          <w:p w14:paraId="71154C1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5914288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7563A2B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0A6691B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42064E26"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B364BD4"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6</w:t>
            </w:r>
          </w:p>
        </w:tc>
        <w:tc>
          <w:tcPr>
            <w:tcW w:w="1261" w:type="dxa"/>
            <w:tcBorders>
              <w:top w:val="nil"/>
              <w:left w:val="nil"/>
              <w:bottom w:val="single" w:sz="4" w:space="0" w:color="auto"/>
              <w:right w:val="single" w:sz="4" w:space="0" w:color="auto"/>
            </w:tcBorders>
            <w:shd w:val="clear" w:color="000000" w:fill="FFFFFF"/>
            <w:vAlign w:val="center"/>
            <w:hideMark/>
          </w:tcPr>
          <w:p w14:paraId="4D07EFF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“Për procedurat, mënyra dhe rregullat për rikthimi në shërbimin aktiv të ushtarakëve në Forcat e Armatosura të Republikës së Shqipërisë” </w:t>
            </w:r>
          </w:p>
        </w:tc>
        <w:tc>
          <w:tcPr>
            <w:tcW w:w="1216" w:type="dxa"/>
            <w:tcBorders>
              <w:top w:val="nil"/>
              <w:left w:val="nil"/>
              <w:bottom w:val="single" w:sz="4" w:space="0" w:color="auto"/>
              <w:right w:val="single" w:sz="4" w:space="0" w:color="auto"/>
            </w:tcBorders>
            <w:shd w:val="clear" w:color="000000" w:fill="FFFFFF"/>
            <w:vAlign w:val="center"/>
            <w:hideMark/>
          </w:tcPr>
          <w:p w14:paraId="448E8CE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2BC1865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3A4C79F3"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000000" w:fill="FFFFFF"/>
            <w:vAlign w:val="center"/>
            <w:hideMark/>
          </w:tcPr>
          <w:p w14:paraId="22EF22C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Ne zbatim te nenit 31 te ligjit nr. 59/2014, “Për karrierën ushtarake në Forcat e Armatosura të Republikës së Shqipërisë” i ndryshuar </w:t>
            </w:r>
          </w:p>
        </w:tc>
        <w:tc>
          <w:tcPr>
            <w:tcW w:w="3249" w:type="dxa"/>
            <w:tcBorders>
              <w:top w:val="nil"/>
              <w:left w:val="nil"/>
              <w:bottom w:val="single" w:sz="4" w:space="0" w:color="auto"/>
              <w:right w:val="single" w:sz="4" w:space="0" w:color="auto"/>
            </w:tcBorders>
            <w:shd w:val="clear" w:color="000000" w:fill="FFFFFF"/>
            <w:vAlign w:val="center"/>
            <w:hideMark/>
          </w:tcPr>
          <w:p w14:paraId="4B166C1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Përcakton  procedurat, mënyra dhe rregullat për rikthimi në shërbimin aktiv të ushtarakëve në Forcat e Armatosura të Republikës së Shqipërisë. </w:t>
            </w:r>
          </w:p>
        </w:tc>
        <w:tc>
          <w:tcPr>
            <w:tcW w:w="1085" w:type="dxa"/>
            <w:tcBorders>
              <w:top w:val="nil"/>
              <w:left w:val="nil"/>
              <w:bottom w:val="single" w:sz="4" w:space="0" w:color="auto"/>
              <w:right w:val="single" w:sz="4" w:space="0" w:color="auto"/>
            </w:tcBorders>
            <w:shd w:val="clear" w:color="000000" w:fill="FFFFFF"/>
            <w:vAlign w:val="center"/>
            <w:hideMark/>
          </w:tcPr>
          <w:p w14:paraId="363E480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0E5D6CC4"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31224E3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0C1FFBA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4B105EDC"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6F0D3C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7</w:t>
            </w:r>
          </w:p>
        </w:tc>
        <w:tc>
          <w:tcPr>
            <w:tcW w:w="1261" w:type="dxa"/>
            <w:tcBorders>
              <w:top w:val="nil"/>
              <w:left w:val="nil"/>
              <w:bottom w:val="single" w:sz="4" w:space="0" w:color="auto"/>
              <w:right w:val="single" w:sz="4" w:space="0" w:color="auto"/>
            </w:tcBorders>
            <w:shd w:val="clear" w:color="000000" w:fill="FFFFFF"/>
            <w:vAlign w:val="center"/>
            <w:hideMark/>
          </w:tcPr>
          <w:p w14:paraId="5FF9808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"Për përcaktimin e kritereve dhe mënyrës së vlerësimit të parakohshëm të ushtarakëve aktive të Forcave e Armatosura të Republikës së Shqipërisë” </w:t>
            </w:r>
          </w:p>
        </w:tc>
        <w:tc>
          <w:tcPr>
            <w:tcW w:w="1216" w:type="dxa"/>
            <w:tcBorders>
              <w:top w:val="nil"/>
              <w:left w:val="nil"/>
              <w:bottom w:val="single" w:sz="4" w:space="0" w:color="auto"/>
              <w:right w:val="single" w:sz="4" w:space="0" w:color="auto"/>
            </w:tcBorders>
            <w:shd w:val="clear" w:color="000000" w:fill="FFFFFF"/>
            <w:vAlign w:val="center"/>
            <w:hideMark/>
          </w:tcPr>
          <w:p w14:paraId="01C502A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7E03964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6AAA4624"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000000" w:fill="FFFFFF"/>
            <w:vAlign w:val="center"/>
            <w:hideMark/>
          </w:tcPr>
          <w:p w14:paraId="2151C42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Ne zbatim te nenit 18/1, të ligjit nr. 59/2014, “Për karrierën ushtarake në Forcat e Armatosura të Republikës së Shqipërisë” i ndryshuar </w:t>
            </w:r>
          </w:p>
        </w:tc>
        <w:tc>
          <w:tcPr>
            <w:tcW w:w="3249" w:type="dxa"/>
            <w:tcBorders>
              <w:top w:val="nil"/>
              <w:left w:val="nil"/>
              <w:bottom w:val="single" w:sz="4" w:space="0" w:color="auto"/>
              <w:right w:val="single" w:sz="4" w:space="0" w:color="auto"/>
            </w:tcBorders>
            <w:shd w:val="clear" w:color="000000" w:fill="FFFFFF"/>
            <w:vAlign w:val="center"/>
            <w:hideMark/>
          </w:tcPr>
          <w:p w14:paraId="58DE9CF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Përcakton  Kriteret dhe mënyra e vlerësimit të ushta parakohshëm i ushtarakëve aktive të Forcave e Armatosura të Republikës së Shqipërisë. </w:t>
            </w:r>
          </w:p>
        </w:tc>
        <w:tc>
          <w:tcPr>
            <w:tcW w:w="1085" w:type="dxa"/>
            <w:tcBorders>
              <w:top w:val="nil"/>
              <w:left w:val="nil"/>
              <w:bottom w:val="single" w:sz="4" w:space="0" w:color="auto"/>
              <w:right w:val="single" w:sz="4" w:space="0" w:color="auto"/>
            </w:tcBorders>
            <w:shd w:val="clear" w:color="000000" w:fill="FFFFFF"/>
            <w:vAlign w:val="center"/>
            <w:hideMark/>
          </w:tcPr>
          <w:p w14:paraId="6F380A7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53F7530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5239D41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0F8A634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156F1655"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E13E84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8</w:t>
            </w:r>
          </w:p>
        </w:tc>
        <w:tc>
          <w:tcPr>
            <w:tcW w:w="1261" w:type="dxa"/>
            <w:tcBorders>
              <w:top w:val="nil"/>
              <w:left w:val="nil"/>
              <w:bottom w:val="single" w:sz="4" w:space="0" w:color="auto"/>
              <w:right w:val="single" w:sz="4" w:space="0" w:color="auto"/>
            </w:tcBorders>
            <w:shd w:val="clear" w:color="000000" w:fill="FFFFFF"/>
            <w:vAlign w:val="center"/>
            <w:hideMark/>
          </w:tcPr>
          <w:p w14:paraId="6CC1C04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përcaktimin e kritereve, procedurave dhe dokumentacionit që duhet të plotësojnë subjektet aplikante për përfitim nga lehtësirat"</w:t>
            </w:r>
          </w:p>
        </w:tc>
        <w:tc>
          <w:tcPr>
            <w:tcW w:w="1216" w:type="dxa"/>
            <w:tcBorders>
              <w:top w:val="nil"/>
              <w:left w:val="nil"/>
              <w:bottom w:val="single" w:sz="4" w:space="0" w:color="auto"/>
              <w:right w:val="single" w:sz="4" w:space="0" w:color="auto"/>
            </w:tcBorders>
            <w:shd w:val="clear" w:color="000000" w:fill="FFFFFF"/>
            <w:vAlign w:val="center"/>
            <w:hideMark/>
          </w:tcPr>
          <w:p w14:paraId="5FFA6C9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2525909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2D28A442"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000000" w:fill="FFFFFF"/>
            <w:vAlign w:val="center"/>
            <w:hideMark/>
          </w:tcPr>
          <w:p w14:paraId="0B3242A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pikës 6, të nenit 27, të ligjit 87/2024 "Për rregullimin e prodhimit, tregtimit, kërkimit dhe zhvillimit të armëve, municioneve, pajisjeve dhe teknologjive ushtarake"</w:t>
            </w:r>
          </w:p>
        </w:tc>
        <w:tc>
          <w:tcPr>
            <w:tcW w:w="3249" w:type="dxa"/>
            <w:tcBorders>
              <w:top w:val="nil"/>
              <w:left w:val="nil"/>
              <w:bottom w:val="single" w:sz="4" w:space="0" w:color="auto"/>
              <w:right w:val="single" w:sz="4" w:space="0" w:color="auto"/>
            </w:tcBorders>
            <w:shd w:val="clear" w:color="000000" w:fill="FFFFFF"/>
            <w:vAlign w:val="center"/>
            <w:hideMark/>
          </w:tcPr>
          <w:p w14:paraId="2234EAB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Percaktimi I kritereve, procedurave dhe dokumentacioni qe duhet te plotesojne subjektet per perfitim nga lehtesirat.</w:t>
            </w:r>
          </w:p>
        </w:tc>
        <w:tc>
          <w:tcPr>
            <w:tcW w:w="1085" w:type="dxa"/>
            <w:tcBorders>
              <w:top w:val="nil"/>
              <w:left w:val="nil"/>
              <w:bottom w:val="single" w:sz="4" w:space="0" w:color="auto"/>
              <w:right w:val="single" w:sz="4" w:space="0" w:color="auto"/>
            </w:tcBorders>
            <w:shd w:val="clear" w:color="000000" w:fill="FFFFFF"/>
            <w:vAlign w:val="center"/>
            <w:hideMark/>
          </w:tcPr>
          <w:p w14:paraId="631D890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7F1FD3B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030A40C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3B64647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7EDBB2DD"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1B870F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9</w:t>
            </w:r>
          </w:p>
        </w:tc>
        <w:tc>
          <w:tcPr>
            <w:tcW w:w="1261" w:type="dxa"/>
            <w:tcBorders>
              <w:top w:val="nil"/>
              <w:left w:val="nil"/>
              <w:bottom w:val="single" w:sz="4" w:space="0" w:color="auto"/>
              <w:right w:val="single" w:sz="4" w:space="0" w:color="auto"/>
            </w:tcBorders>
            <w:shd w:val="clear" w:color="auto" w:fill="auto"/>
            <w:vAlign w:val="center"/>
            <w:hideMark/>
          </w:tcPr>
          <w:p w14:paraId="7BD30633"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"Për llojet e licencave/certifikatave dhe autorizimeve, dokumentacioni i aplikimit, formatet e kërkesave të aplikimeve, si dhe formatet e licencave, autorizimeve dhe certifikatave, për transferimet ndërkombëtare për mallrat ushtarake dhe artikujt e teknologjitë me përdorim të dyfishtë që lëshohen nga Autoriteti i Kontrollit Shtetëror të Eksporteve"</w:t>
            </w:r>
          </w:p>
        </w:tc>
        <w:tc>
          <w:tcPr>
            <w:tcW w:w="1216" w:type="dxa"/>
            <w:tcBorders>
              <w:top w:val="nil"/>
              <w:left w:val="nil"/>
              <w:bottom w:val="single" w:sz="4" w:space="0" w:color="auto"/>
              <w:right w:val="single" w:sz="4" w:space="0" w:color="auto"/>
            </w:tcBorders>
            <w:shd w:val="clear" w:color="auto" w:fill="auto"/>
            <w:noWrap/>
            <w:vAlign w:val="center"/>
            <w:hideMark/>
          </w:tcPr>
          <w:p w14:paraId="69A1DB7E"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40" w:type="dxa"/>
            <w:tcBorders>
              <w:top w:val="nil"/>
              <w:left w:val="nil"/>
              <w:bottom w:val="single" w:sz="4" w:space="0" w:color="auto"/>
              <w:right w:val="single" w:sz="4" w:space="0" w:color="auto"/>
            </w:tcBorders>
            <w:shd w:val="clear" w:color="auto" w:fill="auto"/>
            <w:noWrap/>
            <w:vAlign w:val="center"/>
            <w:hideMark/>
          </w:tcPr>
          <w:p w14:paraId="016E727A"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Minstri i Mbrojtjes</w:t>
            </w:r>
          </w:p>
        </w:tc>
        <w:tc>
          <w:tcPr>
            <w:tcW w:w="1195" w:type="dxa"/>
            <w:tcBorders>
              <w:top w:val="nil"/>
              <w:left w:val="nil"/>
              <w:bottom w:val="single" w:sz="4" w:space="0" w:color="auto"/>
              <w:right w:val="single" w:sz="4" w:space="0" w:color="auto"/>
            </w:tcBorders>
            <w:shd w:val="clear" w:color="auto" w:fill="auto"/>
            <w:vAlign w:val="center"/>
            <w:hideMark/>
          </w:tcPr>
          <w:p w14:paraId="052A75E9"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auto" w:fill="auto"/>
            <w:vAlign w:val="center"/>
            <w:hideMark/>
          </w:tcPr>
          <w:p w14:paraId="48FA18FA"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Projektvendimi “Për llojet e licencave/certifikatave dhe autorizimeve, dokumentacioni i aplikimit, formatet e kërkesave të aplikimeve, si dhe formatet e licencave, autorizimeve dhe certifikatave, për transferimet ndërkombëtare për mallrat ushtarake dhe artikujt e teknologjitë me përdorim të dyfishtë, që lëshohen nga Autoriteti i Kontrollit Shtetëror të Eksporteve”, ka si qëllim përcaktimin e llojeve të licencave certifikatave dhe autorizimeve që lëshon AKSHE-ja, dokumentacionin e aplikimit, si dhe formatet e kërkesave dhe licencave/certifikatave/autorizimeve.Ky projektvendim synon të saktësojë të gjithë dokumentacionin që subjektet duhet të paraqesin nëpërmjet platformës e-Albania dhe i shërbejnë proceseve të verifikimit mbi transferimin ndërkombëtar të mallrave të kontrolluara si dhe të përcaktojë formatet dhe afatet e raportimit.</w:t>
            </w:r>
            <w:r w:rsidRPr="00727111">
              <w:rPr>
                <w:rFonts w:ascii="Garamond" w:hAnsi="Garamond"/>
                <w:color w:val="000000"/>
                <w:sz w:val="12"/>
                <w:szCs w:val="12"/>
                <w:lang w:eastAsia="sq-AL"/>
              </w:rPr>
              <w:br/>
              <w:t>Gjithashtu ky projektvendim hartohet në kuadër të reformës së derregullimit ku në përmbajtje të tij janë reflektuar parimet e kësaj reforme.</w:t>
            </w:r>
          </w:p>
        </w:tc>
        <w:tc>
          <w:tcPr>
            <w:tcW w:w="3249" w:type="dxa"/>
            <w:tcBorders>
              <w:top w:val="nil"/>
              <w:left w:val="nil"/>
              <w:bottom w:val="single" w:sz="4" w:space="0" w:color="auto"/>
              <w:right w:val="single" w:sz="4" w:space="0" w:color="auto"/>
            </w:tcBorders>
            <w:shd w:val="clear" w:color="auto" w:fill="auto"/>
            <w:vAlign w:val="center"/>
            <w:hideMark/>
          </w:tcPr>
          <w:p w14:paraId="3D9D1009"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Gjatë procesit të derregullimit u analizuan shërbimet që ofron Autoriteti i Kontrollit Shtetëror të Eksporteve mbi transferimet ndërkombëtare të mallrave ushtarake dhe mallrave e teknologjive me përdorim të dyfishtë, të cilat ishin të përcaktuar në urdhrin e titullarit të institucionit nr. 2306, datë 28.08.2018, “Për miratimin e modeleve standarde të dokumentacionit për licencat/autorizimet dhe certifikatat, formatet e kërkesave të aplikimit për këto dokumente, si dhe kriteret për aplikim për mallrat ushtarake dhe artikujt e teknologjitë me përdorim të dyfishtë”.</w:t>
            </w:r>
            <w:r w:rsidRPr="00727111">
              <w:rPr>
                <w:rFonts w:ascii="Garamond" w:hAnsi="Garamond"/>
                <w:color w:val="000000"/>
                <w:sz w:val="12"/>
                <w:szCs w:val="12"/>
                <w:lang w:eastAsia="sq-AL"/>
              </w:rPr>
              <w:br/>
              <w:t>Në analizën e kryer u evidentuan kërkesat të cilat kishin nevojë për derregullim dhe ulnin barrën administrative të subjektit kërkues, gjithashtu u analizuan dokumentet të cilat merreshin nëpërmjet ndërveprimit midis institucioneve nga platforma qeveritare e-Albania. Si rezultat i këtyre analizave një pjesë e dokumentacionit do të merret nga vetë institucioni (vërtetime të ndryshme që lëshohen nga institucione qeveritare) dhe një pjesë tjetër e dokumentacionit i paraqitur nga subjektet do të integrohet në formularët e aplikimeve dhe nuk do të jetë e nevojshme të paraqitet nga subjekti.</w:t>
            </w:r>
            <w:r w:rsidRPr="00727111">
              <w:rPr>
                <w:rFonts w:ascii="Garamond" w:hAnsi="Garamond"/>
                <w:color w:val="000000"/>
                <w:sz w:val="12"/>
                <w:szCs w:val="12"/>
                <w:lang w:eastAsia="sq-AL"/>
              </w:rPr>
              <w:br/>
              <w:t>Gjithashtu shërbimet të të njëjtës natyrë u grupuan me qëllim lehtësimin e subjekteve për aplikimin për këto shërbime.</w:t>
            </w:r>
          </w:p>
        </w:tc>
        <w:tc>
          <w:tcPr>
            <w:tcW w:w="1085" w:type="dxa"/>
            <w:tcBorders>
              <w:top w:val="nil"/>
              <w:left w:val="nil"/>
              <w:bottom w:val="single" w:sz="4" w:space="0" w:color="auto"/>
              <w:right w:val="single" w:sz="4" w:space="0" w:color="auto"/>
            </w:tcBorders>
            <w:shd w:val="clear" w:color="auto" w:fill="auto"/>
            <w:noWrap/>
            <w:vAlign w:val="center"/>
            <w:hideMark/>
          </w:tcPr>
          <w:p w14:paraId="4D7D025C"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4FD05C23"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29" w:type="dxa"/>
            <w:tcBorders>
              <w:top w:val="nil"/>
              <w:left w:val="nil"/>
              <w:bottom w:val="single" w:sz="4" w:space="0" w:color="auto"/>
              <w:right w:val="single" w:sz="4" w:space="0" w:color="auto"/>
            </w:tcBorders>
            <w:shd w:val="clear" w:color="auto" w:fill="auto"/>
            <w:vAlign w:val="center"/>
            <w:hideMark/>
          </w:tcPr>
          <w:p w14:paraId="076B86F5"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Urdhri nr. 209, datë 07.12.2023 të Kryeministrit “Për ngritjen e grupit ndërinstitucional të punës për derregullimin e procedurave administrative në funksion të shërbimeve publike të ofruara ndaj qytetarëve dhe bizneseve”</w:t>
            </w:r>
          </w:p>
        </w:tc>
        <w:tc>
          <w:tcPr>
            <w:tcW w:w="1090" w:type="dxa"/>
            <w:tcBorders>
              <w:top w:val="nil"/>
              <w:left w:val="nil"/>
              <w:bottom w:val="single" w:sz="4" w:space="0" w:color="auto"/>
              <w:right w:val="single" w:sz="4" w:space="0" w:color="auto"/>
            </w:tcBorders>
            <w:shd w:val="clear" w:color="000000" w:fill="FFFFFF"/>
            <w:vAlign w:val="center"/>
            <w:hideMark/>
          </w:tcPr>
          <w:p w14:paraId="4325091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7B56EB80"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D69C8D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10</w:t>
            </w:r>
          </w:p>
        </w:tc>
        <w:tc>
          <w:tcPr>
            <w:tcW w:w="1261" w:type="dxa"/>
            <w:tcBorders>
              <w:top w:val="nil"/>
              <w:left w:val="nil"/>
              <w:bottom w:val="single" w:sz="4" w:space="0" w:color="auto"/>
              <w:right w:val="single" w:sz="4" w:space="0" w:color="auto"/>
            </w:tcBorders>
            <w:shd w:val="clear" w:color="auto" w:fill="auto"/>
            <w:vAlign w:val="center"/>
            <w:hideMark/>
          </w:tcPr>
          <w:p w14:paraId="6E4B946F"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"Për miratimin e shtesave dhe ndryshimeve në vendimet e këshillit të ministrave për të siguruar thjeshtëzimin e procedurave dhe lehtësimin e ofrimit të shërbimeve publike të ofruara nga sistemi ministror i Ministrisë së Mbrojtjes"</w:t>
            </w:r>
          </w:p>
        </w:tc>
        <w:tc>
          <w:tcPr>
            <w:tcW w:w="1216" w:type="dxa"/>
            <w:tcBorders>
              <w:top w:val="nil"/>
              <w:left w:val="nil"/>
              <w:bottom w:val="single" w:sz="4" w:space="0" w:color="auto"/>
              <w:right w:val="single" w:sz="4" w:space="0" w:color="auto"/>
            </w:tcBorders>
            <w:shd w:val="clear" w:color="auto" w:fill="auto"/>
            <w:noWrap/>
            <w:vAlign w:val="center"/>
            <w:hideMark/>
          </w:tcPr>
          <w:p w14:paraId="648A5178"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40" w:type="dxa"/>
            <w:tcBorders>
              <w:top w:val="nil"/>
              <w:left w:val="nil"/>
              <w:bottom w:val="single" w:sz="4" w:space="0" w:color="auto"/>
              <w:right w:val="single" w:sz="4" w:space="0" w:color="auto"/>
            </w:tcBorders>
            <w:shd w:val="clear" w:color="auto" w:fill="auto"/>
            <w:noWrap/>
            <w:vAlign w:val="center"/>
            <w:hideMark/>
          </w:tcPr>
          <w:p w14:paraId="29645F35"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Minstri i Mbrojtjes</w:t>
            </w:r>
          </w:p>
        </w:tc>
        <w:tc>
          <w:tcPr>
            <w:tcW w:w="1195" w:type="dxa"/>
            <w:tcBorders>
              <w:top w:val="nil"/>
              <w:left w:val="nil"/>
              <w:bottom w:val="single" w:sz="4" w:space="0" w:color="auto"/>
              <w:right w:val="single" w:sz="4" w:space="0" w:color="auto"/>
            </w:tcBorders>
            <w:shd w:val="clear" w:color="auto" w:fill="auto"/>
            <w:vAlign w:val="center"/>
            <w:hideMark/>
          </w:tcPr>
          <w:p w14:paraId="0AA53C57"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auto" w:fill="auto"/>
            <w:vAlign w:val="center"/>
            <w:hideMark/>
          </w:tcPr>
          <w:p w14:paraId="00087F0C"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Projektvendimi “Për miratimin e shtesave dhe ndryshimeve në vendimet e Këshillit të Ministrave për të siguruar thjeshtëzimin e procedurave dhe lehtësimin e ofrimit të shërbimeve publike të ofruara nga sistemi ministror i Ministrisë së Mbrojtjes.”, është një projektvendim i hartuar në kuadër të procesit të Derregullimit të Shërbimeve të ofruara nga Ministria e Mbrojtjes.</w:t>
            </w:r>
            <w:r w:rsidRPr="00727111">
              <w:rPr>
                <w:rFonts w:ascii="Garamond" w:hAnsi="Garamond"/>
                <w:color w:val="000000"/>
                <w:sz w:val="12"/>
                <w:szCs w:val="12"/>
                <w:lang w:eastAsia="sq-AL"/>
              </w:rPr>
              <w:br/>
              <w:t>Objektivat që synohen të realizohen lidhen me ndryshimin e akteve nënligjore për të mundësuar qartësimin dhe  lehtësimin e procedurave të ofrimit të shërbimeve.</w:t>
            </w:r>
          </w:p>
        </w:tc>
        <w:tc>
          <w:tcPr>
            <w:tcW w:w="3249" w:type="dxa"/>
            <w:tcBorders>
              <w:top w:val="nil"/>
              <w:left w:val="nil"/>
              <w:bottom w:val="single" w:sz="4" w:space="0" w:color="auto"/>
              <w:right w:val="single" w:sz="4" w:space="0" w:color="auto"/>
            </w:tcBorders>
            <w:shd w:val="clear" w:color="auto" w:fill="auto"/>
            <w:vAlign w:val="center"/>
            <w:hideMark/>
          </w:tcPr>
          <w:p w14:paraId="60FE8DA1"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Ky projekt-akt synon të ndryshojë Vendimet e Këshillit të Ministrave në kuadër të procesit të Derregullimit dhe të Riinixhinierimit të Shërbimeve. Ky projektakt përcakton ndryshime në VKM-të ekzistuese të cilat do të lehtësojnë subjektet aplikuese duke ulur barrën administrative por edhe kohën që do ti duhet subjektit për të përgatitur dokumentacionin e aplikimit.</w:t>
            </w:r>
            <w:r w:rsidRPr="00727111">
              <w:rPr>
                <w:rFonts w:ascii="Garamond" w:hAnsi="Garamond"/>
                <w:color w:val="000000"/>
                <w:sz w:val="12"/>
                <w:szCs w:val="12"/>
                <w:lang w:eastAsia="sq-AL"/>
              </w:rPr>
              <w:br/>
              <w:t>Projektakti do të ndihmojë në thjeshtimin e procedurave dhe eliminimin e dokumenteve të panevojshme, duke ulur kohën dhe koston për subjektet që aplikojnë për shërbime publike.</w:t>
            </w:r>
            <w:r w:rsidRPr="00727111">
              <w:rPr>
                <w:rFonts w:ascii="Garamond" w:hAnsi="Garamond"/>
                <w:color w:val="000000"/>
                <w:sz w:val="12"/>
                <w:szCs w:val="12"/>
                <w:lang w:eastAsia="sq-AL"/>
              </w:rPr>
              <w:br/>
              <w:t>Ky projektakt parashikon një bashkëpunim ndërmjet institucioneve që lehtëson shkëmbimin e të dhënave dhe përmirëson koordinimin institucional, duke shmangur procedurat e dyfishta dhe duke ndihmuar në përshpejtimin e proceseve.</w:t>
            </w:r>
            <w:r w:rsidRPr="00727111">
              <w:rPr>
                <w:rFonts w:ascii="Garamond" w:hAnsi="Garamond"/>
                <w:color w:val="000000"/>
                <w:sz w:val="12"/>
                <w:szCs w:val="12"/>
                <w:lang w:eastAsia="sq-AL"/>
              </w:rPr>
              <w:br/>
              <w:t>Aplikuesit nuk do të jenë të detyruar të përmbushin dokumentacion të përsëritur ose të ndjekin procedura komplekse; ky lehtësim rrit efektivitetin dhe ndikon pozitivisht në klimën e biznesit.</w:t>
            </w:r>
            <w:r w:rsidRPr="00727111">
              <w:rPr>
                <w:rFonts w:ascii="Garamond" w:hAnsi="Garamond"/>
                <w:color w:val="000000"/>
                <w:sz w:val="12"/>
                <w:szCs w:val="12"/>
                <w:lang w:eastAsia="sq-AL"/>
              </w:rPr>
              <w:br/>
              <w:t>Projektakti synon të krijojë rregulla më të qarta dhe konsistente për proceset administrative, duke u siguruar subjekteve që çdo vendim dhe proçedurë të jetë i mbështetur në legjislacion të qartë dhe transparent.</w:t>
            </w:r>
          </w:p>
        </w:tc>
        <w:tc>
          <w:tcPr>
            <w:tcW w:w="1085" w:type="dxa"/>
            <w:tcBorders>
              <w:top w:val="nil"/>
              <w:left w:val="nil"/>
              <w:bottom w:val="single" w:sz="4" w:space="0" w:color="auto"/>
              <w:right w:val="single" w:sz="4" w:space="0" w:color="auto"/>
            </w:tcBorders>
            <w:shd w:val="clear" w:color="auto" w:fill="auto"/>
            <w:noWrap/>
            <w:vAlign w:val="center"/>
            <w:hideMark/>
          </w:tcPr>
          <w:p w14:paraId="208C4204"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3FCD637A"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29" w:type="dxa"/>
            <w:tcBorders>
              <w:top w:val="nil"/>
              <w:left w:val="nil"/>
              <w:bottom w:val="single" w:sz="4" w:space="0" w:color="auto"/>
              <w:right w:val="single" w:sz="4" w:space="0" w:color="auto"/>
            </w:tcBorders>
            <w:shd w:val="clear" w:color="auto" w:fill="auto"/>
            <w:vAlign w:val="center"/>
            <w:hideMark/>
          </w:tcPr>
          <w:p w14:paraId="456E18DC"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Urdhri nr. 209, datë 07.12.2023 të Kryeministrit “Për ngritjen e grupit ndërinstitucional të punës për derregullimin e procedurave administrative në funksion të shërbimeve publike të ofruara ndaj qytetarëve dhe bizneseve”</w:t>
            </w:r>
          </w:p>
        </w:tc>
        <w:tc>
          <w:tcPr>
            <w:tcW w:w="1090" w:type="dxa"/>
            <w:tcBorders>
              <w:top w:val="nil"/>
              <w:left w:val="nil"/>
              <w:bottom w:val="single" w:sz="4" w:space="0" w:color="auto"/>
              <w:right w:val="single" w:sz="4" w:space="0" w:color="auto"/>
            </w:tcBorders>
            <w:shd w:val="clear" w:color="000000" w:fill="FFFFFF"/>
            <w:vAlign w:val="center"/>
            <w:hideMark/>
          </w:tcPr>
          <w:p w14:paraId="2BBC8C1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66B8610C"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095809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11</w:t>
            </w:r>
          </w:p>
        </w:tc>
        <w:tc>
          <w:tcPr>
            <w:tcW w:w="1261" w:type="dxa"/>
            <w:tcBorders>
              <w:top w:val="nil"/>
              <w:left w:val="nil"/>
              <w:bottom w:val="single" w:sz="4" w:space="0" w:color="auto"/>
              <w:right w:val="single" w:sz="4" w:space="0" w:color="auto"/>
            </w:tcBorders>
            <w:shd w:val="clear" w:color="auto" w:fill="auto"/>
            <w:vAlign w:val="center"/>
            <w:hideMark/>
          </w:tcPr>
          <w:p w14:paraId="1272FAB3"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"Për përcaktimin e formatit të raportit, afatet dhe koha e paraqitjes së raporteve"</w:t>
            </w:r>
          </w:p>
        </w:tc>
        <w:tc>
          <w:tcPr>
            <w:tcW w:w="1216" w:type="dxa"/>
            <w:tcBorders>
              <w:top w:val="nil"/>
              <w:left w:val="nil"/>
              <w:bottom w:val="single" w:sz="4" w:space="0" w:color="auto"/>
              <w:right w:val="single" w:sz="4" w:space="0" w:color="auto"/>
            </w:tcBorders>
            <w:shd w:val="clear" w:color="auto" w:fill="auto"/>
            <w:noWrap/>
            <w:vAlign w:val="center"/>
            <w:hideMark/>
          </w:tcPr>
          <w:p w14:paraId="60085056"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40" w:type="dxa"/>
            <w:tcBorders>
              <w:top w:val="nil"/>
              <w:left w:val="nil"/>
              <w:bottom w:val="single" w:sz="4" w:space="0" w:color="auto"/>
              <w:right w:val="single" w:sz="4" w:space="0" w:color="auto"/>
            </w:tcBorders>
            <w:shd w:val="clear" w:color="auto" w:fill="auto"/>
            <w:noWrap/>
            <w:vAlign w:val="center"/>
            <w:hideMark/>
          </w:tcPr>
          <w:p w14:paraId="39FECCA2"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Minstri i Mbrojtjes</w:t>
            </w:r>
          </w:p>
        </w:tc>
        <w:tc>
          <w:tcPr>
            <w:tcW w:w="1195" w:type="dxa"/>
            <w:tcBorders>
              <w:top w:val="nil"/>
              <w:left w:val="nil"/>
              <w:bottom w:val="single" w:sz="4" w:space="0" w:color="auto"/>
              <w:right w:val="single" w:sz="4" w:space="0" w:color="auto"/>
            </w:tcBorders>
            <w:shd w:val="clear" w:color="auto" w:fill="auto"/>
            <w:vAlign w:val="center"/>
            <w:hideMark/>
          </w:tcPr>
          <w:p w14:paraId="7EFD3113"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auto" w:fill="auto"/>
            <w:vAlign w:val="center"/>
            <w:hideMark/>
          </w:tcPr>
          <w:p w14:paraId="52509804"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Projektvendimi “Për përcaktimin e formatit të raportit, afatet dhe koha e paraqitjes së raporteve” nga subjektet të cilat janë pajisur me licenca/autorizime për transferimin ndërkombëtar të mallrave të kontrolluara. Ky projektvendim vjen si detyrim i pikës 2, të nenit 37 dhe pikës 2, të nenit  38, të ligjit nr.4 6/2018, “Për kontrollin shtetëror të transferimeve ndërkombëtare të mallrave ushtarake dhe të artikujve e teknologjive me përdorim të dyfishtë”.</w:t>
            </w:r>
          </w:p>
        </w:tc>
        <w:tc>
          <w:tcPr>
            <w:tcW w:w="3249" w:type="dxa"/>
            <w:tcBorders>
              <w:top w:val="nil"/>
              <w:left w:val="nil"/>
              <w:bottom w:val="single" w:sz="4" w:space="0" w:color="auto"/>
              <w:right w:val="single" w:sz="4" w:space="0" w:color="auto"/>
            </w:tcBorders>
            <w:shd w:val="clear" w:color="auto" w:fill="auto"/>
            <w:vAlign w:val="center"/>
            <w:hideMark/>
          </w:tcPr>
          <w:p w14:paraId="78E4C3DE"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Ky projektvendim synon të rregullojë procedurën e raportimit që subjektet kanë detyrim në zbatim të pikës 2. të nenit 37 dhe pikës 2, të nenit 38, të ligjit nr. 46/2018, “Për kontrollin shtetëror të transferimeve ndërkombëtare të mallrave ushtarake dhe të artikujve e teknologjive me përdorim të dyfishtë”.</w:t>
            </w:r>
          </w:p>
        </w:tc>
        <w:tc>
          <w:tcPr>
            <w:tcW w:w="1085" w:type="dxa"/>
            <w:tcBorders>
              <w:top w:val="nil"/>
              <w:left w:val="nil"/>
              <w:bottom w:val="single" w:sz="4" w:space="0" w:color="auto"/>
              <w:right w:val="single" w:sz="4" w:space="0" w:color="auto"/>
            </w:tcBorders>
            <w:shd w:val="clear" w:color="auto" w:fill="auto"/>
            <w:noWrap/>
            <w:vAlign w:val="center"/>
            <w:hideMark/>
          </w:tcPr>
          <w:p w14:paraId="7B3B037F"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2202160D"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29" w:type="dxa"/>
            <w:tcBorders>
              <w:top w:val="nil"/>
              <w:left w:val="nil"/>
              <w:bottom w:val="single" w:sz="4" w:space="0" w:color="auto"/>
              <w:right w:val="single" w:sz="4" w:space="0" w:color="auto"/>
            </w:tcBorders>
            <w:shd w:val="clear" w:color="auto" w:fill="auto"/>
            <w:vAlign w:val="center"/>
            <w:hideMark/>
          </w:tcPr>
          <w:p w14:paraId="4514AE63"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Urdhri nr. 209, datë 07.12.2023 të Kryeministrit “Për ngritjen e grupit ndërinstitucional të punës për derregullimin e procedurave administrative në funksion të shërbimeve publike të ofruara ndaj qytetarëve dhe bizneseve”</w:t>
            </w:r>
          </w:p>
        </w:tc>
        <w:tc>
          <w:tcPr>
            <w:tcW w:w="1090" w:type="dxa"/>
            <w:tcBorders>
              <w:top w:val="nil"/>
              <w:left w:val="nil"/>
              <w:bottom w:val="single" w:sz="4" w:space="0" w:color="auto"/>
              <w:right w:val="single" w:sz="4" w:space="0" w:color="auto"/>
            </w:tcBorders>
            <w:shd w:val="clear" w:color="000000" w:fill="FFFFFF"/>
            <w:vAlign w:val="center"/>
            <w:hideMark/>
          </w:tcPr>
          <w:p w14:paraId="4572F89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65B72824"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A6FE42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12</w:t>
            </w:r>
          </w:p>
        </w:tc>
        <w:tc>
          <w:tcPr>
            <w:tcW w:w="1261" w:type="dxa"/>
            <w:tcBorders>
              <w:top w:val="nil"/>
              <w:left w:val="nil"/>
              <w:bottom w:val="nil"/>
              <w:right w:val="nil"/>
            </w:tcBorders>
            <w:shd w:val="clear" w:color="auto" w:fill="auto"/>
            <w:vAlign w:val="center"/>
            <w:hideMark/>
          </w:tcPr>
          <w:p w14:paraId="41914B85"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"Për procedurat, kushtet, kriteret, afatet, vlefshmërinë dhe formatet për dhënien, shfuqizimin dhe pezullimin e licencave dhe autorizimeve për prodhimin, importimin, eksportimin, transitimin e lëndëve plasëse për përdorim civil"</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14:paraId="7E0AF77E"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40" w:type="dxa"/>
            <w:tcBorders>
              <w:top w:val="nil"/>
              <w:left w:val="nil"/>
              <w:bottom w:val="single" w:sz="4" w:space="0" w:color="auto"/>
              <w:right w:val="single" w:sz="4" w:space="0" w:color="auto"/>
            </w:tcBorders>
            <w:shd w:val="clear" w:color="auto" w:fill="auto"/>
            <w:noWrap/>
            <w:vAlign w:val="center"/>
            <w:hideMark/>
          </w:tcPr>
          <w:p w14:paraId="05C5963C"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Minstri i Mbrojtjes</w:t>
            </w:r>
          </w:p>
        </w:tc>
        <w:tc>
          <w:tcPr>
            <w:tcW w:w="1195" w:type="dxa"/>
            <w:tcBorders>
              <w:top w:val="nil"/>
              <w:left w:val="nil"/>
              <w:bottom w:val="single" w:sz="4" w:space="0" w:color="auto"/>
              <w:right w:val="single" w:sz="4" w:space="0" w:color="auto"/>
            </w:tcBorders>
            <w:shd w:val="clear" w:color="auto" w:fill="auto"/>
            <w:vAlign w:val="center"/>
            <w:hideMark/>
          </w:tcPr>
          <w:p w14:paraId="08214036"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auto" w:fill="auto"/>
            <w:vAlign w:val="center"/>
            <w:hideMark/>
          </w:tcPr>
          <w:p w14:paraId="7EA904DF"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Ky projektakt ka si qëllim përcaktimin e dispozitave të reja për procedurat, kushtet, kriteret, afatet, vlefshmërinë dhe formatet për dhënien, shfuqizimin dhe pezullimin e licencave dhe autorizimeve për prodhimin, importimin, eksportimin, transitimin e lëndëve plasëse për përdorim civil.Me përcaktimin e dispozitave dhe procedurave për kushtet dhe kriteret, formatet për dhënien, shfuqizimin dhe pezullimin e licencave dhe autorizimeve, synohet të implementohen kërkesat e nenit 22, të ligjit 74/2021, “Për hedhjen në treg dhe mbikëqyrjen e lëndëve plasëse për përdorim civil”.Miratimi i këtyre procedurave ka si objektiv organizimin e sistemin të licencimit dhe autorizimit për operatorët ekonomikë në fushën e lëndëve plasëse, me qëllim rritjen e sigurisë publike, si dhe sigurisë së produktit.</w:t>
            </w:r>
          </w:p>
        </w:tc>
        <w:tc>
          <w:tcPr>
            <w:tcW w:w="3249" w:type="dxa"/>
            <w:tcBorders>
              <w:top w:val="nil"/>
              <w:left w:val="nil"/>
              <w:bottom w:val="single" w:sz="4" w:space="0" w:color="auto"/>
              <w:right w:val="single" w:sz="4" w:space="0" w:color="auto"/>
            </w:tcBorders>
            <w:shd w:val="clear" w:color="auto" w:fill="auto"/>
            <w:vAlign w:val="center"/>
            <w:hideMark/>
          </w:tcPr>
          <w:p w14:paraId="352CD420"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Ky projektakt përmirëson procedurat e mëparshme të miratuara me vendimin nr. 469, datë 29.06.2021, të Këshillit të Ministrave, “Për procedurën për dhënien e lejes së importimit, eksportimit dhe prodhimit të lëndëve plasëse për përdorim civil” dhe e shfuqizon atë.</w:t>
            </w:r>
            <w:r w:rsidRPr="00727111">
              <w:rPr>
                <w:rFonts w:ascii="Garamond" w:hAnsi="Garamond"/>
                <w:color w:val="000000"/>
                <w:sz w:val="12"/>
                <w:szCs w:val="12"/>
                <w:lang w:eastAsia="sq-AL"/>
              </w:rPr>
              <w:br/>
              <w:t xml:space="preserve"> Operatorët ekonomikë që janë të përfshirë në import, eksport, transit dhe prodhim të lëndëve plasëse për përdorim civil, duhet të plotësojnë kushtet dhe kriteret e përcaktuara në këtë projektakt për ushtrimin e veprimtarisë së tyre. Kjo do të sigurojë një nivel të lartë të mbrojtjes së interesave publikë, si: shëndeti e siguria e personave dhe siguria publike, si dhe për të garantuar konkurrencën e ndershme. Kushtet dhe kriteret e vendosura në këtë projektakt, synojnë të rregullojnë sigurinë e objekteve të prodhimit, magazinimit dhe mjeteve të transportit, por një fokus i veçantë i jepet personelit të angazhuar për nevojat e operatorit ekonomik dhe drejtuesit teknik.Një nga problematikat në implementimin e akteve të mëparshme në këtë fushë ka qenë personeli i patrajnuar, si dhe personeli përgjegjës për çështjet e sigurisë. Me këtë projektakt adresohen këto problematika.</w:t>
            </w:r>
          </w:p>
        </w:tc>
        <w:tc>
          <w:tcPr>
            <w:tcW w:w="1085" w:type="dxa"/>
            <w:tcBorders>
              <w:top w:val="nil"/>
              <w:left w:val="nil"/>
              <w:bottom w:val="single" w:sz="4" w:space="0" w:color="auto"/>
              <w:right w:val="single" w:sz="4" w:space="0" w:color="auto"/>
            </w:tcBorders>
            <w:shd w:val="clear" w:color="auto" w:fill="auto"/>
            <w:noWrap/>
            <w:vAlign w:val="center"/>
            <w:hideMark/>
          </w:tcPr>
          <w:p w14:paraId="13D2A5DF"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1332121D"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29" w:type="dxa"/>
            <w:tcBorders>
              <w:top w:val="nil"/>
              <w:left w:val="nil"/>
              <w:bottom w:val="single" w:sz="4" w:space="0" w:color="auto"/>
              <w:right w:val="single" w:sz="4" w:space="0" w:color="auto"/>
            </w:tcBorders>
            <w:shd w:val="clear" w:color="auto" w:fill="auto"/>
            <w:vAlign w:val="center"/>
            <w:hideMark/>
          </w:tcPr>
          <w:p w14:paraId="02ED9B8F"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Urdhri nr. 209, datë 07.12.2023 të Kryeministrit “Për ngritjen e grupit ndërinstitucional të punës për derregullimin e procedurave administrative në funksion të shërbimeve publike të ofruara ndaj qytetarëve dhe bizneseve”</w:t>
            </w:r>
          </w:p>
        </w:tc>
        <w:tc>
          <w:tcPr>
            <w:tcW w:w="1090" w:type="dxa"/>
            <w:tcBorders>
              <w:top w:val="nil"/>
              <w:left w:val="nil"/>
              <w:bottom w:val="single" w:sz="4" w:space="0" w:color="auto"/>
              <w:right w:val="single" w:sz="4" w:space="0" w:color="auto"/>
            </w:tcBorders>
            <w:shd w:val="clear" w:color="000000" w:fill="FFFFFF"/>
            <w:vAlign w:val="center"/>
            <w:hideMark/>
          </w:tcPr>
          <w:p w14:paraId="7075793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55305B55"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E8BC7A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13</w:t>
            </w:r>
          </w:p>
        </w:tc>
        <w:tc>
          <w:tcPr>
            <w:tcW w:w="1261" w:type="dxa"/>
            <w:tcBorders>
              <w:top w:val="nil"/>
              <w:left w:val="nil"/>
              <w:bottom w:val="nil"/>
              <w:right w:val="nil"/>
            </w:tcBorders>
            <w:shd w:val="clear" w:color="auto" w:fill="auto"/>
            <w:vAlign w:val="center"/>
            <w:hideMark/>
          </w:tcPr>
          <w:p w14:paraId="1377B5C1"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“Për pjesëmarrjen e Forcave të Armatosura të Republikës së Shqipërisë në operacionin ushtarak “Interflex” në Mbretërinë e Bashkuar të Britanisë së Madhe dhe Irlandës së Veriut.”</w:t>
            </w:r>
          </w:p>
        </w:tc>
        <w:tc>
          <w:tcPr>
            <w:tcW w:w="1216" w:type="dxa"/>
            <w:tcBorders>
              <w:top w:val="nil"/>
              <w:left w:val="single" w:sz="4" w:space="0" w:color="auto"/>
              <w:bottom w:val="single" w:sz="4" w:space="0" w:color="auto"/>
              <w:right w:val="single" w:sz="4" w:space="0" w:color="auto"/>
            </w:tcBorders>
            <w:shd w:val="clear" w:color="auto" w:fill="auto"/>
            <w:vAlign w:val="center"/>
            <w:hideMark/>
          </w:tcPr>
          <w:p w14:paraId="72845D4A"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940" w:type="dxa"/>
            <w:tcBorders>
              <w:top w:val="nil"/>
              <w:left w:val="nil"/>
              <w:bottom w:val="single" w:sz="4" w:space="0" w:color="auto"/>
              <w:right w:val="single" w:sz="4" w:space="0" w:color="auto"/>
            </w:tcBorders>
            <w:shd w:val="clear" w:color="auto" w:fill="auto"/>
            <w:vAlign w:val="center"/>
            <w:hideMark/>
          </w:tcPr>
          <w:p w14:paraId="5AFBD837"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0AA2AB66"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2085" w:type="dxa"/>
            <w:tcBorders>
              <w:top w:val="nil"/>
              <w:left w:val="nil"/>
              <w:bottom w:val="single" w:sz="4" w:space="0" w:color="auto"/>
              <w:right w:val="single" w:sz="4" w:space="0" w:color="auto"/>
            </w:tcBorders>
            <w:shd w:val="clear" w:color="auto" w:fill="auto"/>
            <w:vAlign w:val="center"/>
            <w:hideMark/>
          </w:tcPr>
          <w:p w14:paraId="1D960D5F"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Nenit 7, të ligjit nr. 9363, datë 24.3.2005, “Për dërgimin e Forcave të Armatosura të Republikës së Shqipërisë jashtë vendit, si dhe për mënyrën e procedurat e vendosjes dhe kalimit të forcave ushtarake të huaja në territorin e Republikës së Shqipërisë”, i ndryshuar</w:t>
            </w:r>
          </w:p>
        </w:tc>
        <w:tc>
          <w:tcPr>
            <w:tcW w:w="3249" w:type="dxa"/>
            <w:tcBorders>
              <w:top w:val="nil"/>
              <w:left w:val="nil"/>
              <w:bottom w:val="single" w:sz="4" w:space="0" w:color="auto"/>
              <w:right w:val="single" w:sz="4" w:space="0" w:color="auto"/>
            </w:tcBorders>
            <w:shd w:val="clear" w:color="auto" w:fill="auto"/>
            <w:vAlign w:val="center"/>
            <w:hideMark/>
          </w:tcPr>
          <w:p w14:paraId="208BBA86"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Ky projektvendim ka për qëllim dërgimin e 8 (tetë) ushtarakëve të Forcave të Armatosura të Republikës së Shqipërisë në Operacionin “Interflex”, që kryhet në Mbretërinë e Bashkuar të Britanisë së Madhe dhe Irlandës së Veriut, Projektvendimi përcakton përballimin e shpenzimeve për ushtarakët që marrin pjesë në  kwtw operacion </w:t>
            </w:r>
          </w:p>
        </w:tc>
        <w:tc>
          <w:tcPr>
            <w:tcW w:w="1085" w:type="dxa"/>
            <w:tcBorders>
              <w:top w:val="nil"/>
              <w:left w:val="nil"/>
              <w:bottom w:val="single" w:sz="4" w:space="0" w:color="auto"/>
              <w:right w:val="single" w:sz="4" w:space="0" w:color="auto"/>
            </w:tcBorders>
            <w:shd w:val="clear" w:color="auto" w:fill="auto"/>
            <w:noWrap/>
            <w:vAlign w:val="center"/>
            <w:hideMark/>
          </w:tcPr>
          <w:p w14:paraId="2B7F6552"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030" w:type="dxa"/>
            <w:tcBorders>
              <w:top w:val="nil"/>
              <w:left w:val="nil"/>
              <w:bottom w:val="single" w:sz="4" w:space="0" w:color="auto"/>
              <w:right w:val="single" w:sz="4" w:space="0" w:color="auto"/>
            </w:tcBorders>
            <w:shd w:val="clear" w:color="auto" w:fill="auto"/>
            <w:noWrap/>
            <w:vAlign w:val="center"/>
            <w:hideMark/>
          </w:tcPr>
          <w:p w14:paraId="515ECEEF"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29" w:type="dxa"/>
            <w:tcBorders>
              <w:top w:val="nil"/>
              <w:left w:val="nil"/>
              <w:bottom w:val="single" w:sz="4" w:space="0" w:color="auto"/>
              <w:right w:val="single" w:sz="4" w:space="0" w:color="auto"/>
            </w:tcBorders>
            <w:shd w:val="clear" w:color="auto" w:fill="auto"/>
            <w:vAlign w:val="center"/>
            <w:hideMark/>
          </w:tcPr>
          <w:p w14:paraId="3D357FFD"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Strategjinë Ushtarake</w:t>
            </w:r>
          </w:p>
        </w:tc>
        <w:tc>
          <w:tcPr>
            <w:tcW w:w="1090" w:type="dxa"/>
            <w:tcBorders>
              <w:top w:val="nil"/>
              <w:left w:val="nil"/>
              <w:bottom w:val="single" w:sz="4" w:space="0" w:color="auto"/>
              <w:right w:val="single" w:sz="4" w:space="0" w:color="auto"/>
            </w:tcBorders>
            <w:shd w:val="clear" w:color="000000" w:fill="FFFFFF"/>
            <w:vAlign w:val="center"/>
            <w:hideMark/>
          </w:tcPr>
          <w:p w14:paraId="487BEC9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4AD909EF"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B2CBD1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14</w:t>
            </w:r>
          </w:p>
        </w:tc>
        <w:tc>
          <w:tcPr>
            <w:tcW w:w="1261" w:type="dxa"/>
            <w:tcBorders>
              <w:top w:val="single" w:sz="4" w:space="0" w:color="auto"/>
              <w:left w:val="nil"/>
              <w:bottom w:val="single" w:sz="4" w:space="0" w:color="auto"/>
              <w:right w:val="single" w:sz="4" w:space="0" w:color="auto"/>
            </w:tcBorders>
            <w:shd w:val="clear" w:color="000000" w:fill="FFFFFF"/>
            <w:vAlign w:val="center"/>
            <w:hideMark/>
          </w:tcPr>
          <w:p w14:paraId="3E5F2D2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disa shtesa dhe ndryshime në vendimin e Këshillit të Ministrave nr. 472, datë 26.7.2023 "Për krijimin, organizimin dhe funksionimin e Qendrës së Inovacionit të Sigurisë dhe Mbrojtjes"</w:t>
            </w:r>
          </w:p>
        </w:tc>
        <w:tc>
          <w:tcPr>
            <w:tcW w:w="1216" w:type="dxa"/>
            <w:tcBorders>
              <w:top w:val="nil"/>
              <w:left w:val="nil"/>
              <w:bottom w:val="single" w:sz="4" w:space="0" w:color="auto"/>
              <w:right w:val="single" w:sz="4" w:space="0" w:color="auto"/>
            </w:tcBorders>
            <w:shd w:val="clear" w:color="000000" w:fill="FFFFFF"/>
            <w:vAlign w:val="center"/>
            <w:hideMark/>
          </w:tcPr>
          <w:p w14:paraId="6454903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1B2DF77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000000" w:fill="FFFFFF"/>
            <w:vAlign w:val="center"/>
            <w:hideMark/>
          </w:tcPr>
          <w:p w14:paraId="4D7B1D0B"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2085" w:type="dxa"/>
            <w:tcBorders>
              <w:top w:val="nil"/>
              <w:left w:val="nil"/>
              <w:bottom w:val="single" w:sz="4" w:space="0" w:color="auto"/>
              <w:right w:val="single" w:sz="4" w:space="0" w:color="auto"/>
            </w:tcBorders>
            <w:shd w:val="clear" w:color="000000" w:fill="FFFFFF"/>
            <w:vAlign w:val="center"/>
            <w:hideMark/>
          </w:tcPr>
          <w:p w14:paraId="07160B2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Tek parashikimet e kreut 2 të VKM Nr. 472, datë 26.07.2023 mungon harmonizimi me paketën e re ligjore të industrisë ushtarake dhe konkretisht me nenin 22 të Ligjit 87/2024 "Për rregullimin e prodhimit, tregtimit, kërkimit dhe zhvillimit të armëve, municioneve, pajisjeve dhe teknologjive ushtarake" dhe konkretisht bashkëpunimi i Qendrës me subjekte të licensuara sipas Ligjit 87/2024 me objekt projekte të përbashkëta kërkimore, zhvillimin e teknologjive të reja dhe shkëmbimin e njohurive dhe ekspertizës. </w:t>
            </w:r>
          </w:p>
        </w:tc>
        <w:tc>
          <w:tcPr>
            <w:tcW w:w="3249" w:type="dxa"/>
            <w:tcBorders>
              <w:top w:val="nil"/>
              <w:left w:val="nil"/>
              <w:bottom w:val="single" w:sz="4" w:space="0" w:color="auto"/>
              <w:right w:val="single" w:sz="4" w:space="0" w:color="auto"/>
            </w:tcBorders>
            <w:shd w:val="clear" w:color="000000" w:fill="FFFFFF"/>
            <w:vAlign w:val="center"/>
            <w:hideMark/>
          </w:tcPr>
          <w:p w14:paraId="73B6E76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Ky shtim I përgjegjësisë funksionale të Qendrës do të mundësonte harmonizimin e plotë të VKM Nr. 472/2023 me Ligjin Nr 87/2024 duke qënë në përputhje me njëra tjetrën dhe në përfshirjen e plotë të përgjegjësive të Qendrës edhe të detyrimit ligjor që rrjedh nga Ligji 87/2024</w:t>
            </w:r>
          </w:p>
        </w:tc>
        <w:tc>
          <w:tcPr>
            <w:tcW w:w="1085" w:type="dxa"/>
            <w:tcBorders>
              <w:top w:val="nil"/>
              <w:left w:val="nil"/>
              <w:bottom w:val="single" w:sz="4" w:space="0" w:color="auto"/>
              <w:right w:val="single" w:sz="4" w:space="0" w:color="auto"/>
            </w:tcBorders>
            <w:shd w:val="clear" w:color="000000" w:fill="FFFFFF"/>
            <w:vAlign w:val="center"/>
            <w:hideMark/>
          </w:tcPr>
          <w:p w14:paraId="4AD84D8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67224E1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Përputhet duke u lidhur dhe ndikuar  me Kreun 3 të programit politik "Modernizimi për zhvillim" , angazhimi Nr. 43 në lidhje me stilmulimin e sipërmarrjeve të reja ne ekonominë dixhitale edhe nëpërmjet programeve akseleruese</w:t>
            </w:r>
          </w:p>
        </w:tc>
        <w:tc>
          <w:tcPr>
            <w:tcW w:w="1229" w:type="dxa"/>
            <w:tcBorders>
              <w:top w:val="nil"/>
              <w:left w:val="nil"/>
              <w:bottom w:val="single" w:sz="4" w:space="0" w:color="auto"/>
              <w:right w:val="single" w:sz="4" w:space="0" w:color="auto"/>
            </w:tcBorders>
            <w:shd w:val="clear" w:color="000000" w:fill="FFFFFF"/>
            <w:vAlign w:val="center"/>
            <w:hideMark/>
          </w:tcPr>
          <w:p w14:paraId="2A19B3D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3715653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ndikim financiar në lidhje me parashikimin buxhetor për kryerje të aktiviteteve të kërkimit shkencor, zhvillimit teknologjik, zhvillimin e prototipeve si edhe investimin në infrastruktura testuese</w:t>
            </w:r>
          </w:p>
        </w:tc>
      </w:tr>
      <w:tr w:rsidR="00E935C9" w:rsidRPr="00727111" w14:paraId="574C4316"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35EE19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15</w:t>
            </w:r>
          </w:p>
        </w:tc>
        <w:tc>
          <w:tcPr>
            <w:tcW w:w="1261" w:type="dxa"/>
            <w:tcBorders>
              <w:top w:val="nil"/>
              <w:left w:val="nil"/>
              <w:bottom w:val="single" w:sz="4" w:space="0" w:color="auto"/>
              <w:right w:val="single" w:sz="4" w:space="0" w:color="auto"/>
            </w:tcBorders>
            <w:shd w:val="clear" w:color="000000" w:fill="FFFFFF"/>
            <w:vAlign w:val="center"/>
            <w:hideMark/>
          </w:tcPr>
          <w:p w14:paraId="6A00B6B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"Procedurat per menaxhimin e sigurise se emetimeve"</w:t>
            </w:r>
          </w:p>
        </w:tc>
        <w:tc>
          <w:tcPr>
            <w:tcW w:w="1216" w:type="dxa"/>
            <w:tcBorders>
              <w:top w:val="nil"/>
              <w:left w:val="nil"/>
              <w:bottom w:val="single" w:sz="4" w:space="0" w:color="auto"/>
              <w:right w:val="single" w:sz="4" w:space="0" w:color="auto"/>
            </w:tcBorders>
            <w:shd w:val="clear" w:color="000000" w:fill="FFFFFF"/>
            <w:vAlign w:val="center"/>
            <w:hideMark/>
          </w:tcPr>
          <w:p w14:paraId="386F77E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2757D3C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000000" w:fill="FFFFFF"/>
            <w:vAlign w:val="center"/>
            <w:hideMark/>
          </w:tcPr>
          <w:p w14:paraId="6F65351D"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2085" w:type="dxa"/>
            <w:tcBorders>
              <w:top w:val="nil"/>
              <w:left w:val="nil"/>
              <w:bottom w:val="single" w:sz="4" w:space="0" w:color="auto"/>
              <w:right w:val="single" w:sz="4" w:space="0" w:color="auto"/>
            </w:tcBorders>
            <w:shd w:val="clear" w:color="000000" w:fill="FFFFFF"/>
            <w:vAlign w:val="center"/>
            <w:hideMark/>
          </w:tcPr>
          <w:p w14:paraId="18B38AF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pikës 2, të nenit 46 të ligjit nr. 10/2023 "Për informacionin e klasifikuar"</w:t>
            </w:r>
          </w:p>
        </w:tc>
        <w:tc>
          <w:tcPr>
            <w:tcW w:w="3249" w:type="dxa"/>
            <w:tcBorders>
              <w:top w:val="nil"/>
              <w:left w:val="nil"/>
              <w:bottom w:val="single" w:sz="4" w:space="0" w:color="auto"/>
              <w:right w:val="single" w:sz="4" w:space="0" w:color="auto"/>
            </w:tcBorders>
            <w:shd w:val="clear" w:color="000000" w:fill="FFFFFF"/>
            <w:vAlign w:val="center"/>
            <w:hideMark/>
          </w:tcPr>
          <w:p w14:paraId="3AE772F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E kufizuar</w:t>
            </w:r>
          </w:p>
        </w:tc>
        <w:tc>
          <w:tcPr>
            <w:tcW w:w="1085" w:type="dxa"/>
            <w:tcBorders>
              <w:top w:val="nil"/>
              <w:left w:val="nil"/>
              <w:bottom w:val="single" w:sz="4" w:space="0" w:color="auto"/>
              <w:right w:val="single" w:sz="4" w:space="0" w:color="auto"/>
            </w:tcBorders>
            <w:shd w:val="clear" w:color="000000" w:fill="FFFFFF"/>
            <w:vAlign w:val="center"/>
            <w:hideMark/>
          </w:tcPr>
          <w:p w14:paraId="5C320E8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 Kapitulli 31 "Politika e jashtme, e sigurisë dhe e mbrojtjes"</w:t>
            </w:r>
          </w:p>
        </w:tc>
        <w:tc>
          <w:tcPr>
            <w:tcW w:w="1030" w:type="dxa"/>
            <w:tcBorders>
              <w:top w:val="nil"/>
              <w:left w:val="nil"/>
              <w:bottom w:val="single" w:sz="4" w:space="0" w:color="auto"/>
              <w:right w:val="single" w:sz="4" w:space="0" w:color="auto"/>
            </w:tcBorders>
            <w:shd w:val="clear" w:color="000000" w:fill="FFFFFF"/>
            <w:vAlign w:val="center"/>
            <w:hideMark/>
          </w:tcPr>
          <w:p w14:paraId="0765002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48C2C1B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728E472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5CC0CD5B"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3B68B8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16</w:t>
            </w:r>
          </w:p>
        </w:tc>
        <w:tc>
          <w:tcPr>
            <w:tcW w:w="1261" w:type="dxa"/>
            <w:tcBorders>
              <w:top w:val="nil"/>
              <w:left w:val="nil"/>
              <w:bottom w:val="single" w:sz="4" w:space="0" w:color="auto"/>
              <w:right w:val="single" w:sz="4" w:space="0" w:color="auto"/>
            </w:tcBorders>
            <w:shd w:val="clear" w:color="000000" w:fill="FFFFFF"/>
            <w:vAlign w:val="center"/>
            <w:hideMark/>
          </w:tcPr>
          <w:p w14:paraId="2D132FB4"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"Procedurat per perzgjedhjen, operimin, mirembajtjen, shperndarjen dhe menaxhimin e materialeve kriptografike"</w:t>
            </w:r>
          </w:p>
        </w:tc>
        <w:tc>
          <w:tcPr>
            <w:tcW w:w="1216" w:type="dxa"/>
            <w:tcBorders>
              <w:top w:val="nil"/>
              <w:left w:val="nil"/>
              <w:bottom w:val="single" w:sz="4" w:space="0" w:color="auto"/>
              <w:right w:val="single" w:sz="4" w:space="0" w:color="auto"/>
            </w:tcBorders>
            <w:shd w:val="clear" w:color="000000" w:fill="FFFFFF"/>
            <w:vAlign w:val="center"/>
            <w:hideMark/>
          </w:tcPr>
          <w:p w14:paraId="5419E3A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00407B8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000000" w:fill="FFFFFF"/>
            <w:vAlign w:val="center"/>
            <w:hideMark/>
          </w:tcPr>
          <w:p w14:paraId="44CECFEA"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dytë</w:t>
            </w:r>
          </w:p>
        </w:tc>
        <w:tc>
          <w:tcPr>
            <w:tcW w:w="2085" w:type="dxa"/>
            <w:tcBorders>
              <w:top w:val="nil"/>
              <w:left w:val="nil"/>
              <w:bottom w:val="single" w:sz="4" w:space="0" w:color="auto"/>
              <w:right w:val="single" w:sz="4" w:space="0" w:color="auto"/>
            </w:tcBorders>
            <w:shd w:val="clear" w:color="000000" w:fill="FFFFFF"/>
            <w:vAlign w:val="center"/>
            <w:hideMark/>
          </w:tcPr>
          <w:p w14:paraId="4D0B2BD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pikave 4 dhe 5, të nenit 45, të ligjit nr. 10/2023 "Për informacionin e klasifikuar"</w:t>
            </w:r>
          </w:p>
        </w:tc>
        <w:tc>
          <w:tcPr>
            <w:tcW w:w="3249" w:type="dxa"/>
            <w:tcBorders>
              <w:top w:val="nil"/>
              <w:left w:val="nil"/>
              <w:bottom w:val="single" w:sz="4" w:space="0" w:color="auto"/>
              <w:right w:val="single" w:sz="4" w:space="0" w:color="auto"/>
            </w:tcBorders>
            <w:shd w:val="clear" w:color="000000" w:fill="FFFFFF"/>
            <w:vAlign w:val="center"/>
            <w:hideMark/>
          </w:tcPr>
          <w:p w14:paraId="409E75B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Ky projektakt përcakton procedurat e përgjithshme të mbrojtjes kriptografike të informacionit të klasifikuar.  Përzgjedhjen, operimin, mirembajtjen, shperndarjen dhe menaxhimin e materialeve kriptografike.</w:t>
            </w:r>
          </w:p>
        </w:tc>
        <w:tc>
          <w:tcPr>
            <w:tcW w:w="1085" w:type="dxa"/>
            <w:tcBorders>
              <w:top w:val="nil"/>
              <w:left w:val="nil"/>
              <w:bottom w:val="single" w:sz="4" w:space="0" w:color="auto"/>
              <w:right w:val="single" w:sz="4" w:space="0" w:color="auto"/>
            </w:tcBorders>
            <w:shd w:val="clear" w:color="000000" w:fill="FFFFFF"/>
            <w:vAlign w:val="center"/>
            <w:hideMark/>
          </w:tcPr>
          <w:p w14:paraId="1A1671F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 Kapitulli 31 "Politika e jashtme, e sigurisë dhe e mbrojtjes"</w:t>
            </w:r>
          </w:p>
        </w:tc>
        <w:tc>
          <w:tcPr>
            <w:tcW w:w="1030" w:type="dxa"/>
            <w:tcBorders>
              <w:top w:val="nil"/>
              <w:left w:val="nil"/>
              <w:bottom w:val="single" w:sz="4" w:space="0" w:color="auto"/>
              <w:right w:val="single" w:sz="4" w:space="0" w:color="auto"/>
            </w:tcBorders>
            <w:shd w:val="clear" w:color="000000" w:fill="FFFFFF"/>
            <w:vAlign w:val="center"/>
            <w:hideMark/>
          </w:tcPr>
          <w:p w14:paraId="6A1F59C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4FC374C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1864594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221019EE"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B93057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17</w:t>
            </w:r>
          </w:p>
        </w:tc>
        <w:tc>
          <w:tcPr>
            <w:tcW w:w="1261" w:type="dxa"/>
            <w:tcBorders>
              <w:top w:val="nil"/>
              <w:left w:val="nil"/>
              <w:bottom w:val="single" w:sz="4" w:space="0" w:color="auto"/>
              <w:right w:val="single" w:sz="4" w:space="0" w:color="auto"/>
            </w:tcBorders>
            <w:shd w:val="clear" w:color="000000" w:fill="FFFFFF"/>
            <w:vAlign w:val="center"/>
            <w:hideMark/>
          </w:tcPr>
          <w:p w14:paraId="02462F5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disa shtesa dhe ndryshime në ligjin nr. 9210, datë 23.3.2004, “Për statusin e ushtarakut të Forcave të Armatosura të Republikës së Shqipërisë”, i ndryshuar</w:t>
            </w:r>
          </w:p>
        </w:tc>
        <w:tc>
          <w:tcPr>
            <w:tcW w:w="1216" w:type="dxa"/>
            <w:tcBorders>
              <w:top w:val="nil"/>
              <w:left w:val="nil"/>
              <w:bottom w:val="single" w:sz="4" w:space="0" w:color="auto"/>
              <w:right w:val="single" w:sz="4" w:space="0" w:color="auto"/>
            </w:tcBorders>
            <w:shd w:val="clear" w:color="000000" w:fill="FFFFFF"/>
            <w:vAlign w:val="center"/>
            <w:hideMark/>
          </w:tcPr>
          <w:p w14:paraId="599275D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Projektligj</w:t>
            </w:r>
          </w:p>
        </w:tc>
        <w:tc>
          <w:tcPr>
            <w:tcW w:w="940" w:type="dxa"/>
            <w:tcBorders>
              <w:top w:val="nil"/>
              <w:left w:val="nil"/>
              <w:bottom w:val="single" w:sz="4" w:space="0" w:color="auto"/>
              <w:right w:val="single" w:sz="4" w:space="0" w:color="auto"/>
            </w:tcBorders>
            <w:shd w:val="clear" w:color="000000" w:fill="FFFFFF"/>
            <w:vAlign w:val="center"/>
            <w:hideMark/>
          </w:tcPr>
          <w:p w14:paraId="62C0A30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133A8102"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4673F82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Rishikimi në tërësi i tij duke bërë harmoznizimin me ligjet e tjera të cilat kanë pësuar ndryshime.</w:t>
            </w:r>
          </w:p>
        </w:tc>
        <w:tc>
          <w:tcPr>
            <w:tcW w:w="3249" w:type="dxa"/>
            <w:tcBorders>
              <w:top w:val="nil"/>
              <w:left w:val="nil"/>
              <w:bottom w:val="single" w:sz="4" w:space="0" w:color="auto"/>
              <w:right w:val="single" w:sz="4" w:space="0" w:color="auto"/>
            </w:tcBorders>
            <w:shd w:val="clear" w:color="000000" w:fill="FFFFFF"/>
            <w:vAlign w:val="center"/>
            <w:hideMark/>
          </w:tcPr>
          <w:p w14:paraId="6A04B70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Prodhimin e kartës së ushtarakut aktiv dhe atij në rezervë.</w:t>
            </w:r>
            <w:r w:rsidRPr="00727111">
              <w:rPr>
                <w:rFonts w:ascii="Garamond" w:hAnsi="Garamond"/>
                <w:sz w:val="12"/>
                <w:szCs w:val="12"/>
                <w:lang w:eastAsia="sq-AL"/>
              </w:rPr>
              <w:br/>
              <w:t>• Përfitimin e trajtimit financiar për vjetërsi shërbimi.</w:t>
            </w:r>
            <w:r w:rsidRPr="00727111">
              <w:rPr>
                <w:rFonts w:ascii="Garamond" w:hAnsi="Garamond"/>
                <w:sz w:val="12"/>
                <w:szCs w:val="12"/>
                <w:lang w:eastAsia="sq-AL"/>
              </w:rPr>
              <w:br/>
              <w:t>• Përfitimin e trajtimit financiar në rastet e largimit nga FA-ja, sipas kritereve ligjore.</w:t>
            </w:r>
            <w:r w:rsidRPr="00727111">
              <w:rPr>
                <w:rFonts w:ascii="Garamond" w:hAnsi="Garamond"/>
                <w:sz w:val="12"/>
                <w:szCs w:val="12"/>
                <w:lang w:eastAsia="sq-AL"/>
              </w:rPr>
              <w:br/>
              <w:t>• Efektet për personelin që humbin jetën.</w:t>
            </w:r>
            <w:r w:rsidRPr="00727111">
              <w:rPr>
                <w:rFonts w:ascii="Garamond" w:hAnsi="Garamond"/>
                <w:sz w:val="12"/>
                <w:szCs w:val="12"/>
                <w:lang w:eastAsia="sq-AL"/>
              </w:rPr>
              <w:br/>
              <w:t xml:space="preserve">• Tarifat për shkollim të fëmijëve të ushtarakut që ka humbur jetën. </w:t>
            </w:r>
            <w:r w:rsidRPr="00727111">
              <w:rPr>
                <w:rFonts w:ascii="Garamond" w:hAnsi="Garamond"/>
                <w:sz w:val="12"/>
                <w:szCs w:val="12"/>
                <w:lang w:eastAsia="sq-AL"/>
              </w:rPr>
              <w:br/>
              <w:t>• Stërvitje, trajnime e kurse afatshkurtra.</w:t>
            </w:r>
            <w:r w:rsidRPr="00727111">
              <w:rPr>
                <w:rFonts w:ascii="Garamond" w:hAnsi="Garamond"/>
                <w:sz w:val="12"/>
                <w:szCs w:val="12"/>
                <w:lang w:eastAsia="sq-AL"/>
              </w:rPr>
              <w:br/>
              <w:t>• Krijimi i infrastrukturës për strehimin e ushtarakëve</w:t>
            </w:r>
          </w:p>
        </w:tc>
        <w:tc>
          <w:tcPr>
            <w:tcW w:w="1085" w:type="dxa"/>
            <w:tcBorders>
              <w:top w:val="nil"/>
              <w:left w:val="nil"/>
              <w:bottom w:val="single" w:sz="4" w:space="0" w:color="auto"/>
              <w:right w:val="single" w:sz="4" w:space="0" w:color="auto"/>
            </w:tcBorders>
            <w:shd w:val="clear" w:color="000000" w:fill="FFFFFF"/>
            <w:vAlign w:val="center"/>
            <w:hideMark/>
          </w:tcPr>
          <w:p w14:paraId="51ED875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206DF69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 Shqipëria e Fortë , Për ruajtjen dhe kontributin ne luften kunder terrorizmit dhe sigurise globale</w:t>
            </w:r>
          </w:p>
        </w:tc>
        <w:tc>
          <w:tcPr>
            <w:tcW w:w="1229" w:type="dxa"/>
            <w:tcBorders>
              <w:top w:val="nil"/>
              <w:left w:val="nil"/>
              <w:bottom w:val="single" w:sz="4" w:space="0" w:color="auto"/>
              <w:right w:val="single" w:sz="4" w:space="0" w:color="auto"/>
            </w:tcBorders>
            <w:shd w:val="clear" w:color="000000" w:fill="FFFFFF"/>
            <w:vAlign w:val="center"/>
            <w:hideMark/>
          </w:tcPr>
          <w:p w14:paraId="359AAEF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Strategjia Ushtarake dhe Plani Afatgjatë i Zhvillimit 2024-2033</w:t>
            </w:r>
          </w:p>
        </w:tc>
        <w:tc>
          <w:tcPr>
            <w:tcW w:w="1090" w:type="dxa"/>
            <w:tcBorders>
              <w:top w:val="nil"/>
              <w:left w:val="nil"/>
              <w:bottom w:val="single" w:sz="4" w:space="0" w:color="auto"/>
              <w:right w:val="single" w:sz="4" w:space="0" w:color="auto"/>
            </w:tcBorders>
            <w:shd w:val="clear" w:color="000000" w:fill="FFFFFF"/>
            <w:vAlign w:val="center"/>
            <w:hideMark/>
          </w:tcPr>
          <w:p w14:paraId="0A38047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1CEC427B"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EBF8AF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18</w:t>
            </w:r>
          </w:p>
        </w:tc>
        <w:tc>
          <w:tcPr>
            <w:tcW w:w="1261" w:type="dxa"/>
            <w:tcBorders>
              <w:top w:val="nil"/>
              <w:left w:val="nil"/>
              <w:bottom w:val="single" w:sz="4" w:space="0" w:color="auto"/>
              <w:right w:val="single" w:sz="4" w:space="0" w:color="auto"/>
            </w:tcBorders>
            <w:shd w:val="clear" w:color="000000" w:fill="FFFFFF"/>
            <w:vAlign w:val="center"/>
            <w:hideMark/>
          </w:tcPr>
          <w:p w14:paraId="7543E95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disa shtesa dhe ndryshime në ligjin nr.173/2014 "Për disiplinën në Forcat e Armatosura të Republikës së Shqipërisë" i ndryshuar</w:t>
            </w:r>
          </w:p>
        </w:tc>
        <w:tc>
          <w:tcPr>
            <w:tcW w:w="1216" w:type="dxa"/>
            <w:tcBorders>
              <w:top w:val="nil"/>
              <w:left w:val="nil"/>
              <w:bottom w:val="single" w:sz="4" w:space="0" w:color="auto"/>
              <w:right w:val="single" w:sz="4" w:space="0" w:color="auto"/>
            </w:tcBorders>
            <w:shd w:val="clear" w:color="000000" w:fill="FFFFFF"/>
            <w:vAlign w:val="center"/>
            <w:hideMark/>
          </w:tcPr>
          <w:p w14:paraId="495BC23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Projektligj</w:t>
            </w:r>
          </w:p>
        </w:tc>
        <w:tc>
          <w:tcPr>
            <w:tcW w:w="940" w:type="dxa"/>
            <w:tcBorders>
              <w:top w:val="nil"/>
              <w:left w:val="nil"/>
              <w:bottom w:val="single" w:sz="4" w:space="0" w:color="auto"/>
              <w:right w:val="single" w:sz="4" w:space="0" w:color="auto"/>
            </w:tcBorders>
            <w:shd w:val="clear" w:color="000000" w:fill="FFFFFF"/>
            <w:vAlign w:val="center"/>
            <w:hideMark/>
          </w:tcPr>
          <w:p w14:paraId="60368B8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279381D3"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60E855F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Ky projektligj vjen si nevojë e zgjidhjes së problematikave të reja, të patrajtuara nga ligji aktual, i cili kërkon ndërhyrje për shkak të implementimit të strukturës së re. Dinamika të reja, të cilat kanë penguar realizimin e përforcimit të disiplinës në Forcat e Armatosura, sipas ligjit nr.173/2014, adresohen nga ky projektligj që njëkohësisht shton klasifikimin e masave disiplinore kur shkelja kryhet ne misione jashtë vendit</w:t>
            </w:r>
          </w:p>
        </w:tc>
        <w:tc>
          <w:tcPr>
            <w:tcW w:w="3249" w:type="dxa"/>
            <w:tcBorders>
              <w:top w:val="nil"/>
              <w:left w:val="nil"/>
              <w:bottom w:val="single" w:sz="4" w:space="0" w:color="auto"/>
              <w:right w:val="single" w:sz="4" w:space="0" w:color="auto"/>
            </w:tcBorders>
            <w:shd w:val="clear" w:color="000000" w:fill="FFFFFF"/>
            <w:vAlign w:val="center"/>
            <w:hideMark/>
          </w:tcPr>
          <w:p w14:paraId="4C35D3A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 Arsyet e rishikimit të këtij ligji lidhen më së shumti me rregullime teknike dhe harmonizim me teknologji me ligjet e tjera që normojnë aktivitetin e FARSH</w:t>
            </w:r>
          </w:p>
        </w:tc>
        <w:tc>
          <w:tcPr>
            <w:tcW w:w="1085" w:type="dxa"/>
            <w:tcBorders>
              <w:top w:val="nil"/>
              <w:left w:val="nil"/>
              <w:bottom w:val="single" w:sz="4" w:space="0" w:color="auto"/>
              <w:right w:val="single" w:sz="4" w:space="0" w:color="auto"/>
            </w:tcBorders>
            <w:shd w:val="clear" w:color="000000" w:fill="FFFFFF"/>
            <w:vAlign w:val="center"/>
            <w:hideMark/>
          </w:tcPr>
          <w:p w14:paraId="48062E2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3025384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1EECD8C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7F45341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51C7EFB6"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EBF205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19</w:t>
            </w:r>
          </w:p>
        </w:tc>
        <w:tc>
          <w:tcPr>
            <w:tcW w:w="1261" w:type="dxa"/>
            <w:tcBorders>
              <w:top w:val="nil"/>
              <w:left w:val="nil"/>
              <w:bottom w:val="single" w:sz="4" w:space="0" w:color="auto"/>
              <w:right w:val="single" w:sz="4" w:space="0" w:color="auto"/>
            </w:tcBorders>
            <w:shd w:val="clear" w:color="000000" w:fill="FFFFFF"/>
            <w:vAlign w:val="center"/>
            <w:hideMark/>
          </w:tcPr>
          <w:p w14:paraId="75491B5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disa shtesa dhe ndryshime në vendimin e Këshillit të Ministrave nr. 729, datë 13.11.2019 "Për rishikimin e Planit Kombëtar të Kërkim Shpëtimit në Republikën e Shqipërisë dhe Planit të Veprimit të tij"</w:t>
            </w:r>
          </w:p>
        </w:tc>
        <w:tc>
          <w:tcPr>
            <w:tcW w:w="1216" w:type="dxa"/>
            <w:tcBorders>
              <w:top w:val="nil"/>
              <w:left w:val="nil"/>
              <w:bottom w:val="single" w:sz="4" w:space="0" w:color="auto"/>
              <w:right w:val="single" w:sz="4" w:space="0" w:color="auto"/>
            </w:tcBorders>
            <w:shd w:val="clear" w:color="000000" w:fill="FFFFFF"/>
            <w:vAlign w:val="center"/>
            <w:hideMark/>
          </w:tcPr>
          <w:p w14:paraId="10AA17F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68655BD4"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1380C7B5"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4E7A2F9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 Në zbatim të pikës 1, të nenit 8, të ligjit nr. 10435, datë 23.6.2011, “Për shërbimin e kërkim-shpëtimit në Republikën e Shqipërisë”, i ndryshuar.</w:t>
            </w:r>
          </w:p>
        </w:tc>
        <w:tc>
          <w:tcPr>
            <w:tcW w:w="3249" w:type="dxa"/>
            <w:tcBorders>
              <w:top w:val="nil"/>
              <w:left w:val="nil"/>
              <w:bottom w:val="single" w:sz="4" w:space="0" w:color="auto"/>
              <w:right w:val="single" w:sz="4" w:space="0" w:color="auto"/>
            </w:tcBorders>
            <w:shd w:val="clear" w:color="000000" w:fill="FFFFFF"/>
            <w:vAlign w:val="center"/>
            <w:hideMark/>
          </w:tcPr>
          <w:p w14:paraId="4081711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Ndryshimi I strukturave në FA dhe të strukturave shtetërore, bën të nevojshme rishikimin në procedura dhe kapacitete</w:t>
            </w:r>
          </w:p>
        </w:tc>
        <w:tc>
          <w:tcPr>
            <w:tcW w:w="1085" w:type="dxa"/>
            <w:tcBorders>
              <w:top w:val="nil"/>
              <w:left w:val="nil"/>
              <w:bottom w:val="single" w:sz="4" w:space="0" w:color="auto"/>
              <w:right w:val="single" w:sz="4" w:space="0" w:color="auto"/>
            </w:tcBorders>
            <w:shd w:val="clear" w:color="000000" w:fill="FFFFFF"/>
            <w:vAlign w:val="center"/>
            <w:hideMark/>
          </w:tcPr>
          <w:p w14:paraId="40DCCED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71F799C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42D3E77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Strategjia Ndërsektoriale për Menaxhimin e Integruar të Kufirit</w:t>
            </w:r>
          </w:p>
        </w:tc>
        <w:tc>
          <w:tcPr>
            <w:tcW w:w="1090" w:type="dxa"/>
            <w:tcBorders>
              <w:top w:val="nil"/>
              <w:left w:val="nil"/>
              <w:bottom w:val="single" w:sz="4" w:space="0" w:color="auto"/>
              <w:right w:val="single" w:sz="4" w:space="0" w:color="auto"/>
            </w:tcBorders>
            <w:shd w:val="clear" w:color="000000" w:fill="FFFFFF"/>
            <w:vAlign w:val="center"/>
            <w:hideMark/>
          </w:tcPr>
          <w:p w14:paraId="5663E7F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26F0258C"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7E43FD4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20</w:t>
            </w:r>
          </w:p>
        </w:tc>
        <w:tc>
          <w:tcPr>
            <w:tcW w:w="1261" w:type="dxa"/>
            <w:tcBorders>
              <w:top w:val="nil"/>
              <w:left w:val="nil"/>
              <w:bottom w:val="single" w:sz="4" w:space="0" w:color="auto"/>
              <w:right w:val="single" w:sz="4" w:space="0" w:color="auto"/>
            </w:tcBorders>
            <w:shd w:val="clear" w:color="000000" w:fill="FFFFFF"/>
            <w:vAlign w:val="center"/>
            <w:hideMark/>
          </w:tcPr>
          <w:p w14:paraId="115920D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disa shtesa dhe ndryshime në vendimin e Këshillit të Ministrave nr.742, datë 16.10.2012“Për organizimin dhe funksionimin e Qendrës Kombëtare të Kërkim-Shpëtimit”</w:t>
            </w:r>
          </w:p>
        </w:tc>
        <w:tc>
          <w:tcPr>
            <w:tcW w:w="1216" w:type="dxa"/>
            <w:tcBorders>
              <w:top w:val="nil"/>
              <w:left w:val="nil"/>
              <w:bottom w:val="single" w:sz="4" w:space="0" w:color="auto"/>
              <w:right w:val="single" w:sz="4" w:space="0" w:color="auto"/>
            </w:tcBorders>
            <w:shd w:val="clear" w:color="000000" w:fill="FFFFFF"/>
            <w:vAlign w:val="center"/>
            <w:hideMark/>
          </w:tcPr>
          <w:p w14:paraId="234D452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66629E5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706254A3"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0755DEE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pikës 2 të nenit 5 e të pikës 2 të nenit  7 të ligjit nr. 10  435,  datë  23.6.2011  “Për shërbimin  e  kërkim-shpëtimit në Republikën e Shqipërisë ”, të ndryshuar</w:t>
            </w:r>
          </w:p>
        </w:tc>
        <w:tc>
          <w:tcPr>
            <w:tcW w:w="3249" w:type="dxa"/>
            <w:tcBorders>
              <w:top w:val="nil"/>
              <w:left w:val="nil"/>
              <w:bottom w:val="single" w:sz="4" w:space="0" w:color="auto"/>
              <w:right w:val="single" w:sz="4" w:space="0" w:color="auto"/>
            </w:tcBorders>
            <w:shd w:val="clear" w:color="000000" w:fill="FFFFFF"/>
            <w:vAlign w:val="center"/>
            <w:hideMark/>
          </w:tcPr>
          <w:p w14:paraId="0455677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Me ndryshimet e ligjit lind nevoja dhe per organizimin dhe funksionimin e QKKSH.</w:t>
            </w:r>
          </w:p>
        </w:tc>
        <w:tc>
          <w:tcPr>
            <w:tcW w:w="1085" w:type="dxa"/>
            <w:tcBorders>
              <w:top w:val="nil"/>
              <w:left w:val="nil"/>
              <w:bottom w:val="single" w:sz="4" w:space="0" w:color="auto"/>
              <w:right w:val="single" w:sz="4" w:space="0" w:color="auto"/>
            </w:tcBorders>
            <w:shd w:val="clear" w:color="000000" w:fill="FFFFFF"/>
            <w:vAlign w:val="center"/>
            <w:hideMark/>
          </w:tcPr>
          <w:p w14:paraId="5B6FEDE4"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7006289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3750A7E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2C467B2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35D0994D"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5DD282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21</w:t>
            </w:r>
          </w:p>
        </w:tc>
        <w:tc>
          <w:tcPr>
            <w:tcW w:w="1261" w:type="dxa"/>
            <w:tcBorders>
              <w:top w:val="nil"/>
              <w:left w:val="nil"/>
              <w:bottom w:val="single" w:sz="4" w:space="0" w:color="auto"/>
              <w:right w:val="single" w:sz="4" w:space="0" w:color="auto"/>
            </w:tcBorders>
            <w:shd w:val="clear" w:color="000000" w:fill="FFFFFF"/>
            <w:vAlign w:val="center"/>
            <w:hideMark/>
          </w:tcPr>
          <w:p w14:paraId="705B28A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 xml:space="preserve"> “Mbi organizimin, përbërja dhe detyrat e Komitetit Kombëtar të Kërkim-Shpëtimit në Republikën e Shqipërisë"</w:t>
            </w:r>
          </w:p>
        </w:tc>
        <w:tc>
          <w:tcPr>
            <w:tcW w:w="1216" w:type="dxa"/>
            <w:tcBorders>
              <w:top w:val="nil"/>
              <w:left w:val="nil"/>
              <w:bottom w:val="single" w:sz="4" w:space="0" w:color="auto"/>
              <w:right w:val="single" w:sz="4" w:space="0" w:color="auto"/>
            </w:tcBorders>
            <w:shd w:val="clear" w:color="000000" w:fill="FFFFFF"/>
            <w:vAlign w:val="center"/>
            <w:hideMark/>
          </w:tcPr>
          <w:p w14:paraId="7433747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7509004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755CA365"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7DF5406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pikës 2, të nenit 4/1, të ligjit nr. 10435, datë 23.6.2011, “Për shërbimin e kërkim-shpëtimit në Republikën e Shqipërisë”, I ndryshuar.</w:t>
            </w:r>
          </w:p>
        </w:tc>
        <w:tc>
          <w:tcPr>
            <w:tcW w:w="3249" w:type="dxa"/>
            <w:tcBorders>
              <w:top w:val="nil"/>
              <w:left w:val="nil"/>
              <w:bottom w:val="single" w:sz="4" w:space="0" w:color="auto"/>
              <w:right w:val="single" w:sz="4" w:space="0" w:color="auto"/>
            </w:tcBorders>
            <w:shd w:val="clear" w:color="000000" w:fill="FFFFFF"/>
            <w:vAlign w:val="center"/>
            <w:hideMark/>
          </w:tcPr>
          <w:p w14:paraId="44B523E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Komiteti Kombëtar i Kerkim-Shpëtimin është komitet AdHoc I përhershë do ngrihet pranë MM, në bazë të dokumentit 039 të ICAO dhe aneksit 12 të ICAO.</w:t>
            </w:r>
          </w:p>
        </w:tc>
        <w:tc>
          <w:tcPr>
            <w:tcW w:w="1085" w:type="dxa"/>
            <w:tcBorders>
              <w:top w:val="nil"/>
              <w:left w:val="nil"/>
              <w:bottom w:val="single" w:sz="4" w:space="0" w:color="auto"/>
              <w:right w:val="single" w:sz="4" w:space="0" w:color="auto"/>
            </w:tcBorders>
            <w:shd w:val="clear" w:color="000000" w:fill="FFFFFF"/>
            <w:vAlign w:val="center"/>
            <w:hideMark/>
          </w:tcPr>
          <w:p w14:paraId="742F6FC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5AE0A9E4"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77E2867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484C652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27E0C644"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1E95F18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22</w:t>
            </w:r>
          </w:p>
        </w:tc>
        <w:tc>
          <w:tcPr>
            <w:tcW w:w="1261" w:type="dxa"/>
            <w:tcBorders>
              <w:top w:val="nil"/>
              <w:left w:val="nil"/>
              <w:bottom w:val="single" w:sz="4" w:space="0" w:color="auto"/>
              <w:right w:val="single" w:sz="4" w:space="0" w:color="auto"/>
            </w:tcBorders>
            <w:shd w:val="clear" w:color="000000" w:fill="FFFFFF"/>
            <w:vAlign w:val="center"/>
            <w:hideMark/>
          </w:tcPr>
          <w:p w14:paraId="796041C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detyrimin e subjekteve të licencuara, për sigurimin e një rezerve të caktuar armatimesh dhe pajisjesh teknologjike, për Forcat e Armatosura të Republikës së Shqipërisë"</w:t>
            </w:r>
          </w:p>
        </w:tc>
        <w:tc>
          <w:tcPr>
            <w:tcW w:w="1216" w:type="dxa"/>
            <w:tcBorders>
              <w:top w:val="nil"/>
              <w:left w:val="nil"/>
              <w:bottom w:val="single" w:sz="4" w:space="0" w:color="auto"/>
              <w:right w:val="single" w:sz="4" w:space="0" w:color="auto"/>
            </w:tcBorders>
            <w:shd w:val="clear" w:color="000000" w:fill="FFFFFF"/>
            <w:vAlign w:val="center"/>
            <w:hideMark/>
          </w:tcPr>
          <w:p w14:paraId="7CC858C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2D0333F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6EEE85CA"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4F8F938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pikës 2, të nenit 9, të ligjit 87/2024 "Për rregullimin e prodhimit, tregtimit, kërkimit dhe zhvillimit të armëve, municioneve, pajisjeve dhe teknologjive ushtarake"</w:t>
            </w:r>
          </w:p>
        </w:tc>
        <w:tc>
          <w:tcPr>
            <w:tcW w:w="3249" w:type="dxa"/>
            <w:tcBorders>
              <w:top w:val="nil"/>
              <w:left w:val="nil"/>
              <w:bottom w:val="single" w:sz="4" w:space="0" w:color="auto"/>
              <w:right w:val="single" w:sz="4" w:space="0" w:color="auto"/>
            </w:tcBorders>
            <w:shd w:val="clear" w:color="000000" w:fill="FFFFFF"/>
            <w:vAlign w:val="center"/>
            <w:hideMark/>
          </w:tcPr>
          <w:p w14:paraId="521AEF9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rastin e gjendjes së luftës ose në kushtet e një rreziku të afërt dhe konkret të një agresioni ushtarak ndaj Republikës së Shqipërisë ose aleatëve të saj strategjikë, subjektet e licencuara kanë detyrimin që të sigurojnë një rezervë të caktuar armatimesh dhe pajisjesh teknologjike për Forcat e Armatosura të Republikës së Shqipërisë.</w:t>
            </w:r>
          </w:p>
        </w:tc>
        <w:tc>
          <w:tcPr>
            <w:tcW w:w="1085" w:type="dxa"/>
            <w:tcBorders>
              <w:top w:val="nil"/>
              <w:left w:val="nil"/>
              <w:bottom w:val="single" w:sz="4" w:space="0" w:color="auto"/>
              <w:right w:val="single" w:sz="4" w:space="0" w:color="auto"/>
            </w:tcBorders>
            <w:shd w:val="clear" w:color="000000" w:fill="FFFFFF"/>
            <w:vAlign w:val="center"/>
            <w:hideMark/>
          </w:tcPr>
          <w:p w14:paraId="6E6750D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0C96580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7EBABB8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Strategjia e Sigurisë Kombëtare</w:t>
            </w:r>
          </w:p>
        </w:tc>
        <w:tc>
          <w:tcPr>
            <w:tcW w:w="1090" w:type="dxa"/>
            <w:tcBorders>
              <w:top w:val="nil"/>
              <w:left w:val="nil"/>
              <w:bottom w:val="single" w:sz="4" w:space="0" w:color="auto"/>
              <w:right w:val="single" w:sz="4" w:space="0" w:color="auto"/>
            </w:tcBorders>
            <w:shd w:val="clear" w:color="000000" w:fill="FFFFFF"/>
            <w:vAlign w:val="center"/>
            <w:hideMark/>
          </w:tcPr>
          <w:p w14:paraId="5CB85D5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22A30D14"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7522F05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23</w:t>
            </w:r>
          </w:p>
        </w:tc>
        <w:tc>
          <w:tcPr>
            <w:tcW w:w="1261" w:type="dxa"/>
            <w:tcBorders>
              <w:top w:val="nil"/>
              <w:left w:val="nil"/>
              <w:bottom w:val="single" w:sz="4" w:space="0" w:color="auto"/>
              <w:right w:val="single" w:sz="4" w:space="0" w:color="auto"/>
            </w:tcBorders>
            <w:shd w:val="clear" w:color="000000" w:fill="FFFFFF"/>
            <w:vAlign w:val="center"/>
            <w:hideMark/>
          </w:tcPr>
          <w:p w14:paraId="586C6C4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miratimin e listës së mallrave të përjashtuara nga taksat doganore, të cilat shërbejnë drejtpërdrejt për prodhimin e armatimit ushtarak"</w:t>
            </w:r>
          </w:p>
        </w:tc>
        <w:tc>
          <w:tcPr>
            <w:tcW w:w="1216" w:type="dxa"/>
            <w:tcBorders>
              <w:top w:val="nil"/>
              <w:left w:val="nil"/>
              <w:bottom w:val="single" w:sz="4" w:space="0" w:color="auto"/>
              <w:right w:val="single" w:sz="4" w:space="0" w:color="auto"/>
            </w:tcBorders>
            <w:shd w:val="clear" w:color="000000" w:fill="FFFFFF"/>
            <w:vAlign w:val="center"/>
            <w:hideMark/>
          </w:tcPr>
          <w:p w14:paraId="52823B0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691E681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4E8BDBD9"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667DF51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shkronjës "c", të pikës 1, të nenit 26, të ligjit 87/2024 "Për rregullimin e prodhimit, tregtimit, kërkimit dhe zhvillimit të armëve, municioneve, pajisjeve dhe teknologjive ushtarake"</w:t>
            </w:r>
          </w:p>
        </w:tc>
        <w:tc>
          <w:tcPr>
            <w:tcW w:w="3249" w:type="dxa"/>
            <w:tcBorders>
              <w:top w:val="nil"/>
              <w:left w:val="nil"/>
              <w:bottom w:val="single" w:sz="4" w:space="0" w:color="auto"/>
              <w:right w:val="single" w:sz="4" w:space="0" w:color="auto"/>
            </w:tcBorders>
            <w:shd w:val="clear" w:color="000000" w:fill="FFFFFF"/>
            <w:vAlign w:val="center"/>
            <w:hideMark/>
          </w:tcPr>
          <w:p w14:paraId="0930445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Percaktimi dhe miratimi I listes se mallrave te perjashtuara, lehtesimi fiskal per indrustrine e mbrotjes, mbeshtetja per zhvillimin e industrise se mbrojtjes.</w:t>
            </w:r>
          </w:p>
        </w:tc>
        <w:tc>
          <w:tcPr>
            <w:tcW w:w="1085" w:type="dxa"/>
            <w:tcBorders>
              <w:top w:val="nil"/>
              <w:left w:val="nil"/>
              <w:bottom w:val="single" w:sz="4" w:space="0" w:color="auto"/>
              <w:right w:val="single" w:sz="4" w:space="0" w:color="auto"/>
            </w:tcBorders>
            <w:shd w:val="clear" w:color="000000" w:fill="FFFFFF"/>
            <w:vAlign w:val="center"/>
            <w:hideMark/>
          </w:tcPr>
          <w:p w14:paraId="1BBB181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7398440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3376D5A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70EF2D2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6C4174EC"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43973D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24</w:t>
            </w:r>
          </w:p>
        </w:tc>
        <w:tc>
          <w:tcPr>
            <w:tcW w:w="1261" w:type="dxa"/>
            <w:tcBorders>
              <w:top w:val="nil"/>
              <w:left w:val="nil"/>
              <w:bottom w:val="single" w:sz="4" w:space="0" w:color="auto"/>
              <w:right w:val="single" w:sz="4" w:space="0" w:color="auto"/>
            </w:tcBorders>
            <w:shd w:val="clear" w:color="000000" w:fill="FFFFFF"/>
            <w:vAlign w:val="center"/>
            <w:hideMark/>
          </w:tcPr>
          <w:p w14:paraId="0B1D9BB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miratimin e rregulloreve të inspektimit dhe monitorimit të Agjencisë së Industrisë të Mbrojtjes"</w:t>
            </w:r>
          </w:p>
        </w:tc>
        <w:tc>
          <w:tcPr>
            <w:tcW w:w="1216" w:type="dxa"/>
            <w:tcBorders>
              <w:top w:val="nil"/>
              <w:left w:val="nil"/>
              <w:bottom w:val="single" w:sz="4" w:space="0" w:color="auto"/>
              <w:right w:val="single" w:sz="4" w:space="0" w:color="auto"/>
            </w:tcBorders>
            <w:shd w:val="clear" w:color="000000" w:fill="FFFFFF"/>
            <w:vAlign w:val="center"/>
            <w:hideMark/>
          </w:tcPr>
          <w:p w14:paraId="09EC174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41449C3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002992AC"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55EC75C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pikës 2, të nenit 31, të ligjit 87/2024 "Për rregullimin e prodhimit, tregtimit, kërkimit dhe zhvillimit të armëve, municioneve, pajisjeve dhe teknologjive ushtarake"</w:t>
            </w:r>
          </w:p>
        </w:tc>
        <w:tc>
          <w:tcPr>
            <w:tcW w:w="3249" w:type="dxa"/>
            <w:tcBorders>
              <w:top w:val="nil"/>
              <w:left w:val="nil"/>
              <w:bottom w:val="single" w:sz="4" w:space="0" w:color="auto"/>
              <w:right w:val="single" w:sz="4" w:space="0" w:color="auto"/>
            </w:tcBorders>
            <w:shd w:val="clear" w:color="000000" w:fill="FFFFFF"/>
            <w:vAlign w:val="center"/>
            <w:hideMark/>
          </w:tcPr>
          <w:p w14:paraId="6B6FFE7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Ky projektakt sunon te rregulloje çeshtjet kryesore të procesit të inspektimit, duke përfshire objektin, përmbajtjen, metodën, vendin dhe procedurat e inspektimit që agjencia do të ndjekë për të siguruar përputhshmërinë e subjekteve të licencuara me legjislacionin dhe rregulloret përkatëse. Do të përcaktojë standartet e inspektimit dhe kriteret e sigurisë së mjedisit si dhe aspekte të tjera të nevojshme për një proces transparent dhe efektiv duke siguruar kështu cilësine dhe integritetin e procesit.</w:t>
            </w:r>
          </w:p>
        </w:tc>
        <w:tc>
          <w:tcPr>
            <w:tcW w:w="1085" w:type="dxa"/>
            <w:tcBorders>
              <w:top w:val="nil"/>
              <w:left w:val="nil"/>
              <w:bottom w:val="single" w:sz="4" w:space="0" w:color="auto"/>
              <w:right w:val="single" w:sz="4" w:space="0" w:color="auto"/>
            </w:tcBorders>
            <w:shd w:val="clear" w:color="000000" w:fill="FFFFFF"/>
            <w:vAlign w:val="center"/>
            <w:hideMark/>
          </w:tcPr>
          <w:p w14:paraId="4282A81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2976B04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49546EC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472B895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6E76C827"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262F6E2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25</w:t>
            </w:r>
          </w:p>
        </w:tc>
        <w:tc>
          <w:tcPr>
            <w:tcW w:w="1261" w:type="dxa"/>
            <w:tcBorders>
              <w:top w:val="nil"/>
              <w:left w:val="nil"/>
              <w:bottom w:val="single" w:sz="4" w:space="0" w:color="auto"/>
              <w:right w:val="single" w:sz="4" w:space="0" w:color="auto"/>
            </w:tcBorders>
            <w:shd w:val="clear" w:color="000000" w:fill="FFFFFF"/>
            <w:vAlign w:val="center"/>
            <w:hideMark/>
          </w:tcPr>
          <w:p w14:paraId="04A1C81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përcaktimin e rasteve, kushteve dhe procedurave të marrjes së vendimit për përfshirjen e subjektit në regjistrin e posaçëm të subjekteve të përjashtuara"</w:t>
            </w:r>
          </w:p>
        </w:tc>
        <w:tc>
          <w:tcPr>
            <w:tcW w:w="1216" w:type="dxa"/>
            <w:tcBorders>
              <w:top w:val="nil"/>
              <w:left w:val="nil"/>
              <w:bottom w:val="single" w:sz="4" w:space="0" w:color="auto"/>
              <w:right w:val="single" w:sz="4" w:space="0" w:color="auto"/>
            </w:tcBorders>
            <w:shd w:val="clear" w:color="000000" w:fill="FFFFFF"/>
            <w:vAlign w:val="center"/>
            <w:hideMark/>
          </w:tcPr>
          <w:p w14:paraId="4D856F0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1301F9A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4DD32A6C"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390F584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pikës 2, të nenit 34, të ligjit 87/2024 "Për rregullimin e prodhimit, tregtimit, kërkimit dhe zhvillimit të armëve, municioneve, pajisjeve dhe teknologjive ushtarake"</w:t>
            </w:r>
          </w:p>
        </w:tc>
        <w:tc>
          <w:tcPr>
            <w:tcW w:w="3249" w:type="dxa"/>
            <w:tcBorders>
              <w:top w:val="nil"/>
              <w:left w:val="nil"/>
              <w:bottom w:val="single" w:sz="4" w:space="0" w:color="auto"/>
              <w:right w:val="single" w:sz="4" w:space="0" w:color="auto"/>
            </w:tcBorders>
            <w:shd w:val="clear" w:color="000000" w:fill="FFFFFF"/>
            <w:vAlign w:val="center"/>
            <w:hideMark/>
          </w:tcPr>
          <w:p w14:paraId="1CB9D2D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Ky projektakt do të përcaktojë kriteret, kushtet dhe procedurat për përfshirjen e subjekteve në regjistrin e posacësm të subjekteve të përjashtuara, që janë gjetur në shkelje të dispozitave referuese të këtij ligji apo që, nëpërmjet veprimtarisë së tyre të prodhimit apo tregtimit të armatimit ushtarak, kanë cenuar sigurinë kombëtare dhe ndërkombëtare</w:t>
            </w:r>
          </w:p>
        </w:tc>
        <w:tc>
          <w:tcPr>
            <w:tcW w:w="1085" w:type="dxa"/>
            <w:tcBorders>
              <w:top w:val="nil"/>
              <w:left w:val="nil"/>
              <w:bottom w:val="single" w:sz="4" w:space="0" w:color="auto"/>
              <w:right w:val="single" w:sz="4" w:space="0" w:color="auto"/>
            </w:tcBorders>
            <w:shd w:val="clear" w:color="000000" w:fill="FFFFFF"/>
            <w:vAlign w:val="center"/>
            <w:hideMark/>
          </w:tcPr>
          <w:p w14:paraId="1FD9528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6F40AEA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1F794F2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0BDE693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3C4FE114"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DE97F5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26</w:t>
            </w:r>
          </w:p>
        </w:tc>
        <w:tc>
          <w:tcPr>
            <w:tcW w:w="1261" w:type="dxa"/>
            <w:tcBorders>
              <w:top w:val="nil"/>
              <w:left w:val="nil"/>
              <w:bottom w:val="single" w:sz="4" w:space="0" w:color="auto"/>
              <w:right w:val="single" w:sz="4" w:space="0" w:color="auto"/>
            </w:tcBorders>
            <w:shd w:val="clear" w:color="000000" w:fill="FFFFFF"/>
            <w:vAlign w:val="center"/>
            <w:hideMark/>
          </w:tcPr>
          <w:p w14:paraId="61C6501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përcaktimin e kritereve për dhënien e medaljeve përkujtimore ushtarake dhe civile"</w:t>
            </w:r>
          </w:p>
        </w:tc>
        <w:tc>
          <w:tcPr>
            <w:tcW w:w="1216" w:type="dxa"/>
            <w:tcBorders>
              <w:top w:val="nil"/>
              <w:left w:val="nil"/>
              <w:bottom w:val="single" w:sz="4" w:space="0" w:color="auto"/>
              <w:right w:val="single" w:sz="4" w:space="0" w:color="auto"/>
            </w:tcBorders>
            <w:shd w:val="clear" w:color="000000" w:fill="FFFFFF"/>
            <w:vAlign w:val="center"/>
            <w:hideMark/>
          </w:tcPr>
          <w:p w14:paraId="0FFA8FD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1A6DFC8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087CDE4C"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3968BFA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Projektvendimi i propozuar ka për qëllim përcaktimin e kritereve për dhënien e medaljeve përkujtimore ushtarake dhe civile në zbatim të pikës 5, të nenit 15, të ligjit nr. 93/2022, “Për dekoratat në Republikën e Shqipërisë</w:t>
            </w:r>
          </w:p>
        </w:tc>
        <w:tc>
          <w:tcPr>
            <w:tcW w:w="3249" w:type="dxa"/>
            <w:tcBorders>
              <w:top w:val="nil"/>
              <w:left w:val="nil"/>
              <w:bottom w:val="single" w:sz="4" w:space="0" w:color="auto"/>
              <w:right w:val="single" w:sz="4" w:space="0" w:color="auto"/>
            </w:tcBorders>
            <w:shd w:val="clear" w:color="000000" w:fill="FFFFFF"/>
            <w:vAlign w:val="center"/>
            <w:hideMark/>
          </w:tcPr>
          <w:p w14:paraId="028C824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Sikurse dhe ligji përcakton në nenin 15 të tij, “Medaljet përkujtimore ushtarake dhe civile”, u jepen, sipas rastit, subjekteve që kanë marrë pjesë në, ngjarje të rëndësishme ushtarake dhe civile, operacione/misione ushtarake, operacione për menaxhimin e situatave të krijuara nga rastet e fatkeqësive natyrore ose emergjencave civile apo ngjarje të tjera të ngjashme me rastet e mësipërme sipas vlerësimit të autoritetit përgjegjës propozues.</w:t>
            </w:r>
            <w:r w:rsidRPr="00727111">
              <w:rPr>
                <w:rFonts w:ascii="Garamond" w:hAnsi="Garamond"/>
                <w:sz w:val="12"/>
                <w:szCs w:val="12"/>
                <w:lang w:eastAsia="sq-AL"/>
              </w:rPr>
              <w:br/>
            </w:r>
            <w:r w:rsidRPr="00727111">
              <w:rPr>
                <w:rFonts w:ascii="Garamond" w:hAnsi="Garamond"/>
                <w:sz w:val="12"/>
                <w:szCs w:val="12"/>
                <w:lang w:eastAsia="sq-AL"/>
              </w:rPr>
              <w:br/>
              <w:t>Medaljet përkujtimore ushtarake dhe civile krijohen me propozim të ministrit të Mbrojtjes me qëllim vlerësimin e shërbimit, punës dhe kontributit të personelit ushtarak ose civil gjatë pjesëmarrjes së tyre efektive në rastet e përcaktuara në paragrafin më sipër.</w:t>
            </w:r>
          </w:p>
        </w:tc>
        <w:tc>
          <w:tcPr>
            <w:tcW w:w="1085" w:type="dxa"/>
            <w:tcBorders>
              <w:top w:val="nil"/>
              <w:left w:val="nil"/>
              <w:bottom w:val="single" w:sz="4" w:space="0" w:color="auto"/>
              <w:right w:val="single" w:sz="4" w:space="0" w:color="auto"/>
            </w:tcBorders>
            <w:shd w:val="clear" w:color="000000" w:fill="FFFFFF"/>
            <w:vAlign w:val="center"/>
            <w:hideMark/>
          </w:tcPr>
          <w:p w14:paraId="636E516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1A36C3E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4207393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2A2A857D"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1D9B874C"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F7A9FD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27</w:t>
            </w:r>
          </w:p>
        </w:tc>
        <w:tc>
          <w:tcPr>
            <w:tcW w:w="1261" w:type="dxa"/>
            <w:tcBorders>
              <w:top w:val="nil"/>
              <w:left w:val="nil"/>
              <w:bottom w:val="single" w:sz="4" w:space="0" w:color="auto"/>
              <w:right w:val="single" w:sz="4" w:space="0" w:color="auto"/>
            </w:tcBorders>
            <w:shd w:val="clear" w:color="000000" w:fill="FFFFFF"/>
            <w:vAlign w:val="center"/>
            <w:hideMark/>
          </w:tcPr>
          <w:p w14:paraId="7E530AA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përcaktimin e kritereve për dhënien e Medaljes së Shërbimit Ushtarak"</w:t>
            </w:r>
          </w:p>
        </w:tc>
        <w:tc>
          <w:tcPr>
            <w:tcW w:w="1216" w:type="dxa"/>
            <w:tcBorders>
              <w:top w:val="nil"/>
              <w:left w:val="nil"/>
              <w:bottom w:val="single" w:sz="4" w:space="0" w:color="auto"/>
              <w:right w:val="single" w:sz="4" w:space="0" w:color="auto"/>
            </w:tcBorders>
            <w:shd w:val="clear" w:color="000000" w:fill="FFFFFF"/>
            <w:vAlign w:val="center"/>
            <w:hideMark/>
          </w:tcPr>
          <w:p w14:paraId="52CD1CD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21D8FC9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1C5DF595"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5BA323B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Projektvendimi i propozuar ka për qëllim përcaktimin e kritereve për dhënien e medaljes së shërbimit ushtarak në zbatim të pikës 4, të nenit 16, të ligjit nr. 93/2022, “Për dekoratat në Republikën e Shqipërisë”.</w:t>
            </w:r>
          </w:p>
        </w:tc>
        <w:tc>
          <w:tcPr>
            <w:tcW w:w="3249" w:type="dxa"/>
            <w:tcBorders>
              <w:top w:val="nil"/>
              <w:left w:val="nil"/>
              <w:bottom w:val="single" w:sz="4" w:space="0" w:color="auto"/>
              <w:right w:val="single" w:sz="4" w:space="0" w:color="auto"/>
            </w:tcBorders>
            <w:shd w:val="clear" w:color="000000" w:fill="FFFFFF"/>
            <w:vAlign w:val="center"/>
            <w:hideMark/>
          </w:tcPr>
          <w:p w14:paraId="1C9E852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Kjo medalje u jepet edhe ushtarakëve të huaj për merita dhe kontribut të veçantë për Forcat e Armatosura të Republikës së Shqipërisë.</w:t>
            </w:r>
            <w:r w:rsidRPr="00727111">
              <w:rPr>
                <w:rFonts w:ascii="Garamond" w:hAnsi="Garamond"/>
                <w:sz w:val="12"/>
                <w:szCs w:val="12"/>
                <w:lang w:eastAsia="sq-AL"/>
              </w:rPr>
              <w:br/>
            </w:r>
            <w:r w:rsidRPr="00727111">
              <w:rPr>
                <w:rFonts w:ascii="Garamond" w:hAnsi="Garamond"/>
                <w:sz w:val="12"/>
                <w:szCs w:val="12"/>
                <w:lang w:eastAsia="sq-AL"/>
              </w:rPr>
              <w:br/>
              <w:t>Qëllimi është njohja e kontributit dhe përkushtimit të personelit ushtarak dhe civil, që shërben në Forcat e Armatosura të Republikës së Shqipërisë, në mbrojtje të interesave të vendit dhe kryerjes me përgjegjësi të lartë dhe përkushtim të detyrave apo në interes të FARSH</w:t>
            </w:r>
          </w:p>
        </w:tc>
        <w:tc>
          <w:tcPr>
            <w:tcW w:w="1085" w:type="dxa"/>
            <w:tcBorders>
              <w:top w:val="nil"/>
              <w:left w:val="nil"/>
              <w:bottom w:val="single" w:sz="4" w:space="0" w:color="auto"/>
              <w:right w:val="single" w:sz="4" w:space="0" w:color="auto"/>
            </w:tcBorders>
            <w:shd w:val="clear" w:color="000000" w:fill="FFFFFF"/>
            <w:vAlign w:val="center"/>
            <w:hideMark/>
          </w:tcPr>
          <w:p w14:paraId="086779F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04BFE80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51353DD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02915CA3"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25FDA4F5"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72A23D4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28</w:t>
            </w:r>
          </w:p>
        </w:tc>
        <w:tc>
          <w:tcPr>
            <w:tcW w:w="1261" w:type="dxa"/>
            <w:tcBorders>
              <w:top w:val="nil"/>
              <w:left w:val="nil"/>
              <w:bottom w:val="single" w:sz="4" w:space="0" w:color="auto"/>
              <w:right w:val="single" w:sz="4" w:space="0" w:color="auto"/>
            </w:tcBorders>
            <w:shd w:val="clear" w:color="000000" w:fill="FFFFFF"/>
            <w:vAlign w:val="center"/>
            <w:hideMark/>
          </w:tcPr>
          <w:p w14:paraId="5515FFB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krijimin e medaljeve, shenjave dhe distinktivëve të veçantë të nderit, kriteret, procedurat dhe autoritetet përgjegjëse për dhënien e tyre në Forcat e Armatosura të Republikës së Shqipërisë"</w:t>
            </w:r>
          </w:p>
        </w:tc>
        <w:tc>
          <w:tcPr>
            <w:tcW w:w="1216" w:type="dxa"/>
            <w:tcBorders>
              <w:top w:val="nil"/>
              <w:left w:val="nil"/>
              <w:bottom w:val="single" w:sz="4" w:space="0" w:color="auto"/>
              <w:right w:val="single" w:sz="4" w:space="0" w:color="auto"/>
            </w:tcBorders>
            <w:shd w:val="clear" w:color="000000" w:fill="FFFFFF"/>
            <w:vAlign w:val="center"/>
            <w:hideMark/>
          </w:tcPr>
          <w:p w14:paraId="48002CC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49C1CC1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2ABE8DDB"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6B54D0B0"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Projektvendimi i propozuar ka për qëllim krijimin e medaljeve, shenjave dhe distinktivëve të veçantë të nderit, që i jepen personelit ushtarak dhe civil që shërben në Forcat e Armatosura të Republikës së Shqipërisë, si dhe për ushtarakët e huaj që shquhen për merita dhe kontribute të veçanta për Forcat e Armatosura të Republikës së Shqipërisë si dhe kriteret, procedurat dhe autoritetet përgjegjëse për dhënien e tyre.në zbatim të pikës 2, të nenit 18, të ligjit nr. 93/2022, “Për dekoratat në Republikën e Shqipërisë”.</w:t>
            </w:r>
          </w:p>
        </w:tc>
        <w:tc>
          <w:tcPr>
            <w:tcW w:w="3249" w:type="dxa"/>
            <w:tcBorders>
              <w:top w:val="nil"/>
              <w:left w:val="nil"/>
              <w:bottom w:val="single" w:sz="4" w:space="0" w:color="auto"/>
              <w:right w:val="single" w:sz="4" w:space="0" w:color="auto"/>
            </w:tcBorders>
            <w:shd w:val="clear" w:color="000000" w:fill="FFFFFF"/>
            <w:vAlign w:val="center"/>
            <w:hideMark/>
          </w:tcPr>
          <w:p w14:paraId="2FD6F0B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Projektvendimi i paraqitur ka si objekt të tij krijimin e medaljeve, shenjave dhe distinktivëve të veçantë të nderit, që i jepen personelit ushtarak dhe civil që shërben në Forcat e Armatosura të Republikës së Shqipërisë, si dhe për ushtarakët e huaj që shquhen për merita dhe kontribute të veçanta për Forcat e Armatosura të Republikës së Shqipërisë si dhe kriteret, procedurat dhe autoritetet përgjegjëse për dhënien e tyre.</w:t>
            </w:r>
            <w:r w:rsidRPr="00727111">
              <w:rPr>
                <w:rFonts w:ascii="Garamond" w:hAnsi="Garamond"/>
                <w:sz w:val="12"/>
                <w:szCs w:val="12"/>
                <w:lang w:eastAsia="sq-AL"/>
              </w:rPr>
              <w:br/>
            </w:r>
            <w:r w:rsidRPr="00727111">
              <w:rPr>
                <w:rFonts w:ascii="Garamond" w:hAnsi="Garamond"/>
                <w:sz w:val="12"/>
                <w:szCs w:val="12"/>
                <w:lang w:eastAsia="sq-AL"/>
              </w:rPr>
              <w:br/>
              <w:t>Ky vendim do të zbatohet në të gjithë territorin e Republikës së Shqipërisë, si dhe jashtë territorit të saj, ku personeli i Forcave të Armatosura të Republikës së Shqipërisë dërgohet me detyrë, mision, operacion ushtarak apo në ndihmë të popullsisë civile, shërbim, stërvitje të përbashkët ose mision diplomatik</w:t>
            </w:r>
          </w:p>
        </w:tc>
        <w:tc>
          <w:tcPr>
            <w:tcW w:w="1085" w:type="dxa"/>
            <w:tcBorders>
              <w:top w:val="nil"/>
              <w:left w:val="nil"/>
              <w:bottom w:val="single" w:sz="4" w:space="0" w:color="auto"/>
              <w:right w:val="single" w:sz="4" w:space="0" w:color="auto"/>
            </w:tcBorders>
            <w:shd w:val="clear" w:color="000000" w:fill="FFFFFF"/>
            <w:vAlign w:val="center"/>
            <w:hideMark/>
          </w:tcPr>
          <w:p w14:paraId="63DE65CA"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65F3DC2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5750F7D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583FE33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r>
      <w:tr w:rsidR="00E935C9" w:rsidRPr="00727111" w14:paraId="0093D529"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EADFFE8"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29</w:t>
            </w:r>
          </w:p>
        </w:tc>
        <w:tc>
          <w:tcPr>
            <w:tcW w:w="1261" w:type="dxa"/>
            <w:tcBorders>
              <w:top w:val="nil"/>
              <w:left w:val="nil"/>
              <w:bottom w:val="single" w:sz="4" w:space="0" w:color="auto"/>
              <w:right w:val="single" w:sz="4" w:space="0" w:color="auto"/>
            </w:tcBorders>
            <w:shd w:val="clear" w:color="000000" w:fill="FFFFFF"/>
            <w:vAlign w:val="center"/>
            <w:hideMark/>
          </w:tcPr>
          <w:p w14:paraId="443F23E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përcaktimin e masës së kompensimit të dëmeve, procedurat, afatet, strukturat shtetërore përgjegjëse për vlerësimin e dëmeve, si dhe pasuritë dhe subjektet që kompensohen si pasojë e një fatkeqësie."</w:t>
            </w:r>
          </w:p>
        </w:tc>
        <w:tc>
          <w:tcPr>
            <w:tcW w:w="1216" w:type="dxa"/>
            <w:tcBorders>
              <w:top w:val="nil"/>
              <w:left w:val="nil"/>
              <w:bottom w:val="single" w:sz="4" w:space="0" w:color="auto"/>
              <w:right w:val="single" w:sz="4" w:space="0" w:color="auto"/>
            </w:tcBorders>
            <w:shd w:val="clear" w:color="000000" w:fill="FFFFFF"/>
            <w:vAlign w:val="center"/>
            <w:hideMark/>
          </w:tcPr>
          <w:p w14:paraId="4551065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506E3FD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30948A21"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4D83D81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Në zbatim të pikës 6, e nenit 41 të ligjit nr. 45/2019 "Për mbrojtjen civile"</w:t>
            </w:r>
          </w:p>
        </w:tc>
        <w:tc>
          <w:tcPr>
            <w:tcW w:w="3249" w:type="dxa"/>
            <w:tcBorders>
              <w:top w:val="nil"/>
              <w:left w:val="nil"/>
              <w:bottom w:val="single" w:sz="4" w:space="0" w:color="auto"/>
              <w:right w:val="single" w:sz="4" w:space="0" w:color="auto"/>
            </w:tcBorders>
            <w:shd w:val="clear" w:color="000000" w:fill="FFFFFF"/>
            <w:vAlign w:val="center"/>
            <w:hideMark/>
          </w:tcPr>
          <w:p w14:paraId="5606153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Ky projektvendim ka per qellim përcaktimin e masës së kompensimit të dëmeve, procedurat, afatet, strukturat shtetërore përgjegjëse për vlerësimin e dëmeve, si dhe pasuritë dhe subjektet që kompensohen si pasojë e një fatkeqësie</w:t>
            </w:r>
          </w:p>
        </w:tc>
        <w:tc>
          <w:tcPr>
            <w:tcW w:w="1085" w:type="dxa"/>
            <w:tcBorders>
              <w:top w:val="nil"/>
              <w:left w:val="nil"/>
              <w:bottom w:val="single" w:sz="4" w:space="0" w:color="auto"/>
              <w:right w:val="single" w:sz="4" w:space="0" w:color="auto"/>
            </w:tcBorders>
            <w:shd w:val="clear" w:color="000000" w:fill="FFFFFF"/>
            <w:vAlign w:val="center"/>
            <w:hideMark/>
          </w:tcPr>
          <w:p w14:paraId="4267D809"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30" w:type="dxa"/>
            <w:tcBorders>
              <w:top w:val="nil"/>
              <w:left w:val="nil"/>
              <w:bottom w:val="single" w:sz="4" w:space="0" w:color="auto"/>
              <w:right w:val="single" w:sz="4" w:space="0" w:color="auto"/>
            </w:tcBorders>
            <w:shd w:val="clear" w:color="000000" w:fill="FFFFFF"/>
            <w:vAlign w:val="center"/>
            <w:hideMark/>
          </w:tcPr>
          <w:p w14:paraId="24D7A5F1"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0005CBC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7967076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r w:rsidR="00E935C9" w:rsidRPr="00727111" w14:paraId="659ACD1E" w14:textId="77777777" w:rsidTr="00E935C9">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426545F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30</w:t>
            </w:r>
          </w:p>
        </w:tc>
        <w:tc>
          <w:tcPr>
            <w:tcW w:w="1261" w:type="dxa"/>
            <w:tcBorders>
              <w:top w:val="nil"/>
              <w:left w:val="nil"/>
              <w:bottom w:val="single" w:sz="4" w:space="0" w:color="auto"/>
              <w:right w:val="single" w:sz="4" w:space="0" w:color="auto"/>
            </w:tcBorders>
            <w:shd w:val="clear" w:color="000000" w:fill="FFFFFF"/>
            <w:vAlign w:val="center"/>
            <w:hideMark/>
          </w:tcPr>
          <w:p w14:paraId="4239AD75"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"Për ngritjen dhe funksionimin e sistemit të numrit të unifikuar të thirrjeve emergjente 112.”</w:t>
            </w:r>
          </w:p>
        </w:tc>
        <w:tc>
          <w:tcPr>
            <w:tcW w:w="1216" w:type="dxa"/>
            <w:tcBorders>
              <w:top w:val="nil"/>
              <w:left w:val="nil"/>
              <w:bottom w:val="single" w:sz="4" w:space="0" w:color="auto"/>
              <w:right w:val="single" w:sz="4" w:space="0" w:color="auto"/>
            </w:tcBorders>
            <w:shd w:val="clear" w:color="000000" w:fill="FFFFFF"/>
            <w:vAlign w:val="center"/>
            <w:hideMark/>
          </w:tcPr>
          <w:p w14:paraId="39C0448F"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Projektvendim</w:t>
            </w:r>
          </w:p>
        </w:tc>
        <w:tc>
          <w:tcPr>
            <w:tcW w:w="940" w:type="dxa"/>
            <w:tcBorders>
              <w:top w:val="nil"/>
              <w:left w:val="nil"/>
              <w:bottom w:val="single" w:sz="4" w:space="0" w:color="auto"/>
              <w:right w:val="single" w:sz="4" w:space="0" w:color="auto"/>
            </w:tcBorders>
            <w:shd w:val="clear" w:color="000000" w:fill="FFFFFF"/>
            <w:vAlign w:val="center"/>
            <w:hideMark/>
          </w:tcPr>
          <w:p w14:paraId="201300BC"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Ministri i Mbrojtjes</w:t>
            </w:r>
          </w:p>
        </w:tc>
        <w:tc>
          <w:tcPr>
            <w:tcW w:w="1195" w:type="dxa"/>
            <w:tcBorders>
              <w:top w:val="nil"/>
              <w:left w:val="nil"/>
              <w:bottom w:val="single" w:sz="4" w:space="0" w:color="auto"/>
              <w:right w:val="single" w:sz="4" w:space="0" w:color="auto"/>
            </w:tcBorders>
            <w:shd w:val="clear" w:color="auto" w:fill="auto"/>
            <w:vAlign w:val="center"/>
            <w:hideMark/>
          </w:tcPr>
          <w:p w14:paraId="140FFD86" w14:textId="77777777" w:rsidR="00E935C9" w:rsidRPr="00727111" w:rsidRDefault="00E935C9" w:rsidP="00E935C9">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2085" w:type="dxa"/>
            <w:tcBorders>
              <w:top w:val="nil"/>
              <w:left w:val="nil"/>
              <w:bottom w:val="single" w:sz="4" w:space="0" w:color="auto"/>
              <w:right w:val="single" w:sz="4" w:space="0" w:color="auto"/>
            </w:tcBorders>
            <w:shd w:val="clear" w:color="000000" w:fill="FFFFFF"/>
            <w:vAlign w:val="center"/>
            <w:hideMark/>
          </w:tcPr>
          <w:p w14:paraId="447DAD42"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Ligji nr. 45/2019 “Për mbrojtjen civile” në nenin 47 parashikon se numri i unifikuar i thirrjeve emergjente 112 siguron komunikim, paralajmërim të hershëm, njoftim, alarm, informim, koordinim, vendimmarrje, aktivizim dhe ndërhyrje të integruar të strukturave operacionale në përballimin e aksidenteve dhe të situatave emergjente që mund të ndodhin në të gjithë vendin.</w:t>
            </w:r>
          </w:p>
        </w:tc>
        <w:tc>
          <w:tcPr>
            <w:tcW w:w="3249" w:type="dxa"/>
            <w:tcBorders>
              <w:top w:val="nil"/>
              <w:left w:val="nil"/>
              <w:bottom w:val="single" w:sz="4" w:space="0" w:color="auto"/>
              <w:right w:val="single" w:sz="4" w:space="0" w:color="auto"/>
            </w:tcBorders>
            <w:shd w:val="clear" w:color="000000" w:fill="FFFFFF"/>
            <w:vAlign w:val="center"/>
            <w:hideMark/>
          </w:tcPr>
          <w:p w14:paraId="246CA3EE"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Unifikimin e numrit 112 për cështjet e emergjencës.</w:t>
            </w:r>
          </w:p>
        </w:tc>
        <w:tc>
          <w:tcPr>
            <w:tcW w:w="1085" w:type="dxa"/>
            <w:tcBorders>
              <w:top w:val="nil"/>
              <w:left w:val="nil"/>
              <w:bottom w:val="single" w:sz="4" w:space="0" w:color="auto"/>
              <w:right w:val="single" w:sz="4" w:space="0" w:color="auto"/>
            </w:tcBorders>
            <w:shd w:val="clear" w:color="000000" w:fill="FFFFFF"/>
            <w:vAlign w:val="center"/>
            <w:hideMark/>
          </w:tcPr>
          <w:p w14:paraId="76D9AAF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 Kapitulli 10 "Shoqëria e informacionit dhe media"</w:t>
            </w:r>
          </w:p>
        </w:tc>
        <w:tc>
          <w:tcPr>
            <w:tcW w:w="1030" w:type="dxa"/>
            <w:tcBorders>
              <w:top w:val="nil"/>
              <w:left w:val="nil"/>
              <w:bottom w:val="single" w:sz="4" w:space="0" w:color="auto"/>
              <w:right w:val="single" w:sz="4" w:space="0" w:color="auto"/>
            </w:tcBorders>
            <w:shd w:val="clear" w:color="000000" w:fill="FFFFFF"/>
            <w:vAlign w:val="center"/>
            <w:hideMark/>
          </w:tcPr>
          <w:p w14:paraId="1780A6D7"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229" w:type="dxa"/>
            <w:tcBorders>
              <w:top w:val="nil"/>
              <w:left w:val="nil"/>
              <w:bottom w:val="single" w:sz="4" w:space="0" w:color="auto"/>
              <w:right w:val="single" w:sz="4" w:space="0" w:color="auto"/>
            </w:tcBorders>
            <w:shd w:val="clear" w:color="000000" w:fill="FFFFFF"/>
            <w:vAlign w:val="center"/>
            <w:hideMark/>
          </w:tcPr>
          <w:p w14:paraId="3D8D492B"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Jo</w:t>
            </w:r>
          </w:p>
        </w:tc>
        <w:tc>
          <w:tcPr>
            <w:tcW w:w="1090" w:type="dxa"/>
            <w:tcBorders>
              <w:top w:val="nil"/>
              <w:left w:val="nil"/>
              <w:bottom w:val="single" w:sz="4" w:space="0" w:color="auto"/>
              <w:right w:val="single" w:sz="4" w:space="0" w:color="auto"/>
            </w:tcBorders>
            <w:shd w:val="clear" w:color="000000" w:fill="FFFFFF"/>
            <w:vAlign w:val="center"/>
            <w:hideMark/>
          </w:tcPr>
          <w:p w14:paraId="703CBFE6" w14:textId="77777777" w:rsidR="00E935C9" w:rsidRPr="00727111" w:rsidRDefault="00E935C9" w:rsidP="00E935C9">
            <w:pPr>
              <w:jc w:val="center"/>
              <w:rPr>
                <w:rFonts w:ascii="Garamond" w:hAnsi="Garamond"/>
                <w:sz w:val="12"/>
                <w:szCs w:val="12"/>
                <w:lang w:eastAsia="sq-AL"/>
              </w:rPr>
            </w:pPr>
            <w:r w:rsidRPr="00727111">
              <w:rPr>
                <w:rFonts w:ascii="Garamond" w:hAnsi="Garamond"/>
                <w:sz w:val="12"/>
                <w:szCs w:val="12"/>
                <w:lang w:eastAsia="sq-AL"/>
              </w:rPr>
              <w:t>Po</w:t>
            </w:r>
          </w:p>
        </w:tc>
      </w:tr>
    </w:tbl>
    <w:p w14:paraId="6936EF7D" w14:textId="6D439712" w:rsidR="00E935C9" w:rsidRPr="00727111" w:rsidRDefault="00E935C9" w:rsidP="00593BF4">
      <w:pPr>
        <w:ind w:firstLine="284"/>
        <w:jc w:val="both"/>
        <w:rPr>
          <w:rFonts w:ascii="Garamond" w:hAnsi="Garamond"/>
          <w:b/>
          <w:sz w:val="24"/>
        </w:rPr>
      </w:pPr>
    </w:p>
    <w:p w14:paraId="5507863F" w14:textId="1CB610B5" w:rsidR="00E935C9" w:rsidRPr="00727111" w:rsidRDefault="00E935C9" w:rsidP="00593BF4">
      <w:pPr>
        <w:ind w:firstLine="284"/>
        <w:jc w:val="both"/>
        <w:rPr>
          <w:rFonts w:ascii="Garamond" w:hAnsi="Garamond"/>
          <w:b/>
          <w:sz w:val="24"/>
        </w:rPr>
      </w:pPr>
    </w:p>
    <w:p w14:paraId="0FAB9FDC" w14:textId="462085ED" w:rsidR="00E935C9" w:rsidRPr="00727111" w:rsidRDefault="00E935C9" w:rsidP="00593BF4">
      <w:pPr>
        <w:ind w:firstLine="284"/>
        <w:jc w:val="both"/>
        <w:rPr>
          <w:rFonts w:ascii="Garamond" w:hAnsi="Garamond"/>
          <w:b/>
          <w:sz w:val="24"/>
        </w:rPr>
      </w:pPr>
    </w:p>
    <w:p w14:paraId="68BEA81E" w14:textId="75446AA0" w:rsidR="00E935C9" w:rsidRPr="00727111" w:rsidRDefault="00E935C9" w:rsidP="00593BF4">
      <w:pPr>
        <w:ind w:firstLine="284"/>
        <w:jc w:val="both"/>
        <w:rPr>
          <w:rFonts w:ascii="Garamond" w:hAnsi="Garamond"/>
          <w:b/>
          <w:sz w:val="24"/>
        </w:rPr>
      </w:pPr>
    </w:p>
    <w:p w14:paraId="5CBB7342" w14:textId="103FCDD5" w:rsidR="00E935C9" w:rsidRPr="00727111" w:rsidRDefault="00E935C9" w:rsidP="00593BF4">
      <w:pPr>
        <w:ind w:firstLine="284"/>
        <w:jc w:val="both"/>
        <w:rPr>
          <w:rFonts w:ascii="Garamond" w:hAnsi="Garamond"/>
          <w:b/>
          <w:sz w:val="24"/>
        </w:rPr>
      </w:pPr>
    </w:p>
    <w:p w14:paraId="7AC81F92" w14:textId="6A7010E8" w:rsidR="00AE3D7C" w:rsidRPr="00727111" w:rsidRDefault="00AE3D7C" w:rsidP="00593BF4">
      <w:pPr>
        <w:ind w:firstLine="284"/>
        <w:jc w:val="both"/>
        <w:rPr>
          <w:rFonts w:ascii="Garamond" w:hAnsi="Garamond"/>
          <w:b/>
          <w:sz w:val="24"/>
        </w:rPr>
      </w:pPr>
    </w:p>
    <w:p w14:paraId="684591A2" w14:textId="0A2975ED" w:rsidR="00AE3D7C" w:rsidRPr="00727111" w:rsidRDefault="00AE3D7C" w:rsidP="00593BF4">
      <w:pPr>
        <w:ind w:firstLine="284"/>
        <w:jc w:val="both"/>
        <w:rPr>
          <w:rFonts w:ascii="Garamond" w:hAnsi="Garamond"/>
          <w:b/>
          <w:sz w:val="24"/>
        </w:rPr>
      </w:pPr>
    </w:p>
    <w:p w14:paraId="739DB9FF" w14:textId="77777777" w:rsidR="0037305E" w:rsidRPr="00727111" w:rsidRDefault="0037305E" w:rsidP="00593BF4">
      <w:pPr>
        <w:ind w:firstLine="284"/>
        <w:jc w:val="both"/>
        <w:rPr>
          <w:rFonts w:ascii="Garamond" w:hAnsi="Garamond"/>
          <w:b/>
          <w:sz w:val="24"/>
        </w:rPr>
      </w:pPr>
    </w:p>
    <w:tbl>
      <w:tblPr>
        <w:tblW w:w="14879" w:type="dxa"/>
        <w:jc w:val="center"/>
        <w:tblLayout w:type="fixed"/>
        <w:tblLook w:val="04A0" w:firstRow="1" w:lastRow="0" w:firstColumn="1" w:lastColumn="0" w:noHBand="0" w:noVBand="1"/>
      </w:tblPr>
      <w:tblGrid>
        <w:gridCol w:w="390"/>
        <w:gridCol w:w="2015"/>
        <w:gridCol w:w="1418"/>
        <w:gridCol w:w="1701"/>
        <w:gridCol w:w="1275"/>
        <w:gridCol w:w="1701"/>
        <w:gridCol w:w="1725"/>
        <w:gridCol w:w="1106"/>
        <w:gridCol w:w="1266"/>
        <w:gridCol w:w="1359"/>
        <w:gridCol w:w="923"/>
      </w:tblGrid>
      <w:tr w:rsidR="0037305E" w:rsidRPr="00727111" w14:paraId="30DB15AB" w14:textId="77777777" w:rsidTr="00AD070E">
        <w:trPr>
          <w:trHeight w:val="180"/>
          <w:jc w:val="center"/>
        </w:trPr>
        <w:tc>
          <w:tcPr>
            <w:tcW w:w="14879"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33ED4775" w14:textId="77777777" w:rsidR="0037305E" w:rsidRPr="00727111" w:rsidRDefault="0037305E" w:rsidP="0037305E">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Programi i Përgjithshëm Analitik i Projektakteve për vitin 2025</w:t>
            </w:r>
          </w:p>
        </w:tc>
      </w:tr>
      <w:tr w:rsidR="0037305E" w:rsidRPr="00727111" w14:paraId="70226984" w14:textId="77777777" w:rsidTr="00AD070E">
        <w:trPr>
          <w:trHeight w:val="180"/>
          <w:jc w:val="center"/>
        </w:trPr>
        <w:tc>
          <w:tcPr>
            <w:tcW w:w="14879" w:type="dxa"/>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5FDB0382" w14:textId="77777777" w:rsidR="0037305E" w:rsidRPr="00727111" w:rsidRDefault="0037305E" w:rsidP="0037305E">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Ministria e Shëndetësisë dhe Mbrojtjes Sociale</w:t>
            </w:r>
          </w:p>
        </w:tc>
      </w:tr>
      <w:tr w:rsidR="0037305E" w:rsidRPr="00727111" w14:paraId="1E8F900C" w14:textId="77777777" w:rsidTr="00AD070E">
        <w:trPr>
          <w:trHeight w:val="180"/>
          <w:jc w:val="center"/>
        </w:trPr>
        <w:tc>
          <w:tcPr>
            <w:tcW w:w="390" w:type="dxa"/>
            <w:tcBorders>
              <w:top w:val="nil"/>
              <w:left w:val="single" w:sz="4" w:space="0" w:color="auto"/>
              <w:bottom w:val="single" w:sz="4" w:space="0" w:color="auto"/>
              <w:right w:val="single" w:sz="4" w:space="0" w:color="auto"/>
            </w:tcBorders>
            <w:shd w:val="clear" w:color="000000" w:fill="C00000"/>
            <w:vAlign w:val="center"/>
            <w:hideMark/>
          </w:tcPr>
          <w:p w14:paraId="7336DE3E"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Nr.</w:t>
            </w:r>
          </w:p>
        </w:tc>
        <w:tc>
          <w:tcPr>
            <w:tcW w:w="2015" w:type="dxa"/>
            <w:tcBorders>
              <w:top w:val="nil"/>
              <w:left w:val="nil"/>
              <w:bottom w:val="single" w:sz="4" w:space="0" w:color="auto"/>
              <w:right w:val="single" w:sz="4" w:space="0" w:color="auto"/>
            </w:tcBorders>
            <w:shd w:val="clear" w:color="000000" w:fill="C00000"/>
            <w:vAlign w:val="center"/>
            <w:hideMark/>
          </w:tcPr>
          <w:p w14:paraId="1AF8E2F1"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Titulli i projektaktit</w:t>
            </w:r>
          </w:p>
        </w:tc>
        <w:tc>
          <w:tcPr>
            <w:tcW w:w="1418" w:type="dxa"/>
            <w:tcBorders>
              <w:top w:val="nil"/>
              <w:left w:val="nil"/>
              <w:bottom w:val="single" w:sz="4" w:space="0" w:color="auto"/>
              <w:right w:val="single" w:sz="4" w:space="0" w:color="auto"/>
            </w:tcBorders>
            <w:shd w:val="clear" w:color="000000" w:fill="C00000"/>
            <w:vAlign w:val="center"/>
            <w:hideMark/>
          </w:tcPr>
          <w:p w14:paraId="5926F91D"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Lloji i projektaktit</w:t>
            </w:r>
          </w:p>
        </w:tc>
        <w:tc>
          <w:tcPr>
            <w:tcW w:w="1701" w:type="dxa"/>
            <w:tcBorders>
              <w:top w:val="nil"/>
              <w:left w:val="nil"/>
              <w:bottom w:val="single" w:sz="4" w:space="0" w:color="auto"/>
              <w:right w:val="single" w:sz="4" w:space="0" w:color="auto"/>
            </w:tcBorders>
            <w:shd w:val="clear" w:color="000000" w:fill="C00000"/>
            <w:vAlign w:val="center"/>
            <w:hideMark/>
          </w:tcPr>
          <w:p w14:paraId="472FA4E7"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Ministri propozues</w:t>
            </w:r>
          </w:p>
        </w:tc>
        <w:tc>
          <w:tcPr>
            <w:tcW w:w="1275" w:type="dxa"/>
            <w:tcBorders>
              <w:top w:val="nil"/>
              <w:left w:val="nil"/>
              <w:bottom w:val="single" w:sz="4" w:space="0" w:color="auto"/>
              <w:right w:val="single" w:sz="4" w:space="0" w:color="auto"/>
            </w:tcBorders>
            <w:shd w:val="clear" w:color="000000" w:fill="C00000"/>
            <w:vAlign w:val="center"/>
            <w:hideMark/>
          </w:tcPr>
          <w:p w14:paraId="09D603D1"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Katër mujori</w:t>
            </w:r>
          </w:p>
        </w:tc>
        <w:tc>
          <w:tcPr>
            <w:tcW w:w="1701" w:type="dxa"/>
            <w:tcBorders>
              <w:top w:val="nil"/>
              <w:left w:val="nil"/>
              <w:bottom w:val="single" w:sz="4" w:space="0" w:color="auto"/>
              <w:right w:val="single" w:sz="4" w:space="0" w:color="auto"/>
            </w:tcBorders>
            <w:shd w:val="clear" w:color="000000" w:fill="C00000"/>
            <w:vAlign w:val="center"/>
            <w:hideMark/>
          </w:tcPr>
          <w:p w14:paraId="725D30DB"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Arsyet kryesore për propozimin e projektaktit</w:t>
            </w:r>
          </w:p>
        </w:tc>
        <w:tc>
          <w:tcPr>
            <w:tcW w:w="1725" w:type="dxa"/>
            <w:tcBorders>
              <w:top w:val="nil"/>
              <w:left w:val="nil"/>
              <w:bottom w:val="single" w:sz="4" w:space="0" w:color="auto"/>
              <w:right w:val="single" w:sz="4" w:space="0" w:color="auto"/>
            </w:tcBorders>
            <w:shd w:val="clear" w:color="000000" w:fill="C00000"/>
            <w:vAlign w:val="center"/>
            <w:hideMark/>
          </w:tcPr>
          <w:p w14:paraId="7C2829C8"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 xml:space="preserve">Çështjet kryesore që parashikon të rregullojë projektakti </w:t>
            </w:r>
          </w:p>
        </w:tc>
        <w:tc>
          <w:tcPr>
            <w:tcW w:w="1106" w:type="dxa"/>
            <w:tcBorders>
              <w:top w:val="nil"/>
              <w:left w:val="nil"/>
              <w:bottom w:val="single" w:sz="4" w:space="0" w:color="auto"/>
              <w:right w:val="single" w:sz="4" w:space="0" w:color="auto"/>
            </w:tcBorders>
            <w:shd w:val="clear" w:color="000000" w:fill="C00000"/>
            <w:vAlign w:val="center"/>
            <w:hideMark/>
          </w:tcPr>
          <w:p w14:paraId="2BD7D0F9"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A është parashikuar projektakti në PKIE?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po, të specifikohet kapitulli përkatës</w:t>
            </w:r>
          </w:p>
        </w:tc>
        <w:tc>
          <w:tcPr>
            <w:tcW w:w="1266" w:type="dxa"/>
            <w:tcBorders>
              <w:top w:val="nil"/>
              <w:left w:val="nil"/>
              <w:bottom w:val="single" w:sz="4" w:space="0" w:color="auto"/>
              <w:right w:val="single" w:sz="4" w:space="0" w:color="auto"/>
            </w:tcBorders>
            <w:shd w:val="clear" w:color="000000" w:fill="C00000"/>
            <w:vAlign w:val="center"/>
            <w:hideMark/>
          </w:tcPr>
          <w:p w14:paraId="1178A8EA"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Përputhshmëria e projektaktit me programin politik qeverisës 2021-2025</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përputhet, të jepet  referenca e saktë në progam</w:t>
            </w:r>
          </w:p>
        </w:tc>
        <w:tc>
          <w:tcPr>
            <w:tcW w:w="1359" w:type="dxa"/>
            <w:tcBorders>
              <w:top w:val="nil"/>
              <w:left w:val="nil"/>
              <w:bottom w:val="single" w:sz="4" w:space="0" w:color="auto"/>
              <w:right w:val="single" w:sz="4" w:space="0" w:color="auto"/>
            </w:tcBorders>
            <w:shd w:val="clear" w:color="000000" w:fill="C00000"/>
            <w:vAlign w:val="center"/>
            <w:hideMark/>
          </w:tcPr>
          <w:p w14:paraId="5CF4E549"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Lidhja e projektaktit me strategjitë kombëtare dhe sektoriale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Nëse lidhet, të specifikohen strategjitë</w:t>
            </w:r>
          </w:p>
        </w:tc>
        <w:tc>
          <w:tcPr>
            <w:tcW w:w="923" w:type="dxa"/>
            <w:tcBorders>
              <w:top w:val="nil"/>
              <w:left w:val="nil"/>
              <w:bottom w:val="single" w:sz="4" w:space="0" w:color="auto"/>
              <w:right w:val="single" w:sz="4" w:space="0" w:color="auto"/>
            </w:tcBorders>
            <w:shd w:val="clear" w:color="000000" w:fill="C00000"/>
            <w:vAlign w:val="center"/>
            <w:hideMark/>
          </w:tcPr>
          <w:p w14:paraId="3A0CF7EA" w14:textId="77777777" w:rsidR="0037305E" w:rsidRPr="00727111" w:rsidRDefault="0037305E" w:rsidP="0037305E">
            <w:pPr>
              <w:jc w:val="center"/>
              <w:rPr>
                <w:rFonts w:ascii="Garamond" w:hAnsi="Garamond"/>
                <w:b/>
                <w:bCs/>
                <w:color w:val="FFFFFF"/>
                <w:sz w:val="12"/>
                <w:szCs w:val="12"/>
                <w:lang w:eastAsia="sq-AL"/>
              </w:rPr>
            </w:pPr>
            <w:r w:rsidRPr="00727111">
              <w:rPr>
                <w:rFonts w:ascii="Garamond" w:hAnsi="Garamond"/>
                <w:b/>
                <w:bCs/>
                <w:color w:val="FFFFFF"/>
                <w:sz w:val="12"/>
                <w:szCs w:val="12"/>
                <w:lang w:eastAsia="sq-AL"/>
              </w:rPr>
              <w:t>Ndikimet e mundshme ekonomike, financiare, sociale dhe mjedisore</w:t>
            </w:r>
            <w:r w:rsidRPr="00727111">
              <w:rPr>
                <w:rFonts w:ascii="Garamond" w:hAnsi="Garamond"/>
                <w:b/>
                <w:bCs/>
                <w:color w:val="FFFFFF"/>
                <w:sz w:val="12"/>
                <w:szCs w:val="12"/>
                <w:lang w:eastAsia="sq-AL"/>
              </w:rPr>
              <w:br/>
            </w:r>
            <w:r w:rsidRPr="00727111">
              <w:rPr>
                <w:rFonts w:ascii="Garamond" w:hAnsi="Garamond"/>
                <w:b/>
                <w:bCs/>
                <w:color w:val="FFFFFF"/>
                <w:sz w:val="12"/>
                <w:szCs w:val="12"/>
                <w:lang w:eastAsia="sq-AL"/>
              </w:rPr>
              <w:br/>
              <w:t xml:space="preserve">Përgjigjuni me Po/Jo për ndikimet përkatëse </w:t>
            </w:r>
          </w:p>
        </w:tc>
      </w:tr>
      <w:tr w:rsidR="0037305E" w:rsidRPr="00727111" w14:paraId="26014F41" w14:textId="77777777" w:rsidTr="00AD070E">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0495CD24"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1</w:t>
            </w:r>
          </w:p>
        </w:tc>
        <w:tc>
          <w:tcPr>
            <w:tcW w:w="2015" w:type="dxa"/>
            <w:tcBorders>
              <w:top w:val="nil"/>
              <w:left w:val="nil"/>
              <w:bottom w:val="single" w:sz="4" w:space="0" w:color="auto"/>
              <w:right w:val="single" w:sz="4" w:space="0" w:color="auto"/>
            </w:tcBorders>
            <w:shd w:val="clear" w:color="auto" w:fill="auto"/>
            <w:vAlign w:val="center"/>
            <w:hideMark/>
          </w:tcPr>
          <w:p w14:paraId="01EB9B13"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"Për hartimin e Dokumentit Politik Kombëtar për Moshimin dhe të Planit të Veprimit për Zbatimin e tj 2025-2030 ”</w:t>
            </w:r>
          </w:p>
        </w:tc>
        <w:tc>
          <w:tcPr>
            <w:tcW w:w="1418" w:type="dxa"/>
            <w:tcBorders>
              <w:top w:val="nil"/>
              <w:left w:val="nil"/>
              <w:bottom w:val="single" w:sz="4" w:space="0" w:color="auto"/>
              <w:right w:val="single" w:sz="4" w:space="0" w:color="auto"/>
            </w:tcBorders>
            <w:shd w:val="clear" w:color="auto" w:fill="auto"/>
            <w:vAlign w:val="center"/>
            <w:hideMark/>
          </w:tcPr>
          <w:p w14:paraId="46A8D5D5"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5620337B"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Shëndetësisë dhe Mbrojtjes Sociale</w:t>
            </w:r>
          </w:p>
        </w:tc>
        <w:tc>
          <w:tcPr>
            <w:tcW w:w="1275" w:type="dxa"/>
            <w:tcBorders>
              <w:top w:val="nil"/>
              <w:left w:val="nil"/>
              <w:bottom w:val="single" w:sz="4" w:space="0" w:color="auto"/>
              <w:right w:val="single" w:sz="4" w:space="0" w:color="auto"/>
            </w:tcBorders>
            <w:shd w:val="clear" w:color="auto" w:fill="auto"/>
            <w:vAlign w:val="center"/>
            <w:hideMark/>
          </w:tcPr>
          <w:p w14:paraId="2C63E421"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1701" w:type="dxa"/>
            <w:tcBorders>
              <w:top w:val="nil"/>
              <w:left w:val="nil"/>
              <w:bottom w:val="single" w:sz="4" w:space="0" w:color="auto"/>
              <w:right w:val="single" w:sz="4" w:space="0" w:color="auto"/>
            </w:tcBorders>
            <w:shd w:val="clear" w:color="auto" w:fill="auto"/>
            <w:vAlign w:val="center"/>
            <w:hideMark/>
          </w:tcPr>
          <w:p w14:paraId="0F3395CA"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Në zbatim të objektivave për politikat sociale në SKZHIE dhe programit të qeverisë.Dokumenti Politik Kombëtar për Moshimin 2025-2030 do të hartohet në përfundim të Planit paraprirës për Moshimin 2019-2024 miratuar me Vendim nr. 864, datë 24.12.2019.</w:t>
            </w:r>
          </w:p>
        </w:tc>
        <w:tc>
          <w:tcPr>
            <w:tcW w:w="1725" w:type="dxa"/>
            <w:tcBorders>
              <w:top w:val="nil"/>
              <w:left w:val="nil"/>
              <w:bottom w:val="single" w:sz="4" w:space="0" w:color="auto"/>
              <w:right w:val="single" w:sz="4" w:space="0" w:color="auto"/>
            </w:tcBorders>
            <w:shd w:val="clear" w:color="auto" w:fill="auto"/>
            <w:vAlign w:val="center"/>
            <w:hideMark/>
          </w:tcPr>
          <w:p w14:paraId="49062B04"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 xml:space="preserve">Projektvendimi synon integrimin e të moshuarve në shoqëri, për një jetë më të gjatë, të shëndetshme dhe produktive dhe përditëesimin e objektivave dhe masave në përputhje me ndryshimet demografike. </w:t>
            </w:r>
          </w:p>
        </w:tc>
        <w:tc>
          <w:tcPr>
            <w:tcW w:w="1106" w:type="dxa"/>
            <w:tcBorders>
              <w:top w:val="nil"/>
              <w:left w:val="nil"/>
              <w:bottom w:val="single" w:sz="4" w:space="0" w:color="auto"/>
              <w:right w:val="single" w:sz="4" w:space="0" w:color="auto"/>
            </w:tcBorders>
            <w:shd w:val="clear" w:color="auto" w:fill="auto"/>
            <w:vAlign w:val="center"/>
            <w:hideMark/>
          </w:tcPr>
          <w:p w14:paraId="0CAD20FB"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Jo</w:t>
            </w:r>
          </w:p>
        </w:tc>
        <w:tc>
          <w:tcPr>
            <w:tcW w:w="1266" w:type="dxa"/>
            <w:tcBorders>
              <w:top w:val="nil"/>
              <w:left w:val="nil"/>
              <w:bottom w:val="single" w:sz="4" w:space="0" w:color="auto"/>
              <w:right w:val="single" w:sz="4" w:space="0" w:color="auto"/>
            </w:tcBorders>
            <w:shd w:val="clear" w:color="auto" w:fill="auto"/>
            <w:vAlign w:val="center"/>
            <w:hideMark/>
          </w:tcPr>
          <w:p w14:paraId="68D6FF91"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Programi i qeverisë 2021-2025 (Mirëqenie për të gjithë, Familja: Kujdesi për të moshuarit dhe qytetarët më në nevojë)</w:t>
            </w:r>
          </w:p>
        </w:tc>
        <w:tc>
          <w:tcPr>
            <w:tcW w:w="1359" w:type="dxa"/>
            <w:tcBorders>
              <w:top w:val="nil"/>
              <w:left w:val="nil"/>
              <w:bottom w:val="single" w:sz="4" w:space="0" w:color="auto"/>
              <w:right w:val="single" w:sz="4" w:space="0" w:color="auto"/>
            </w:tcBorders>
            <w:shd w:val="clear" w:color="auto" w:fill="auto"/>
            <w:vAlign w:val="center"/>
            <w:hideMark/>
          </w:tcPr>
          <w:p w14:paraId="1B175B55"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br/>
              <w:t xml:space="preserve">Strategjia Kombëtare për Zhvillim dhe Integrim II - Shtylla 3: ''Investimi në Kapitalin Njerëzor dhe Kohezion Social''.  </w:t>
            </w:r>
            <w:r w:rsidRPr="00727111">
              <w:rPr>
                <w:rFonts w:ascii="Garamond" w:hAnsi="Garamond"/>
                <w:sz w:val="12"/>
                <w:szCs w:val="12"/>
                <w:lang w:eastAsia="sq-AL"/>
              </w:rPr>
              <w:br/>
              <w:t xml:space="preserve">Dokumenti i Politikave për Moshimin </w:t>
            </w:r>
          </w:p>
        </w:tc>
        <w:tc>
          <w:tcPr>
            <w:tcW w:w="923" w:type="dxa"/>
            <w:tcBorders>
              <w:top w:val="nil"/>
              <w:left w:val="nil"/>
              <w:bottom w:val="single" w:sz="4" w:space="0" w:color="auto"/>
              <w:right w:val="single" w:sz="4" w:space="0" w:color="auto"/>
            </w:tcBorders>
            <w:shd w:val="clear" w:color="auto" w:fill="auto"/>
            <w:vAlign w:val="center"/>
            <w:hideMark/>
          </w:tcPr>
          <w:p w14:paraId="6A1796CE"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 xml:space="preserve">Ndikim financiar dhe social. </w:t>
            </w:r>
          </w:p>
        </w:tc>
      </w:tr>
      <w:tr w:rsidR="0037305E" w:rsidRPr="00727111" w14:paraId="328522EE" w14:textId="77777777" w:rsidTr="00AD070E">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1B4A321A"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2</w:t>
            </w:r>
          </w:p>
        </w:tc>
        <w:tc>
          <w:tcPr>
            <w:tcW w:w="2015" w:type="dxa"/>
            <w:tcBorders>
              <w:top w:val="nil"/>
              <w:left w:val="nil"/>
              <w:bottom w:val="single" w:sz="4" w:space="0" w:color="auto"/>
              <w:right w:val="single" w:sz="4" w:space="0" w:color="auto"/>
            </w:tcBorders>
            <w:shd w:val="clear" w:color="auto" w:fill="auto"/>
            <w:vAlign w:val="center"/>
            <w:hideMark/>
          </w:tcPr>
          <w:p w14:paraId="0870DFD9"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Projektligj ''Për disa shtesa dhe ndryshime në ligjin 9970, datë 24.7.2008 'Për barazinë gjinore në shoqëri''. </w:t>
            </w:r>
          </w:p>
        </w:tc>
        <w:tc>
          <w:tcPr>
            <w:tcW w:w="1418" w:type="dxa"/>
            <w:tcBorders>
              <w:top w:val="nil"/>
              <w:left w:val="nil"/>
              <w:bottom w:val="single" w:sz="4" w:space="0" w:color="auto"/>
              <w:right w:val="single" w:sz="4" w:space="0" w:color="auto"/>
            </w:tcBorders>
            <w:shd w:val="clear" w:color="auto" w:fill="auto"/>
            <w:vAlign w:val="center"/>
            <w:hideMark/>
          </w:tcPr>
          <w:p w14:paraId="6D48377C"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701" w:type="dxa"/>
            <w:tcBorders>
              <w:top w:val="nil"/>
              <w:left w:val="nil"/>
              <w:bottom w:val="single" w:sz="4" w:space="0" w:color="auto"/>
              <w:right w:val="single" w:sz="4" w:space="0" w:color="auto"/>
            </w:tcBorders>
            <w:shd w:val="clear" w:color="auto" w:fill="auto"/>
            <w:vAlign w:val="center"/>
            <w:hideMark/>
          </w:tcPr>
          <w:p w14:paraId="06857DF8"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Shëndetësisë dhe Mbrojtjes Sociale</w:t>
            </w:r>
          </w:p>
        </w:tc>
        <w:tc>
          <w:tcPr>
            <w:tcW w:w="1275" w:type="dxa"/>
            <w:tcBorders>
              <w:top w:val="nil"/>
              <w:left w:val="nil"/>
              <w:bottom w:val="single" w:sz="4" w:space="0" w:color="auto"/>
              <w:right w:val="single" w:sz="4" w:space="0" w:color="auto"/>
            </w:tcBorders>
            <w:shd w:val="clear" w:color="auto" w:fill="auto"/>
            <w:vAlign w:val="center"/>
            <w:hideMark/>
          </w:tcPr>
          <w:p w14:paraId="4A3E588D"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1701" w:type="dxa"/>
            <w:tcBorders>
              <w:top w:val="nil"/>
              <w:left w:val="nil"/>
              <w:bottom w:val="single" w:sz="4" w:space="0" w:color="auto"/>
              <w:right w:val="single" w:sz="4" w:space="0" w:color="auto"/>
            </w:tcBorders>
            <w:shd w:val="clear" w:color="auto" w:fill="auto"/>
            <w:vAlign w:val="center"/>
            <w:hideMark/>
          </w:tcPr>
          <w:p w14:paraId="54D801AC"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 xml:space="preserve">Ligji nr. 9970, datë 24.7.2008 “Për barazinë gjinore në shoqëri”, si pasojë e zhvillimeve ligjore dhe sociale duhet të rishikohet për të reflektuar kërkesat, nevojat dhe sfida të tjera përpara punës së institucioneve dhe dinamikat të lidhura edhe me ngjarjet e tërmetit të shtatorit 2019, pandemia Covid19, kërkesat që burojnë nga përafrimi i legjislacionit me Acquis dhe Kapitullin 19: Politikat Sociale dhe Të Punësimit dhe rekomandimet e raporteve kombëtare dhe ndërkombëtare. </w:t>
            </w:r>
          </w:p>
        </w:tc>
        <w:tc>
          <w:tcPr>
            <w:tcW w:w="1725" w:type="dxa"/>
            <w:tcBorders>
              <w:top w:val="nil"/>
              <w:left w:val="nil"/>
              <w:bottom w:val="single" w:sz="4" w:space="0" w:color="auto"/>
              <w:right w:val="single" w:sz="4" w:space="0" w:color="auto"/>
            </w:tcBorders>
            <w:shd w:val="clear" w:color="auto" w:fill="auto"/>
            <w:vAlign w:val="center"/>
            <w:hideMark/>
          </w:tcPr>
          <w:p w14:paraId="7DC50543"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 xml:space="preserve">Ndryshimet ligjore do të adresojnë konceptet dhe përkufizimet për barazinë gjinore në shoqëri, të harmonizuara me standardet ndërkombëtare dhe Aquis të BE-së. Po ashtu, përmes ndryshimeve ligjore synohet forcimi i mekanizmave për nxitjen e zbatimit të masave për barazinë gjinore në nivel kombëtar, saktësimin e masave për çështje të aktualitetit dhe trajtimi të drejtave sociale-ekonomike, diversifikimi i pabarazive si edhe evolimi i formave të dhunës në trajta të ndryshme dhe më të sofistikuara. </w:t>
            </w:r>
          </w:p>
        </w:tc>
        <w:tc>
          <w:tcPr>
            <w:tcW w:w="1106" w:type="dxa"/>
            <w:tcBorders>
              <w:top w:val="nil"/>
              <w:left w:val="nil"/>
              <w:bottom w:val="single" w:sz="4" w:space="0" w:color="auto"/>
              <w:right w:val="single" w:sz="4" w:space="0" w:color="auto"/>
            </w:tcBorders>
            <w:shd w:val="clear" w:color="auto" w:fill="auto"/>
            <w:vAlign w:val="center"/>
            <w:hideMark/>
          </w:tcPr>
          <w:p w14:paraId="0A67DD1F"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Po, Kapitulli 19 "Politikat Sociale dhe të Punësimit"</w:t>
            </w:r>
          </w:p>
        </w:tc>
        <w:tc>
          <w:tcPr>
            <w:tcW w:w="1266" w:type="dxa"/>
            <w:tcBorders>
              <w:top w:val="nil"/>
              <w:left w:val="nil"/>
              <w:bottom w:val="single" w:sz="4" w:space="0" w:color="auto"/>
              <w:right w:val="single" w:sz="4" w:space="0" w:color="auto"/>
            </w:tcBorders>
            <w:shd w:val="clear" w:color="auto" w:fill="auto"/>
            <w:vAlign w:val="center"/>
            <w:hideMark/>
          </w:tcPr>
          <w:p w14:paraId="4D9A9274"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Programi i qeverisë 2021-2025 (Mirëqenie për të gjithë,  Pabarazitë)</w:t>
            </w:r>
          </w:p>
        </w:tc>
        <w:tc>
          <w:tcPr>
            <w:tcW w:w="1359" w:type="dxa"/>
            <w:tcBorders>
              <w:top w:val="nil"/>
              <w:left w:val="nil"/>
              <w:bottom w:val="single" w:sz="4" w:space="0" w:color="auto"/>
              <w:right w:val="single" w:sz="4" w:space="0" w:color="auto"/>
            </w:tcBorders>
            <w:shd w:val="clear" w:color="auto" w:fill="auto"/>
            <w:vAlign w:val="center"/>
            <w:hideMark/>
          </w:tcPr>
          <w:p w14:paraId="3DF13BB7"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br/>
            </w:r>
            <w:r w:rsidRPr="00727111">
              <w:rPr>
                <w:rFonts w:ascii="Garamond" w:hAnsi="Garamond"/>
                <w:sz w:val="12"/>
                <w:szCs w:val="12"/>
                <w:lang w:eastAsia="sq-AL"/>
              </w:rPr>
              <w:br/>
              <w:t>Strategjia Kombëtare për Zhvillim dhe Integrim II - Shtylla 3: ''Investimi në Kapitalin Njerëzor dhe Kohezion Social''.  Strategjia Kombëtare për Barazinë Gjinore 2021-2030.</w:t>
            </w:r>
            <w:r w:rsidRPr="00727111">
              <w:rPr>
                <w:rFonts w:ascii="Garamond" w:hAnsi="Garamond"/>
                <w:sz w:val="12"/>
                <w:szCs w:val="12"/>
                <w:lang w:eastAsia="sq-AL"/>
              </w:rPr>
              <w:br/>
            </w:r>
            <w:r w:rsidRPr="00727111">
              <w:rPr>
                <w:rFonts w:ascii="Garamond" w:hAnsi="Garamond"/>
                <w:sz w:val="12"/>
                <w:szCs w:val="12"/>
                <w:lang w:eastAsia="sq-AL"/>
              </w:rPr>
              <w:br/>
              <w:t xml:space="preserve">Plani Kombëtar për Integrimin Evropian 2024-2026 </w:t>
            </w:r>
          </w:p>
        </w:tc>
        <w:tc>
          <w:tcPr>
            <w:tcW w:w="923" w:type="dxa"/>
            <w:tcBorders>
              <w:top w:val="nil"/>
              <w:left w:val="nil"/>
              <w:bottom w:val="single" w:sz="4" w:space="0" w:color="auto"/>
              <w:right w:val="single" w:sz="4" w:space="0" w:color="auto"/>
            </w:tcBorders>
            <w:shd w:val="clear" w:color="auto" w:fill="auto"/>
            <w:vAlign w:val="center"/>
            <w:hideMark/>
          </w:tcPr>
          <w:p w14:paraId="6A8CB192"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 xml:space="preserve">Ndikim financiar dhe social. </w:t>
            </w:r>
          </w:p>
        </w:tc>
      </w:tr>
      <w:tr w:rsidR="0037305E" w:rsidRPr="00727111" w14:paraId="22673E37" w14:textId="77777777" w:rsidTr="00AD070E">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899C5B9"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3</w:t>
            </w:r>
          </w:p>
        </w:tc>
        <w:tc>
          <w:tcPr>
            <w:tcW w:w="2015" w:type="dxa"/>
            <w:tcBorders>
              <w:top w:val="nil"/>
              <w:left w:val="nil"/>
              <w:bottom w:val="single" w:sz="4" w:space="0" w:color="auto"/>
              <w:right w:val="single" w:sz="4" w:space="0" w:color="auto"/>
            </w:tcBorders>
            <w:shd w:val="clear" w:color="auto" w:fill="auto"/>
            <w:vAlign w:val="center"/>
            <w:hideMark/>
          </w:tcPr>
          <w:p w14:paraId="7E432C0F"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Për një ndryshim dhe disa shtesa në Vendimin e Këshillit të Ministrave</w:t>
            </w:r>
            <w:r w:rsidRPr="00727111">
              <w:rPr>
                <w:rFonts w:ascii="Garamond" w:hAnsi="Garamond"/>
                <w:color w:val="000000"/>
                <w:sz w:val="12"/>
                <w:szCs w:val="12"/>
                <w:lang w:eastAsia="sq-AL"/>
              </w:rPr>
              <w:br/>
              <w:t>Nr.237, datë 6.3.2009 "Për përcaktimin e kritereve për hapjen dhe mbylljen e spitaleve"</w:t>
            </w:r>
          </w:p>
        </w:tc>
        <w:tc>
          <w:tcPr>
            <w:tcW w:w="1418" w:type="dxa"/>
            <w:tcBorders>
              <w:top w:val="nil"/>
              <w:left w:val="nil"/>
              <w:bottom w:val="single" w:sz="4" w:space="0" w:color="auto"/>
              <w:right w:val="single" w:sz="4" w:space="0" w:color="auto"/>
            </w:tcBorders>
            <w:shd w:val="clear" w:color="auto" w:fill="auto"/>
            <w:vAlign w:val="center"/>
            <w:hideMark/>
          </w:tcPr>
          <w:p w14:paraId="71FE4431"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428AF8AC"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Shëndetësisë dhe Mbrojtjes Sociale</w:t>
            </w:r>
          </w:p>
        </w:tc>
        <w:tc>
          <w:tcPr>
            <w:tcW w:w="1275" w:type="dxa"/>
            <w:tcBorders>
              <w:top w:val="nil"/>
              <w:left w:val="nil"/>
              <w:bottom w:val="single" w:sz="4" w:space="0" w:color="auto"/>
              <w:right w:val="single" w:sz="4" w:space="0" w:color="auto"/>
            </w:tcBorders>
            <w:shd w:val="clear" w:color="auto" w:fill="auto"/>
            <w:vAlign w:val="center"/>
            <w:hideMark/>
          </w:tcPr>
          <w:p w14:paraId="6872B579"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1701" w:type="dxa"/>
            <w:tcBorders>
              <w:top w:val="nil"/>
              <w:left w:val="nil"/>
              <w:bottom w:val="single" w:sz="4" w:space="0" w:color="auto"/>
              <w:right w:val="single" w:sz="4" w:space="0" w:color="auto"/>
            </w:tcBorders>
            <w:shd w:val="clear" w:color="auto" w:fill="auto"/>
            <w:vAlign w:val="center"/>
            <w:hideMark/>
          </w:tcPr>
          <w:p w14:paraId="13A8DEBE"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Për përshtatjen e këtij akti nënligjor me ndryshimet ligjore të Ligjit nr. 55/2022 "Për shërbimin spitalor në Republikën e Shqipërisë" dhe me problematikat e konstatuara gjatë zbatimit të këtij akti. Ligjin Nr. 123/2014, “Për</w:t>
            </w:r>
            <w:r w:rsidRPr="00727111">
              <w:rPr>
                <w:rFonts w:ascii="Garamond" w:hAnsi="Garamond"/>
                <w:color w:val="000000"/>
                <w:sz w:val="12"/>
                <w:szCs w:val="12"/>
                <w:lang w:eastAsia="sq-AL"/>
              </w:rPr>
              <w:br/>
              <w:t>Urdhrin e Mjekëve në Republikën e Shqipërisë” dhe aktet nënligjore në zbatim të tij.</w:t>
            </w:r>
          </w:p>
        </w:tc>
        <w:tc>
          <w:tcPr>
            <w:tcW w:w="1725" w:type="dxa"/>
            <w:tcBorders>
              <w:top w:val="nil"/>
              <w:left w:val="nil"/>
              <w:bottom w:val="single" w:sz="4" w:space="0" w:color="auto"/>
              <w:right w:val="single" w:sz="4" w:space="0" w:color="auto"/>
            </w:tcBorders>
            <w:shd w:val="clear" w:color="auto" w:fill="auto"/>
            <w:vAlign w:val="center"/>
            <w:hideMark/>
          </w:tcPr>
          <w:p w14:paraId="5075D532"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Personat juridikë, që kërkojnë të ushtrojnë veprimtarinë në fushën e shërbimit spitalor jopublik, duhet të përshtaten me kërkesat e përcaktuara në ligjin nr. 55/2022, “Për shërbimin spitalor në Republikën e Shqipërisë”, dhe në legjislacionin për lejet dhe licencat në Republikën e Shqipërisë, duhet të plotësojnë kriteret e përgjithshme të mëposhtme, si dhe kriteret e përcaktuara në shtojcat I, II e III, që i bashkëlidhen këtij vendimi.</w:t>
            </w:r>
          </w:p>
        </w:tc>
        <w:tc>
          <w:tcPr>
            <w:tcW w:w="1106" w:type="dxa"/>
            <w:tcBorders>
              <w:top w:val="nil"/>
              <w:left w:val="nil"/>
              <w:bottom w:val="single" w:sz="4" w:space="0" w:color="auto"/>
              <w:right w:val="single" w:sz="4" w:space="0" w:color="auto"/>
            </w:tcBorders>
            <w:shd w:val="clear" w:color="000000" w:fill="FFFFFF"/>
            <w:vAlign w:val="center"/>
            <w:hideMark/>
          </w:tcPr>
          <w:p w14:paraId="5380C584"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000000" w:fill="FFFFFF"/>
            <w:vAlign w:val="center"/>
            <w:hideMark/>
          </w:tcPr>
          <w:p w14:paraId="0E263771"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359" w:type="dxa"/>
            <w:tcBorders>
              <w:top w:val="nil"/>
              <w:left w:val="nil"/>
              <w:bottom w:val="single" w:sz="4" w:space="0" w:color="auto"/>
              <w:right w:val="single" w:sz="4" w:space="0" w:color="auto"/>
            </w:tcBorders>
            <w:shd w:val="clear" w:color="000000" w:fill="FFFFFF"/>
            <w:vAlign w:val="center"/>
            <w:hideMark/>
          </w:tcPr>
          <w:p w14:paraId="6B299F66"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23" w:type="dxa"/>
            <w:tcBorders>
              <w:top w:val="nil"/>
              <w:left w:val="nil"/>
              <w:bottom w:val="single" w:sz="4" w:space="0" w:color="auto"/>
              <w:right w:val="single" w:sz="4" w:space="0" w:color="auto"/>
            </w:tcBorders>
            <w:shd w:val="clear" w:color="000000" w:fill="FFFFFF"/>
            <w:vAlign w:val="center"/>
            <w:hideMark/>
          </w:tcPr>
          <w:p w14:paraId="36D4F27C"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37305E" w:rsidRPr="00727111" w14:paraId="2DF89945" w14:textId="77777777" w:rsidTr="00AD070E">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6DCA7C2D"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4</w:t>
            </w:r>
          </w:p>
        </w:tc>
        <w:tc>
          <w:tcPr>
            <w:tcW w:w="2015" w:type="dxa"/>
            <w:tcBorders>
              <w:top w:val="nil"/>
              <w:left w:val="nil"/>
              <w:bottom w:val="single" w:sz="4" w:space="0" w:color="auto"/>
              <w:right w:val="single" w:sz="4" w:space="0" w:color="auto"/>
            </w:tcBorders>
            <w:shd w:val="clear" w:color="auto" w:fill="auto"/>
            <w:vAlign w:val="center"/>
            <w:hideMark/>
          </w:tcPr>
          <w:p w14:paraId="0C0AAD08"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 xml:space="preserve">"Per sherbimin e transfuzionit te gjakut ne Republiken e Shqiperise" </w:t>
            </w:r>
          </w:p>
        </w:tc>
        <w:tc>
          <w:tcPr>
            <w:tcW w:w="1418" w:type="dxa"/>
            <w:tcBorders>
              <w:top w:val="nil"/>
              <w:left w:val="nil"/>
              <w:bottom w:val="single" w:sz="4" w:space="0" w:color="auto"/>
              <w:right w:val="single" w:sz="4" w:space="0" w:color="auto"/>
            </w:tcBorders>
            <w:shd w:val="clear" w:color="auto" w:fill="auto"/>
            <w:vAlign w:val="center"/>
            <w:hideMark/>
          </w:tcPr>
          <w:p w14:paraId="109CC7ED"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701" w:type="dxa"/>
            <w:tcBorders>
              <w:top w:val="nil"/>
              <w:left w:val="nil"/>
              <w:bottom w:val="single" w:sz="4" w:space="0" w:color="auto"/>
              <w:right w:val="single" w:sz="4" w:space="0" w:color="auto"/>
            </w:tcBorders>
            <w:shd w:val="clear" w:color="auto" w:fill="auto"/>
            <w:vAlign w:val="center"/>
            <w:hideMark/>
          </w:tcPr>
          <w:p w14:paraId="69AE9587"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Shëndetësisë dhe Mbrojtjes Sociale</w:t>
            </w:r>
          </w:p>
        </w:tc>
        <w:tc>
          <w:tcPr>
            <w:tcW w:w="1275" w:type="dxa"/>
            <w:tcBorders>
              <w:top w:val="nil"/>
              <w:left w:val="nil"/>
              <w:bottom w:val="single" w:sz="4" w:space="0" w:color="auto"/>
              <w:right w:val="single" w:sz="4" w:space="0" w:color="auto"/>
            </w:tcBorders>
            <w:shd w:val="clear" w:color="000000" w:fill="FFFFFF"/>
            <w:vAlign w:val="center"/>
            <w:hideMark/>
          </w:tcPr>
          <w:p w14:paraId="69AB525A"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701" w:type="dxa"/>
            <w:tcBorders>
              <w:top w:val="nil"/>
              <w:left w:val="nil"/>
              <w:bottom w:val="single" w:sz="4" w:space="0" w:color="auto"/>
              <w:right w:val="single" w:sz="4" w:space="0" w:color="auto"/>
            </w:tcBorders>
            <w:shd w:val="clear" w:color="auto" w:fill="auto"/>
            <w:vAlign w:val="center"/>
            <w:hideMark/>
          </w:tcPr>
          <w:p w14:paraId="6C833FA1"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Reflektimin e kerkeses se Directives 2002/98/EC per autoritetin kompetent per hemovigjilencen</w:t>
            </w:r>
          </w:p>
        </w:tc>
        <w:tc>
          <w:tcPr>
            <w:tcW w:w="1725" w:type="dxa"/>
            <w:tcBorders>
              <w:top w:val="nil"/>
              <w:left w:val="nil"/>
              <w:bottom w:val="single" w:sz="4" w:space="0" w:color="auto"/>
              <w:right w:val="single" w:sz="4" w:space="0" w:color="auto"/>
            </w:tcBorders>
            <w:shd w:val="clear" w:color="auto" w:fill="auto"/>
            <w:vAlign w:val="center"/>
            <w:hideMark/>
          </w:tcPr>
          <w:p w14:paraId="022CE3C6"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Menaxhimin e rrjetit te hemovigjilences ne nivel kombetar</w:t>
            </w:r>
          </w:p>
        </w:tc>
        <w:tc>
          <w:tcPr>
            <w:tcW w:w="1106" w:type="dxa"/>
            <w:tcBorders>
              <w:top w:val="nil"/>
              <w:left w:val="nil"/>
              <w:bottom w:val="single" w:sz="4" w:space="0" w:color="auto"/>
              <w:right w:val="single" w:sz="4" w:space="0" w:color="auto"/>
            </w:tcBorders>
            <w:shd w:val="clear" w:color="auto" w:fill="auto"/>
            <w:vAlign w:val="center"/>
            <w:hideMark/>
          </w:tcPr>
          <w:p w14:paraId="0F2AE625"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28 "Mbrojtja e Konsumatorit dhe Shëndetit Publik"</w:t>
            </w:r>
          </w:p>
        </w:tc>
        <w:tc>
          <w:tcPr>
            <w:tcW w:w="1266" w:type="dxa"/>
            <w:tcBorders>
              <w:top w:val="nil"/>
              <w:left w:val="nil"/>
              <w:bottom w:val="single" w:sz="4" w:space="0" w:color="auto"/>
              <w:right w:val="single" w:sz="4" w:space="0" w:color="auto"/>
            </w:tcBorders>
            <w:shd w:val="clear" w:color="000000" w:fill="FFFFFF"/>
            <w:vAlign w:val="center"/>
            <w:hideMark/>
          </w:tcPr>
          <w:p w14:paraId="7BCBCA4B"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359" w:type="dxa"/>
            <w:tcBorders>
              <w:top w:val="nil"/>
              <w:left w:val="nil"/>
              <w:bottom w:val="single" w:sz="4" w:space="0" w:color="auto"/>
              <w:right w:val="single" w:sz="4" w:space="0" w:color="auto"/>
            </w:tcBorders>
            <w:shd w:val="clear" w:color="auto" w:fill="auto"/>
            <w:vAlign w:val="center"/>
            <w:hideMark/>
          </w:tcPr>
          <w:p w14:paraId="541CA092"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Plani I veprimit 2024-2030 miratuar me Urdherin e Ministrit Nr.77 date 13.02.2024</w:t>
            </w:r>
          </w:p>
        </w:tc>
        <w:tc>
          <w:tcPr>
            <w:tcW w:w="923" w:type="dxa"/>
            <w:tcBorders>
              <w:top w:val="nil"/>
              <w:left w:val="nil"/>
              <w:bottom w:val="single" w:sz="4" w:space="0" w:color="auto"/>
              <w:right w:val="single" w:sz="4" w:space="0" w:color="auto"/>
            </w:tcBorders>
            <w:shd w:val="clear" w:color="auto" w:fill="auto"/>
            <w:vAlign w:val="center"/>
            <w:hideMark/>
          </w:tcPr>
          <w:p w14:paraId="6948EEA8"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37305E" w:rsidRPr="00727111" w14:paraId="101C955E" w14:textId="77777777" w:rsidTr="00AD070E">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51CB7AC"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5</w:t>
            </w:r>
          </w:p>
        </w:tc>
        <w:tc>
          <w:tcPr>
            <w:tcW w:w="2015" w:type="dxa"/>
            <w:tcBorders>
              <w:top w:val="nil"/>
              <w:left w:val="nil"/>
              <w:bottom w:val="single" w:sz="4" w:space="0" w:color="auto"/>
              <w:right w:val="single" w:sz="4" w:space="0" w:color="auto"/>
            </w:tcBorders>
            <w:shd w:val="clear" w:color="000000" w:fill="FFFFFF"/>
            <w:vAlign w:val="center"/>
            <w:hideMark/>
          </w:tcPr>
          <w:p w14:paraId="29BEFF87"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 dhe ndryshime në ligjin nr. 89/2014 “Për pajisjet mjekësore”</w:t>
            </w:r>
          </w:p>
        </w:tc>
        <w:tc>
          <w:tcPr>
            <w:tcW w:w="1418" w:type="dxa"/>
            <w:tcBorders>
              <w:top w:val="nil"/>
              <w:left w:val="nil"/>
              <w:bottom w:val="single" w:sz="4" w:space="0" w:color="auto"/>
              <w:right w:val="single" w:sz="4" w:space="0" w:color="auto"/>
            </w:tcBorders>
            <w:shd w:val="clear" w:color="auto" w:fill="auto"/>
            <w:vAlign w:val="center"/>
            <w:hideMark/>
          </w:tcPr>
          <w:p w14:paraId="1F5DA0CE"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701" w:type="dxa"/>
            <w:tcBorders>
              <w:top w:val="nil"/>
              <w:left w:val="nil"/>
              <w:bottom w:val="single" w:sz="4" w:space="0" w:color="auto"/>
              <w:right w:val="single" w:sz="4" w:space="0" w:color="auto"/>
            </w:tcBorders>
            <w:shd w:val="clear" w:color="auto" w:fill="auto"/>
            <w:vAlign w:val="center"/>
            <w:hideMark/>
          </w:tcPr>
          <w:p w14:paraId="65EED29B"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Shëndetësisë dhe Mbrojtjes Sociale</w:t>
            </w:r>
          </w:p>
        </w:tc>
        <w:tc>
          <w:tcPr>
            <w:tcW w:w="1275" w:type="dxa"/>
            <w:tcBorders>
              <w:top w:val="nil"/>
              <w:left w:val="nil"/>
              <w:bottom w:val="single" w:sz="4" w:space="0" w:color="auto"/>
              <w:right w:val="single" w:sz="4" w:space="0" w:color="auto"/>
            </w:tcBorders>
            <w:shd w:val="clear" w:color="000000" w:fill="FFFFFF"/>
            <w:vAlign w:val="center"/>
            <w:hideMark/>
          </w:tcPr>
          <w:p w14:paraId="161260FF"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701" w:type="dxa"/>
            <w:tcBorders>
              <w:top w:val="nil"/>
              <w:left w:val="nil"/>
              <w:bottom w:val="single" w:sz="4" w:space="0" w:color="auto"/>
              <w:right w:val="single" w:sz="4" w:space="0" w:color="auto"/>
            </w:tcBorders>
            <w:shd w:val="clear" w:color="auto" w:fill="auto"/>
            <w:vAlign w:val="center"/>
            <w:hideMark/>
          </w:tcPr>
          <w:p w14:paraId="5A1FE490"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Reflektim i kerkesave te Rregullores se parlamentit europian dhe te keshillit 2017/745 "Per pajisjet mjekesore"</w:t>
            </w:r>
          </w:p>
        </w:tc>
        <w:tc>
          <w:tcPr>
            <w:tcW w:w="1725" w:type="dxa"/>
            <w:tcBorders>
              <w:top w:val="nil"/>
              <w:left w:val="nil"/>
              <w:bottom w:val="single" w:sz="4" w:space="0" w:color="auto"/>
              <w:right w:val="single" w:sz="4" w:space="0" w:color="auto"/>
            </w:tcBorders>
            <w:shd w:val="clear" w:color="auto" w:fill="auto"/>
            <w:vAlign w:val="center"/>
            <w:hideMark/>
          </w:tcPr>
          <w:p w14:paraId="14903E8F"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Vendosja ne treg e pajisjeve mjekesore sipas standarteve dhe kerkesave te Bashkimit Europian</w:t>
            </w:r>
          </w:p>
        </w:tc>
        <w:tc>
          <w:tcPr>
            <w:tcW w:w="1106" w:type="dxa"/>
            <w:tcBorders>
              <w:top w:val="nil"/>
              <w:left w:val="nil"/>
              <w:bottom w:val="single" w:sz="4" w:space="0" w:color="auto"/>
              <w:right w:val="single" w:sz="4" w:space="0" w:color="auto"/>
            </w:tcBorders>
            <w:shd w:val="clear" w:color="auto" w:fill="auto"/>
            <w:vAlign w:val="center"/>
            <w:hideMark/>
          </w:tcPr>
          <w:p w14:paraId="7CBCAA0B"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Po, Kapitulli 28 "Mbrojtja e Konsumatorit dhe Shëndetit Publik"</w:t>
            </w:r>
          </w:p>
        </w:tc>
        <w:tc>
          <w:tcPr>
            <w:tcW w:w="1266" w:type="dxa"/>
            <w:tcBorders>
              <w:top w:val="nil"/>
              <w:left w:val="nil"/>
              <w:bottom w:val="single" w:sz="4" w:space="0" w:color="auto"/>
              <w:right w:val="single" w:sz="4" w:space="0" w:color="auto"/>
            </w:tcBorders>
            <w:shd w:val="clear" w:color="auto" w:fill="auto"/>
            <w:vAlign w:val="center"/>
            <w:hideMark/>
          </w:tcPr>
          <w:p w14:paraId="6CD46DBE"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Programi i qeverisë 2021-2025                                                                    Angazhimi: Investojmë në ndërtimin e një sistemi shëndetësor kombëtar të fortë, rezistent dhe gjithëpërfshirës – duke rritur investimet në infrastrukturën shëndetësore, përmirësuar kapacitetet, duke ruajtur forcën e punës në shëndetësi dhe duke promovuar kujdesin social, njëlloj i rëndësishëm me atë shëndetësor.       Kodi 12                                                           Obejktivi: Ndërtimi i një sistemi shëndetësor kombëtar të fortë, rezistent dhe gjithëpërfshirës</w:t>
            </w:r>
          </w:p>
        </w:tc>
        <w:tc>
          <w:tcPr>
            <w:tcW w:w="1359" w:type="dxa"/>
            <w:tcBorders>
              <w:top w:val="nil"/>
              <w:left w:val="nil"/>
              <w:bottom w:val="single" w:sz="4" w:space="0" w:color="auto"/>
              <w:right w:val="single" w:sz="4" w:space="0" w:color="auto"/>
            </w:tcBorders>
            <w:shd w:val="clear" w:color="auto" w:fill="auto"/>
            <w:vAlign w:val="center"/>
            <w:hideMark/>
          </w:tcPr>
          <w:p w14:paraId="2C82F4B5"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VENDIMNr. 210, datë 6.4.2022PËR MIRATIMIN E STRATEGJISË KOMBËTARE TË SHËNDETËSISË2021-2030</w:t>
            </w:r>
          </w:p>
        </w:tc>
        <w:tc>
          <w:tcPr>
            <w:tcW w:w="923" w:type="dxa"/>
            <w:tcBorders>
              <w:top w:val="nil"/>
              <w:left w:val="nil"/>
              <w:bottom w:val="single" w:sz="4" w:space="0" w:color="auto"/>
              <w:right w:val="single" w:sz="4" w:space="0" w:color="auto"/>
            </w:tcBorders>
            <w:shd w:val="clear" w:color="auto" w:fill="auto"/>
            <w:vAlign w:val="center"/>
            <w:hideMark/>
          </w:tcPr>
          <w:p w14:paraId="36F27FC6"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37305E" w:rsidRPr="00727111" w14:paraId="05138AE8" w14:textId="77777777" w:rsidTr="00AD070E">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339AE0BC"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6</w:t>
            </w:r>
          </w:p>
        </w:tc>
        <w:tc>
          <w:tcPr>
            <w:tcW w:w="2015" w:type="dxa"/>
            <w:tcBorders>
              <w:top w:val="nil"/>
              <w:left w:val="nil"/>
              <w:bottom w:val="single" w:sz="4" w:space="0" w:color="auto"/>
              <w:right w:val="single" w:sz="4" w:space="0" w:color="auto"/>
            </w:tcBorders>
            <w:shd w:val="clear" w:color="auto" w:fill="auto"/>
            <w:vAlign w:val="center"/>
            <w:hideMark/>
          </w:tcPr>
          <w:p w14:paraId="57AC5EDE"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Per disa shtesa dhe ndryshime ne ligjin nr.9952/2008 "Per parandalimin dhe kontrollin e HIV/AIDS"</w:t>
            </w:r>
          </w:p>
        </w:tc>
        <w:tc>
          <w:tcPr>
            <w:tcW w:w="1418" w:type="dxa"/>
            <w:tcBorders>
              <w:top w:val="nil"/>
              <w:left w:val="nil"/>
              <w:bottom w:val="single" w:sz="4" w:space="0" w:color="auto"/>
              <w:right w:val="single" w:sz="4" w:space="0" w:color="auto"/>
            </w:tcBorders>
            <w:shd w:val="clear" w:color="auto" w:fill="auto"/>
            <w:noWrap/>
            <w:vAlign w:val="center"/>
            <w:hideMark/>
          </w:tcPr>
          <w:p w14:paraId="0AC04AEF"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1701" w:type="dxa"/>
            <w:tcBorders>
              <w:top w:val="nil"/>
              <w:left w:val="nil"/>
              <w:bottom w:val="single" w:sz="4" w:space="0" w:color="auto"/>
              <w:right w:val="single" w:sz="4" w:space="0" w:color="auto"/>
            </w:tcBorders>
            <w:shd w:val="clear" w:color="auto" w:fill="auto"/>
            <w:vAlign w:val="center"/>
            <w:hideMark/>
          </w:tcPr>
          <w:p w14:paraId="0E0775F7"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Shëndetësisë dhe Mbrojtjes Sociale</w:t>
            </w:r>
          </w:p>
        </w:tc>
        <w:tc>
          <w:tcPr>
            <w:tcW w:w="1275" w:type="dxa"/>
            <w:tcBorders>
              <w:top w:val="nil"/>
              <w:left w:val="nil"/>
              <w:bottom w:val="single" w:sz="4" w:space="0" w:color="auto"/>
              <w:right w:val="single" w:sz="4" w:space="0" w:color="auto"/>
            </w:tcBorders>
            <w:shd w:val="clear" w:color="000000" w:fill="FFFFFF"/>
            <w:vAlign w:val="center"/>
            <w:hideMark/>
          </w:tcPr>
          <w:p w14:paraId="4F452E9D"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1701" w:type="dxa"/>
            <w:tcBorders>
              <w:top w:val="nil"/>
              <w:left w:val="nil"/>
              <w:bottom w:val="single" w:sz="4" w:space="0" w:color="auto"/>
              <w:right w:val="single" w:sz="4" w:space="0" w:color="auto"/>
            </w:tcBorders>
            <w:shd w:val="clear" w:color="auto" w:fill="auto"/>
            <w:vAlign w:val="center"/>
            <w:hideMark/>
          </w:tcPr>
          <w:p w14:paraId="2C1A2B7B"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Fuqizimi i politikave parandaluese dhe kontrolluese per HIV/AIDS</w:t>
            </w:r>
          </w:p>
        </w:tc>
        <w:tc>
          <w:tcPr>
            <w:tcW w:w="1725" w:type="dxa"/>
            <w:tcBorders>
              <w:top w:val="nil"/>
              <w:left w:val="nil"/>
              <w:bottom w:val="single" w:sz="4" w:space="0" w:color="auto"/>
              <w:right w:val="single" w:sz="4" w:space="0" w:color="auto"/>
            </w:tcBorders>
            <w:shd w:val="clear" w:color="auto" w:fill="auto"/>
            <w:vAlign w:val="center"/>
            <w:hideMark/>
          </w:tcPr>
          <w:p w14:paraId="0302DD7C"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Vendosen dispozita me te qarta lidhur me pergjegsite dhe rrolin e instiucioneve lidhur me hartimikn e programeve per parandalimin dhe kontrollin e HIV/AIDS</w:t>
            </w:r>
          </w:p>
        </w:tc>
        <w:tc>
          <w:tcPr>
            <w:tcW w:w="1106" w:type="dxa"/>
            <w:tcBorders>
              <w:top w:val="nil"/>
              <w:left w:val="nil"/>
              <w:bottom w:val="single" w:sz="4" w:space="0" w:color="auto"/>
              <w:right w:val="single" w:sz="4" w:space="0" w:color="auto"/>
            </w:tcBorders>
            <w:shd w:val="clear" w:color="000000" w:fill="FFFFFF"/>
            <w:vAlign w:val="center"/>
            <w:hideMark/>
          </w:tcPr>
          <w:p w14:paraId="1FF7A2AF"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1266" w:type="dxa"/>
            <w:tcBorders>
              <w:top w:val="nil"/>
              <w:left w:val="nil"/>
              <w:bottom w:val="single" w:sz="4" w:space="0" w:color="auto"/>
              <w:right w:val="single" w:sz="4" w:space="0" w:color="auto"/>
            </w:tcBorders>
            <w:shd w:val="clear" w:color="auto" w:fill="auto"/>
            <w:vAlign w:val="center"/>
            <w:hideMark/>
          </w:tcPr>
          <w:p w14:paraId="7A28D5BC"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     Programi i qeverisë 2021-2025                                                                 Angazhimi: I japim përparësi parandalimit të sëmundjeve të transmetueshme dhe jo të transmetueshme.                                                       Kodi: 18                                                              Objektivi: Parandalimi i sëmundjeve të transmetueshme dhe jo të transmetueshme        </w:t>
            </w:r>
          </w:p>
        </w:tc>
        <w:tc>
          <w:tcPr>
            <w:tcW w:w="1359" w:type="dxa"/>
            <w:tcBorders>
              <w:top w:val="nil"/>
              <w:left w:val="nil"/>
              <w:bottom w:val="single" w:sz="4" w:space="0" w:color="auto"/>
              <w:right w:val="single" w:sz="4" w:space="0" w:color="auto"/>
            </w:tcBorders>
            <w:shd w:val="clear" w:color="000000" w:fill="FFFFFF"/>
            <w:vAlign w:val="center"/>
            <w:hideMark/>
          </w:tcPr>
          <w:p w14:paraId="0B9C8D0E"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923" w:type="dxa"/>
            <w:tcBorders>
              <w:top w:val="nil"/>
              <w:left w:val="nil"/>
              <w:bottom w:val="single" w:sz="4" w:space="0" w:color="auto"/>
              <w:right w:val="single" w:sz="4" w:space="0" w:color="auto"/>
            </w:tcBorders>
            <w:shd w:val="clear" w:color="000000" w:fill="FFFFFF"/>
            <w:vAlign w:val="center"/>
            <w:hideMark/>
          </w:tcPr>
          <w:p w14:paraId="0FDBFA07"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r>
      <w:tr w:rsidR="0037305E" w:rsidRPr="00727111" w14:paraId="5A248022" w14:textId="77777777" w:rsidTr="00AD070E">
        <w:trPr>
          <w:trHeight w:val="180"/>
          <w:jc w:val="center"/>
        </w:trPr>
        <w:tc>
          <w:tcPr>
            <w:tcW w:w="390" w:type="dxa"/>
            <w:tcBorders>
              <w:top w:val="nil"/>
              <w:left w:val="single" w:sz="4" w:space="0" w:color="auto"/>
              <w:bottom w:val="single" w:sz="4" w:space="0" w:color="auto"/>
              <w:right w:val="single" w:sz="4" w:space="0" w:color="auto"/>
            </w:tcBorders>
            <w:shd w:val="clear" w:color="auto" w:fill="auto"/>
            <w:vAlign w:val="center"/>
            <w:hideMark/>
          </w:tcPr>
          <w:p w14:paraId="59C487C6" w14:textId="77777777" w:rsidR="0037305E" w:rsidRPr="00727111" w:rsidRDefault="0037305E" w:rsidP="0037305E">
            <w:pPr>
              <w:jc w:val="center"/>
              <w:rPr>
                <w:rFonts w:ascii="Garamond" w:hAnsi="Garamond"/>
                <w:color w:val="000000"/>
                <w:sz w:val="12"/>
                <w:szCs w:val="12"/>
                <w:lang w:eastAsia="sq-AL"/>
              </w:rPr>
            </w:pPr>
            <w:r w:rsidRPr="00727111">
              <w:rPr>
                <w:rFonts w:ascii="Garamond" w:hAnsi="Garamond"/>
                <w:color w:val="000000"/>
                <w:sz w:val="12"/>
                <w:szCs w:val="12"/>
                <w:lang w:eastAsia="sq-AL"/>
              </w:rPr>
              <w:t>7</w:t>
            </w:r>
          </w:p>
        </w:tc>
        <w:tc>
          <w:tcPr>
            <w:tcW w:w="2015" w:type="dxa"/>
            <w:tcBorders>
              <w:top w:val="nil"/>
              <w:left w:val="nil"/>
              <w:bottom w:val="single" w:sz="4" w:space="0" w:color="auto"/>
              <w:right w:val="single" w:sz="4" w:space="0" w:color="auto"/>
            </w:tcBorders>
            <w:shd w:val="clear" w:color="FFFFFF" w:fill="FFFFFF"/>
            <w:vAlign w:val="center"/>
            <w:hideMark/>
          </w:tcPr>
          <w:p w14:paraId="6399982F"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"Për miratimin e Planit të Veprimit për Garancitë e Fëmijëve "</w:t>
            </w:r>
          </w:p>
        </w:tc>
        <w:tc>
          <w:tcPr>
            <w:tcW w:w="1418" w:type="dxa"/>
            <w:tcBorders>
              <w:top w:val="nil"/>
              <w:left w:val="nil"/>
              <w:bottom w:val="single" w:sz="4" w:space="0" w:color="auto"/>
              <w:right w:val="single" w:sz="4" w:space="0" w:color="auto"/>
            </w:tcBorders>
            <w:shd w:val="clear" w:color="auto" w:fill="auto"/>
            <w:vAlign w:val="center"/>
            <w:hideMark/>
          </w:tcPr>
          <w:p w14:paraId="16703A70"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Projektvendim</w:t>
            </w:r>
          </w:p>
        </w:tc>
        <w:tc>
          <w:tcPr>
            <w:tcW w:w="1701" w:type="dxa"/>
            <w:tcBorders>
              <w:top w:val="nil"/>
              <w:left w:val="nil"/>
              <w:bottom w:val="single" w:sz="4" w:space="0" w:color="auto"/>
              <w:right w:val="single" w:sz="4" w:space="0" w:color="auto"/>
            </w:tcBorders>
            <w:shd w:val="clear" w:color="auto" w:fill="auto"/>
            <w:vAlign w:val="center"/>
            <w:hideMark/>
          </w:tcPr>
          <w:p w14:paraId="6A7E9BB9"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Ministri  i Shëndetësisë dhe Mbrojtjes Sociale</w:t>
            </w:r>
          </w:p>
        </w:tc>
        <w:tc>
          <w:tcPr>
            <w:tcW w:w="1275" w:type="dxa"/>
            <w:tcBorders>
              <w:top w:val="nil"/>
              <w:left w:val="nil"/>
              <w:bottom w:val="single" w:sz="4" w:space="0" w:color="auto"/>
              <w:right w:val="single" w:sz="4" w:space="0" w:color="auto"/>
            </w:tcBorders>
            <w:shd w:val="clear" w:color="auto" w:fill="auto"/>
            <w:vAlign w:val="center"/>
            <w:hideMark/>
          </w:tcPr>
          <w:p w14:paraId="1628FB86"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Katër mujori i tretë</w:t>
            </w:r>
          </w:p>
        </w:tc>
        <w:tc>
          <w:tcPr>
            <w:tcW w:w="1701" w:type="dxa"/>
            <w:tcBorders>
              <w:top w:val="nil"/>
              <w:left w:val="nil"/>
              <w:bottom w:val="single" w:sz="4" w:space="0" w:color="auto"/>
              <w:right w:val="single" w:sz="4" w:space="0" w:color="auto"/>
            </w:tcBorders>
            <w:shd w:val="clear" w:color="FFFFFF" w:fill="FFFFFF"/>
            <w:vAlign w:val="center"/>
            <w:hideMark/>
          </w:tcPr>
          <w:p w14:paraId="3D460C10"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Projektvendimi synon krijimin e Planit të Veprimit të Garancisë së Fëmijëve , sipas modelit Europian.</w:t>
            </w:r>
          </w:p>
        </w:tc>
        <w:tc>
          <w:tcPr>
            <w:tcW w:w="1725" w:type="dxa"/>
            <w:tcBorders>
              <w:top w:val="nil"/>
              <w:left w:val="nil"/>
              <w:bottom w:val="single" w:sz="4" w:space="0" w:color="auto"/>
              <w:right w:val="single" w:sz="4" w:space="0" w:color="auto"/>
            </w:tcBorders>
            <w:shd w:val="clear" w:color="auto" w:fill="auto"/>
            <w:vAlign w:val="center"/>
            <w:hideMark/>
          </w:tcPr>
          <w:p w14:paraId="4349871F"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 xml:space="preserve">1. Harmonizimin me Garancinë e Fëmijëve të BE                                                       2. Mbështetja  me shërbime gjithëpërfhirëse,  sigurimi e mundësive të barabarta për  fëmijët, me fokus ata nga grupe të margjinalizuara,                                3. Mirqëenie dhe të  drejta për fëmijët </w:t>
            </w:r>
          </w:p>
        </w:tc>
        <w:tc>
          <w:tcPr>
            <w:tcW w:w="1106" w:type="dxa"/>
            <w:tcBorders>
              <w:top w:val="nil"/>
              <w:left w:val="nil"/>
              <w:bottom w:val="single" w:sz="4" w:space="0" w:color="auto"/>
              <w:right w:val="single" w:sz="4" w:space="0" w:color="auto"/>
            </w:tcBorders>
            <w:shd w:val="clear" w:color="auto" w:fill="auto"/>
            <w:vAlign w:val="center"/>
            <w:hideMark/>
          </w:tcPr>
          <w:p w14:paraId="76D18AC6"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Po, Kapitulli 19 "Politikat Sociale dhe të Punësimit"</w:t>
            </w:r>
          </w:p>
        </w:tc>
        <w:tc>
          <w:tcPr>
            <w:tcW w:w="1266" w:type="dxa"/>
            <w:tcBorders>
              <w:top w:val="nil"/>
              <w:left w:val="nil"/>
              <w:bottom w:val="single" w:sz="4" w:space="0" w:color="auto"/>
              <w:right w:val="single" w:sz="4" w:space="0" w:color="auto"/>
            </w:tcBorders>
            <w:shd w:val="clear" w:color="auto" w:fill="auto"/>
            <w:vAlign w:val="center"/>
            <w:hideMark/>
          </w:tcPr>
          <w:p w14:paraId="5FC5B7F4"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Programi i qeverisë 2021-2025 (Mirëqenie për të gjithë, Familja: Kujdesi për të moshuarit dhe qytetarët më në nevojë)</w:t>
            </w:r>
          </w:p>
        </w:tc>
        <w:tc>
          <w:tcPr>
            <w:tcW w:w="1359" w:type="dxa"/>
            <w:tcBorders>
              <w:top w:val="nil"/>
              <w:left w:val="nil"/>
              <w:bottom w:val="single" w:sz="4" w:space="0" w:color="auto"/>
              <w:right w:val="single" w:sz="4" w:space="0" w:color="auto"/>
            </w:tcBorders>
            <w:shd w:val="clear" w:color="auto" w:fill="auto"/>
            <w:vAlign w:val="center"/>
            <w:hideMark/>
          </w:tcPr>
          <w:p w14:paraId="3F2EE661"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Strategjia Kombëtare e Mbrojtjes Sociale 2024-2030</w:t>
            </w:r>
          </w:p>
        </w:tc>
        <w:tc>
          <w:tcPr>
            <w:tcW w:w="923" w:type="dxa"/>
            <w:tcBorders>
              <w:top w:val="nil"/>
              <w:left w:val="nil"/>
              <w:bottom w:val="single" w:sz="4" w:space="0" w:color="auto"/>
              <w:right w:val="single" w:sz="4" w:space="0" w:color="auto"/>
            </w:tcBorders>
            <w:shd w:val="clear" w:color="auto" w:fill="auto"/>
            <w:vAlign w:val="center"/>
            <w:hideMark/>
          </w:tcPr>
          <w:p w14:paraId="0548EFCF" w14:textId="77777777" w:rsidR="0037305E" w:rsidRPr="00727111" w:rsidRDefault="0037305E" w:rsidP="0037305E">
            <w:pPr>
              <w:jc w:val="center"/>
              <w:rPr>
                <w:rFonts w:ascii="Garamond" w:hAnsi="Garamond"/>
                <w:sz w:val="12"/>
                <w:szCs w:val="12"/>
                <w:lang w:eastAsia="sq-AL"/>
              </w:rPr>
            </w:pPr>
            <w:r w:rsidRPr="00727111">
              <w:rPr>
                <w:rFonts w:ascii="Garamond" w:hAnsi="Garamond"/>
                <w:sz w:val="12"/>
                <w:szCs w:val="12"/>
                <w:lang w:eastAsia="sq-AL"/>
              </w:rPr>
              <w:t xml:space="preserve">Ndikim financiar dhe social. </w:t>
            </w:r>
          </w:p>
        </w:tc>
      </w:tr>
    </w:tbl>
    <w:p w14:paraId="6925F663" w14:textId="4E7C1760" w:rsidR="00AE3D7C" w:rsidRPr="00727111" w:rsidRDefault="00AE3D7C" w:rsidP="00593BF4">
      <w:pPr>
        <w:ind w:firstLine="284"/>
        <w:jc w:val="both"/>
        <w:rPr>
          <w:rFonts w:ascii="Garamond" w:hAnsi="Garamond"/>
          <w:b/>
          <w:sz w:val="24"/>
        </w:rPr>
      </w:pPr>
    </w:p>
    <w:p w14:paraId="09999180" w14:textId="636F83E2" w:rsidR="00DD543F" w:rsidRPr="00727111" w:rsidRDefault="00DD543F" w:rsidP="00593BF4">
      <w:pPr>
        <w:ind w:firstLine="284"/>
        <w:jc w:val="both"/>
        <w:rPr>
          <w:rFonts w:ascii="Garamond" w:hAnsi="Garamond"/>
          <w:b/>
          <w:sz w:val="24"/>
        </w:rPr>
      </w:pPr>
    </w:p>
    <w:p w14:paraId="482371A2" w14:textId="12CB2959" w:rsidR="00DD543F" w:rsidRPr="00727111" w:rsidRDefault="00DD543F" w:rsidP="00593BF4">
      <w:pPr>
        <w:ind w:firstLine="284"/>
        <w:jc w:val="both"/>
        <w:rPr>
          <w:rFonts w:ascii="Garamond" w:hAnsi="Garamond"/>
          <w:b/>
          <w:sz w:val="24"/>
        </w:rPr>
      </w:pPr>
    </w:p>
    <w:p w14:paraId="16FDF87A" w14:textId="28321C31" w:rsidR="00DD543F" w:rsidRPr="00727111" w:rsidRDefault="00DD543F" w:rsidP="00593BF4">
      <w:pPr>
        <w:ind w:firstLine="284"/>
        <w:jc w:val="both"/>
        <w:rPr>
          <w:rFonts w:ascii="Garamond" w:hAnsi="Garamond"/>
          <w:b/>
          <w:sz w:val="24"/>
        </w:rPr>
      </w:pPr>
    </w:p>
    <w:p w14:paraId="25703C4C" w14:textId="5DC607CC" w:rsidR="00DD543F" w:rsidRPr="00727111" w:rsidRDefault="00DD543F" w:rsidP="00593BF4">
      <w:pPr>
        <w:ind w:firstLine="284"/>
        <w:jc w:val="both"/>
        <w:rPr>
          <w:rFonts w:ascii="Garamond" w:hAnsi="Garamond"/>
          <w:b/>
          <w:sz w:val="24"/>
        </w:rPr>
      </w:pPr>
    </w:p>
    <w:p w14:paraId="1126154C" w14:textId="7D0BC592" w:rsidR="00DD543F" w:rsidRPr="00727111" w:rsidRDefault="00DD543F" w:rsidP="00593BF4">
      <w:pPr>
        <w:ind w:firstLine="284"/>
        <w:jc w:val="both"/>
        <w:rPr>
          <w:rFonts w:ascii="Garamond" w:hAnsi="Garamond"/>
          <w:b/>
          <w:sz w:val="24"/>
        </w:rPr>
      </w:pPr>
    </w:p>
    <w:p w14:paraId="47A75E63" w14:textId="075D97B9" w:rsidR="00DD543F" w:rsidRPr="00727111" w:rsidRDefault="00DD543F" w:rsidP="00593BF4">
      <w:pPr>
        <w:ind w:firstLine="284"/>
        <w:jc w:val="both"/>
        <w:rPr>
          <w:rFonts w:ascii="Garamond" w:hAnsi="Garamond"/>
          <w:b/>
          <w:sz w:val="24"/>
        </w:rPr>
      </w:pPr>
    </w:p>
    <w:p w14:paraId="2C9245E3" w14:textId="0CB009ED" w:rsidR="005A5FDE" w:rsidRPr="00727111" w:rsidRDefault="005A5FDE" w:rsidP="00593BF4">
      <w:pPr>
        <w:ind w:firstLine="284"/>
        <w:jc w:val="both"/>
        <w:rPr>
          <w:rFonts w:ascii="Garamond" w:hAnsi="Garamond"/>
          <w:b/>
          <w:sz w:val="24"/>
        </w:rPr>
      </w:pPr>
    </w:p>
    <w:p w14:paraId="58798AE2" w14:textId="77777777" w:rsidR="005A5FDE" w:rsidRPr="00727111" w:rsidRDefault="005A5FDE" w:rsidP="00593BF4">
      <w:pPr>
        <w:ind w:firstLine="284"/>
        <w:jc w:val="both"/>
        <w:rPr>
          <w:rFonts w:ascii="Garamond" w:hAnsi="Garamond"/>
          <w:b/>
          <w:sz w:val="24"/>
        </w:rPr>
      </w:pPr>
    </w:p>
    <w:p w14:paraId="63921AE6" w14:textId="771ED527" w:rsidR="005A5FDE" w:rsidRPr="00727111" w:rsidRDefault="005A5FDE" w:rsidP="00593BF4">
      <w:pPr>
        <w:ind w:firstLine="284"/>
        <w:jc w:val="both"/>
        <w:rPr>
          <w:rFonts w:ascii="Garamond" w:hAnsi="Garamond"/>
          <w:b/>
          <w:sz w:val="24"/>
        </w:rPr>
      </w:pPr>
    </w:p>
    <w:tbl>
      <w:tblPr>
        <w:tblW w:w="15252" w:type="dxa"/>
        <w:jc w:val="center"/>
        <w:tblLook w:val="04A0" w:firstRow="1" w:lastRow="0" w:firstColumn="1" w:lastColumn="0" w:noHBand="0" w:noVBand="1"/>
      </w:tblPr>
      <w:tblGrid>
        <w:gridCol w:w="386"/>
        <w:gridCol w:w="1741"/>
        <w:gridCol w:w="1701"/>
        <w:gridCol w:w="1842"/>
        <w:gridCol w:w="1134"/>
        <w:gridCol w:w="2182"/>
        <w:gridCol w:w="1505"/>
        <w:gridCol w:w="1086"/>
        <w:gridCol w:w="1286"/>
        <w:gridCol w:w="1192"/>
        <w:gridCol w:w="1197"/>
      </w:tblGrid>
      <w:tr w:rsidR="005A5FDE" w:rsidRPr="00727111" w14:paraId="071AA82A" w14:textId="77777777" w:rsidTr="005A5FDE">
        <w:trPr>
          <w:trHeight w:val="180"/>
          <w:jc w:val="center"/>
        </w:trPr>
        <w:tc>
          <w:tcPr>
            <w:tcW w:w="15252" w:type="dxa"/>
            <w:gridSpan w:val="11"/>
            <w:tcBorders>
              <w:top w:val="single" w:sz="4" w:space="0" w:color="FFFFFF"/>
              <w:left w:val="nil"/>
              <w:bottom w:val="single" w:sz="4" w:space="0" w:color="FFFFFF"/>
              <w:right w:val="nil"/>
            </w:tcBorders>
            <w:shd w:val="clear" w:color="000000" w:fill="F2F2F2"/>
            <w:vAlign w:val="center"/>
            <w:hideMark/>
          </w:tcPr>
          <w:p w14:paraId="32050EEF" w14:textId="77777777" w:rsidR="005A5FDE" w:rsidRPr="00727111" w:rsidRDefault="005A5FDE" w:rsidP="005A5FDE">
            <w:pPr>
              <w:jc w:val="center"/>
              <w:rPr>
                <w:rFonts w:ascii="Calibri" w:hAnsi="Calibri" w:cs="Calibri"/>
                <w:b/>
                <w:bCs/>
                <w:color w:val="000000"/>
                <w:sz w:val="12"/>
                <w:szCs w:val="12"/>
                <w:lang w:eastAsia="sq-AL"/>
              </w:rPr>
            </w:pPr>
            <w:bookmarkStart w:id="14" w:name="RANGE!A1:K30"/>
            <w:r w:rsidRPr="00727111">
              <w:rPr>
                <w:rFonts w:ascii="Calibri" w:hAnsi="Calibri" w:cs="Calibri"/>
                <w:b/>
                <w:bCs/>
                <w:color w:val="000000"/>
                <w:sz w:val="12"/>
                <w:szCs w:val="12"/>
                <w:lang w:eastAsia="sq-AL"/>
              </w:rPr>
              <w:t>Programi i Përgjithshëm Analitik i Projektakteve për vitin 2025</w:t>
            </w:r>
            <w:bookmarkEnd w:id="14"/>
          </w:p>
        </w:tc>
      </w:tr>
      <w:tr w:rsidR="005A5FDE" w:rsidRPr="00727111" w14:paraId="5EF8121A" w14:textId="77777777" w:rsidTr="005A5FDE">
        <w:trPr>
          <w:trHeight w:val="180"/>
          <w:jc w:val="center"/>
        </w:trPr>
        <w:tc>
          <w:tcPr>
            <w:tcW w:w="15252" w:type="dxa"/>
            <w:gridSpan w:val="11"/>
            <w:tcBorders>
              <w:top w:val="single" w:sz="4" w:space="0" w:color="FFFFFF"/>
              <w:left w:val="nil"/>
              <w:bottom w:val="nil"/>
              <w:right w:val="nil"/>
            </w:tcBorders>
            <w:shd w:val="clear" w:color="000000" w:fill="F2F2F2"/>
            <w:vAlign w:val="center"/>
            <w:hideMark/>
          </w:tcPr>
          <w:p w14:paraId="24B215B9" w14:textId="77777777" w:rsidR="005A5FDE" w:rsidRPr="00727111" w:rsidRDefault="005A5FDE" w:rsidP="005A5FDE">
            <w:pPr>
              <w:jc w:val="center"/>
              <w:rPr>
                <w:rFonts w:ascii="Calibri" w:hAnsi="Calibri" w:cs="Calibri"/>
                <w:b/>
                <w:bCs/>
                <w:color w:val="000000"/>
                <w:sz w:val="12"/>
                <w:szCs w:val="12"/>
                <w:lang w:eastAsia="sq-AL"/>
              </w:rPr>
            </w:pPr>
            <w:r w:rsidRPr="00727111">
              <w:rPr>
                <w:rFonts w:ascii="Calibri" w:hAnsi="Calibri" w:cs="Calibri"/>
                <w:b/>
                <w:bCs/>
                <w:color w:val="000000"/>
                <w:sz w:val="12"/>
                <w:szCs w:val="12"/>
                <w:lang w:eastAsia="sq-AL"/>
              </w:rPr>
              <w:t>Ministria e Turizmit dhe Mjedisit</w:t>
            </w:r>
          </w:p>
        </w:tc>
      </w:tr>
      <w:tr w:rsidR="005A5FDE" w:rsidRPr="00727111" w14:paraId="6BBB2D90" w14:textId="77777777" w:rsidTr="005A5FDE">
        <w:trPr>
          <w:trHeight w:val="180"/>
          <w:jc w:val="center"/>
        </w:trPr>
        <w:tc>
          <w:tcPr>
            <w:tcW w:w="386" w:type="dxa"/>
            <w:tcBorders>
              <w:top w:val="single" w:sz="8" w:space="0" w:color="auto"/>
              <w:left w:val="single" w:sz="8" w:space="0" w:color="auto"/>
              <w:bottom w:val="nil"/>
              <w:right w:val="nil"/>
            </w:tcBorders>
            <w:shd w:val="clear" w:color="000000" w:fill="C00000"/>
            <w:vAlign w:val="center"/>
            <w:hideMark/>
          </w:tcPr>
          <w:p w14:paraId="6DDB5C9D"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Nr.</w:t>
            </w:r>
          </w:p>
        </w:tc>
        <w:tc>
          <w:tcPr>
            <w:tcW w:w="1741" w:type="dxa"/>
            <w:tcBorders>
              <w:top w:val="single" w:sz="8" w:space="0" w:color="auto"/>
              <w:left w:val="single" w:sz="4" w:space="0" w:color="FFFFFF"/>
              <w:bottom w:val="nil"/>
              <w:right w:val="single" w:sz="4" w:space="0" w:color="FFFFFF"/>
            </w:tcBorders>
            <w:shd w:val="clear" w:color="000000" w:fill="C00000"/>
            <w:vAlign w:val="center"/>
            <w:hideMark/>
          </w:tcPr>
          <w:p w14:paraId="137CE5D4"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Titulli i projektaktit</w:t>
            </w:r>
          </w:p>
        </w:tc>
        <w:tc>
          <w:tcPr>
            <w:tcW w:w="1701" w:type="dxa"/>
            <w:tcBorders>
              <w:top w:val="single" w:sz="8" w:space="0" w:color="auto"/>
              <w:left w:val="nil"/>
              <w:bottom w:val="nil"/>
              <w:right w:val="single" w:sz="4" w:space="0" w:color="FFFFFF"/>
            </w:tcBorders>
            <w:shd w:val="clear" w:color="000000" w:fill="C00000"/>
            <w:vAlign w:val="center"/>
            <w:hideMark/>
          </w:tcPr>
          <w:p w14:paraId="3989B3FB"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Lloji i projektaktit</w:t>
            </w:r>
          </w:p>
        </w:tc>
        <w:tc>
          <w:tcPr>
            <w:tcW w:w="1842" w:type="dxa"/>
            <w:tcBorders>
              <w:top w:val="single" w:sz="8" w:space="0" w:color="auto"/>
              <w:left w:val="nil"/>
              <w:bottom w:val="nil"/>
              <w:right w:val="nil"/>
            </w:tcBorders>
            <w:shd w:val="clear" w:color="000000" w:fill="C00000"/>
            <w:vAlign w:val="center"/>
            <w:hideMark/>
          </w:tcPr>
          <w:p w14:paraId="72CA8656"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Ministri propozues</w:t>
            </w:r>
          </w:p>
        </w:tc>
        <w:tc>
          <w:tcPr>
            <w:tcW w:w="1134" w:type="dxa"/>
            <w:tcBorders>
              <w:top w:val="single" w:sz="8" w:space="0" w:color="auto"/>
              <w:left w:val="single" w:sz="4" w:space="0" w:color="FFFFFF"/>
              <w:bottom w:val="nil"/>
              <w:right w:val="nil"/>
            </w:tcBorders>
            <w:shd w:val="clear" w:color="000000" w:fill="C00000"/>
            <w:vAlign w:val="center"/>
            <w:hideMark/>
          </w:tcPr>
          <w:p w14:paraId="5E908F7F"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Katër mujori</w:t>
            </w:r>
          </w:p>
        </w:tc>
        <w:tc>
          <w:tcPr>
            <w:tcW w:w="2182" w:type="dxa"/>
            <w:tcBorders>
              <w:top w:val="single" w:sz="8" w:space="0" w:color="auto"/>
              <w:left w:val="single" w:sz="4" w:space="0" w:color="FFFFFF"/>
              <w:bottom w:val="nil"/>
              <w:right w:val="nil"/>
            </w:tcBorders>
            <w:shd w:val="clear" w:color="000000" w:fill="C00000"/>
            <w:vAlign w:val="center"/>
            <w:hideMark/>
          </w:tcPr>
          <w:p w14:paraId="6ADDD785"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Arsyet kryesore për propozimin e projektaktit</w:t>
            </w:r>
          </w:p>
        </w:tc>
        <w:tc>
          <w:tcPr>
            <w:tcW w:w="1505" w:type="dxa"/>
            <w:tcBorders>
              <w:top w:val="single" w:sz="8" w:space="0" w:color="auto"/>
              <w:left w:val="single" w:sz="4" w:space="0" w:color="FFFFFF"/>
              <w:bottom w:val="nil"/>
              <w:right w:val="single" w:sz="4" w:space="0" w:color="FFFFFF"/>
            </w:tcBorders>
            <w:shd w:val="clear" w:color="000000" w:fill="C00000"/>
            <w:vAlign w:val="center"/>
            <w:hideMark/>
          </w:tcPr>
          <w:p w14:paraId="5BA20818"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 xml:space="preserve">Çështjet kryesore që parashikon të rregullojë projektakti </w:t>
            </w:r>
          </w:p>
        </w:tc>
        <w:tc>
          <w:tcPr>
            <w:tcW w:w="1086" w:type="dxa"/>
            <w:tcBorders>
              <w:top w:val="single" w:sz="8" w:space="0" w:color="auto"/>
              <w:left w:val="nil"/>
              <w:bottom w:val="nil"/>
              <w:right w:val="single" w:sz="4" w:space="0" w:color="FFFFFF"/>
            </w:tcBorders>
            <w:shd w:val="clear" w:color="000000" w:fill="C00000"/>
            <w:vAlign w:val="center"/>
            <w:hideMark/>
          </w:tcPr>
          <w:p w14:paraId="721D6771"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A është parashikuar projektakti në PKIE?</w:t>
            </w:r>
            <w:r w:rsidRPr="00727111">
              <w:rPr>
                <w:b/>
                <w:bCs/>
                <w:color w:val="FFFFFF"/>
                <w:sz w:val="12"/>
                <w:szCs w:val="12"/>
                <w:lang w:eastAsia="sq-AL"/>
              </w:rPr>
              <w:br/>
            </w:r>
            <w:r w:rsidRPr="00727111">
              <w:rPr>
                <w:b/>
                <w:bCs/>
                <w:color w:val="FFFFFF"/>
                <w:sz w:val="12"/>
                <w:szCs w:val="12"/>
                <w:lang w:eastAsia="sq-AL"/>
              </w:rPr>
              <w:br/>
              <w:t>Nëse po, të specifikohet kapitulli përkatës</w:t>
            </w:r>
          </w:p>
        </w:tc>
        <w:tc>
          <w:tcPr>
            <w:tcW w:w="1286" w:type="dxa"/>
            <w:tcBorders>
              <w:top w:val="single" w:sz="8" w:space="0" w:color="auto"/>
              <w:left w:val="nil"/>
              <w:bottom w:val="nil"/>
              <w:right w:val="single" w:sz="4" w:space="0" w:color="FFFFFF"/>
            </w:tcBorders>
            <w:shd w:val="clear" w:color="000000" w:fill="C00000"/>
            <w:vAlign w:val="center"/>
            <w:hideMark/>
          </w:tcPr>
          <w:p w14:paraId="6D165B60"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Përputhshmëria e projektaktit me programin politik qeverisës 2021-2025</w:t>
            </w:r>
            <w:r w:rsidRPr="00727111">
              <w:rPr>
                <w:b/>
                <w:bCs/>
                <w:color w:val="FFFFFF"/>
                <w:sz w:val="12"/>
                <w:szCs w:val="12"/>
                <w:lang w:eastAsia="sq-AL"/>
              </w:rPr>
              <w:br/>
            </w:r>
            <w:r w:rsidRPr="00727111">
              <w:rPr>
                <w:b/>
                <w:bCs/>
                <w:color w:val="FFFFFF"/>
                <w:sz w:val="12"/>
                <w:szCs w:val="12"/>
                <w:lang w:eastAsia="sq-AL"/>
              </w:rPr>
              <w:br/>
              <w:t>Nëse përputhet, të jepet  referenca e saktë në progam</w:t>
            </w:r>
          </w:p>
        </w:tc>
        <w:tc>
          <w:tcPr>
            <w:tcW w:w="1192" w:type="dxa"/>
            <w:tcBorders>
              <w:top w:val="single" w:sz="8" w:space="0" w:color="auto"/>
              <w:left w:val="nil"/>
              <w:bottom w:val="nil"/>
              <w:right w:val="single" w:sz="4" w:space="0" w:color="FFFFFF"/>
            </w:tcBorders>
            <w:shd w:val="clear" w:color="000000" w:fill="C00000"/>
            <w:vAlign w:val="center"/>
            <w:hideMark/>
          </w:tcPr>
          <w:p w14:paraId="0DBC5F80"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Lidhja e projektaktit me strategjitë kombëtare dhe sektoriale</w:t>
            </w:r>
            <w:r w:rsidRPr="00727111">
              <w:rPr>
                <w:b/>
                <w:bCs/>
                <w:color w:val="FFFFFF"/>
                <w:sz w:val="12"/>
                <w:szCs w:val="12"/>
                <w:lang w:eastAsia="sq-AL"/>
              </w:rPr>
              <w:br/>
            </w:r>
            <w:r w:rsidRPr="00727111">
              <w:rPr>
                <w:b/>
                <w:bCs/>
                <w:color w:val="FFFFFF"/>
                <w:sz w:val="12"/>
                <w:szCs w:val="12"/>
                <w:lang w:eastAsia="sq-AL"/>
              </w:rPr>
              <w:br/>
              <w:t>Nëse lidhet, të specifikohen strategjitë</w:t>
            </w:r>
          </w:p>
        </w:tc>
        <w:tc>
          <w:tcPr>
            <w:tcW w:w="1192" w:type="dxa"/>
            <w:tcBorders>
              <w:top w:val="single" w:sz="8" w:space="0" w:color="auto"/>
              <w:left w:val="nil"/>
              <w:bottom w:val="nil"/>
              <w:right w:val="nil"/>
            </w:tcBorders>
            <w:shd w:val="clear" w:color="000000" w:fill="C00000"/>
            <w:vAlign w:val="center"/>
            <w:hideMark/>
          </w:tcPr>
          <w:p w14:paraId="0EA85B17" w14:textId="77777777" w:rsidR="005A5FDE" w:rsidRPr="00727111" w:rsidRDefault="005A5FDE" w:rsidP="005A5FDE">
            <w:pPr>
              <w:jc w:val="center"/>
              <w:rPr>
                <w:b/>
                <w:bCs/>
                <w:color w:val="FFFFFF"/>
                <w:sz w:val="12"/>
                <w:szCs w:val="12"/>
                <w:lang w:eastAsia="sq-AL"/>
              </w:rPr>
            </w:pPr>
            <w:r w:rsidRPr="00727111">
              <w:rPr>
                <w:b/>
                <w:bCs/>
                <w:color w:val="FFFFFF"/>
                <w:sz w:val="12"/>
                <w:szCs w:val="12"/>
                <w:lang w:eastAsia="sq-AL"/>
              </w:rPr>
              <w:t>Ndikimet e mundshme ekonomike, financiare, sociale dhe mjedisore</w:t>
            </w:r>
            <w:r w:rsidRPr="00727111">
              <w:rPr>
                <w:b/>
                <w:bCs/>
                <w:color w:val="FFFFFF"/>
                <w:sz w:val="12"/>
                <w:szCs w:val="12"/>
                <w:lang w:eastAsia="sq-AL"/>
              </w:rPr>
              <w:br/>
            </w:r>
            <w:r w:rsidRPr="00727111">
              <w:rPr>
                <w:b/>
                <w:bCs/>
                <w:color w:val="FFFFFF"/>
                <w:sz w:val="12"/>
                <w:szCs w:val="12"/>
                <w:lang w:eastAsia="sq-AL"/>
              </w:rPr>
              <w:br/>
              <w:t xml:space="preserve">Përgjigjuni me Po/Jo për ndikimet përkatëse </w:t>
            </w:r>
          </w:p>
        </w:tc>
      </w:tr>
      <w:tr w:rsidR="005A5FDE" w:rsidRPr="00727111" w14:paraId="12ADA7F2" w14:textId="77777777" w:rsidTr="005A5FDE">
        <w:trPr>
          <w:trHeight w:val="180"/>
          <w:jc w:val="center"/>
        </w:trPr>
        <w:tc>
          <w:tcPr>
            <w:tcW w:w="3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FCD9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w:t>
            </w:r>
          </w:p>
        </w:tc>
        <w:tc>
          <w:tcPr>
            <w:tcW w:w="1741" w:type="dxa"/>
            <w:tcBorders>
              <w:top w:val="single" w:sz="4" w:space="0" w:color="auto"/>
              <w:left w:val="nil"/>
              <w:bottom w:val="single" w:sz="4" w:space="0" w:color="auto"/>
              <w:right w:val="single" w:sz="4" w:space="0" w:color="auto"/>
            </w:tcBorders>
            <w:shd w:val="clear" w:color="auto" w:fill="auto"/>
            <w:vAlign w:val="center"/>
            <w:hideMark/>
          </w:tcPr>
          <w:p w14:paraId="6D0F29C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menaxhimin e integruar të mbetjeve"</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9C327F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Projektligj</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4EE0F2B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6CB408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parë</w:t>
            </w:r>
          </w:p>
        </w:tc>
        <w:tc>
          <w:tcPr>
            <w:tcW w:w="2182" w:type="dxa"/>
            <w:tcBorders>
              <w:top w:val="single" w:sz="4" w:space="0" w:color="auto"/>
              <w:left w:val="nil"/>
              <w:bottom w:val="single" w:sz="4" w:space="0" w:color="auto"/>
              <w:right w:val="single" w:sz="4" w:space="0" w:color="auto"/>
            </w:tcBorders>
            <w:shd w:val="clear" w:color="auto" w:fill="auto"/>
            <w:vAlign w:val="center"/>
            <w:hideMark/>
          </w:tcPr>
          <w:p w14:paraId="5E78294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Rritja e shkalles se transpozimit te Direktives Kuader te Mbetjeve, qe ka pasuar ndryshime ne 2013, 2014 dhe 2018, vecanerisht amendimi i vitit 2018, duke futur konceptet e ekonomise qarkulluese dhe perditesimin e hierarkise se mbetjeve.</w:t>
            </w:r>
          </w:p>
        </w:tc>
        <w:tc>
          <w:tcPr>
            <w:tcW w:w="1505" w:type="dxa"/>
            <w:tcBorders>
              <w:top w:val="single" w:sz="4" w:space="0" w:color="auto"/>
              <w:left w:val="nil"/>
              <w:bottom w:val="single" w:sz="4" w:space="0" w:color="auto"/>
              <w:right w:val="single" w:sz="4" w:space="0" w:color="auto"/>
            </w:tcBorders>
            <w:shd w:val="clear" w:color="auto" w:fill="auto"/>
            <w:vAlign w:val="center"/>
            <w:hideMark/>
          </w:tcPr>
          <w:p w14:paraId="42D5652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Projektakti do te realizoje perafrimin ne nje shkalle te avancuar te Direktives Kuader te Mbetjeve 2008/98/EC, te ndryshuar. Gjithashtu do te parashikoje per here te pare ne vend mekanizmat financiare per bashkite per financimin e menaxhimit te integruar te mbetjeve dhe perfshirjen e Agjenicise Kombetare te Ekonomise se Mbetjeve (AKEM) te krijuar ne Mars 2024 dhe koordinimin e monitorimin qe kjo agjenci do te realizoje me bashkite per menaxhimin e integruar te mbetjeve.</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14:paraId="0F95B45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Po, Kapitulli 27 "Mjedisi" </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7D34A2D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Po                    Menaxhim i integruar i mbetjeve në tërësinë e territorit sipas Masterplanit dhe Redukim me synim zhdukjen të ambalazhit plastik njëpërdorimësh.   </w:t>
            </w:r>
          </w:p>
        </w:tc>
        <w:tc>
          <w:tcPr>
            <w:tcW w:w="1192" w:type="dxa"/>
            <w:tcBorders>
              <w:top w:val="single" w:sz="4" w:space="0" w:color="auto"/>
              <w:left w:val="nil"/>
              <w:bottom w:val="single" w:sz="4" w:space="0" w:color="auto"/>
              <w:right w:val="single" w:sz="4" w:space="0" w:color="auto"/>
            </w:tcBorders>
            <w:shd w:val="clear" w:color="000000" w:fill="FFFFFF"/>
            <w:vAlign w:val="center"/>
            <w:hideMark/>
          </w:tcPr>
          <w:p w14:paraId="6758944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Projektvendimi është në një linjë me Dokumentin e Politikave Strategjike per menaxhimin e integruar te mbetjeve </w:t>
            </w:r>
          </w:p>
        </w:tc>
        <w:tc>
          <w:tcPr>
            <w:tcW w:w="1192" w:type="dxa"/>
            <w:tcBorders>
              <w:top w:val="single" w:sz="4" w:space="0" w:color="auto"/>
              <w:left w:val="nil"/>
              <w:bottom w:val="single" w:sz="4" w:space="0" w:color="auto"/>
              <w:right w:val="single" w:sz="4" w:space="0" w:color="auto"/>
            </w:tcBorders>
            <w:shd w:val="clear" w:color="000000" w:fill="FFFFFF"/>
            <w:vAlign w:val="center"/>
            <w:hideMark/>
          </w:tcPr>
          <w:p w14:paraId="4C3E722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67EB16A0"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2B10B2B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2</w:t>
            </w:r>
          </w:p>
        </w:tc>
        <w:tc>
          <w:tcPr>
            <w:tcW w:w="1741" w:type="dxa"/>
            <w:tcBorders>
              <w:top w:val="nil"/>
              <w:left w:val="nil"/>
              <w:bottom w:val="single" w:sz="4" w:space="0" w:color="auto"/>
              <w:right w:val="single" w:sz="4" w:space="0" w:color="auto"/>
            </w:tcBorders>
            <w:shd w:val="clear" w:color="auto" w:fill="auto"/>
            <w:vAlign w:val="center"/>
            <w:hideMark/>
          </w:tcPr>
          <w:p w14:paraId="3AA54BC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Për disa shtesa dhe ndryshime në vendimin nr.710, datë 12.10.2016 "Për miratimin e rregullores "Për kërkesat dhe kriteret për ushtrimin e e veprimtarisë së operatorit turistik" </w:t>
            </w:r>
          </w:p>
        </w:tc>
        <w:tc>
          <w:tcPr>
            <w:tcW w:w="1701" w:type="dxa"/>
            <w:tcBorders>
              <w:top w:val="nil"/>
              <w:left w:val="nil"/>
              <w:bottom w:val="single" w:sz="4" w:space="0" w:color="auto"/>
              <w:right w:val="single" w:sz="4" w:space="0" w:color="auto"/>
            </w:tcBorders>
            <w:shd w:val="clear" w:color="000000" w:fill="FFFFFF"/>
            <w:vAlign w:val="center"/>
            <w:hideMark/>
          </w:tcPr>
          <w:p w14:paraId="725A0D8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03C6D3C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7DB684E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parë</w:t>
            </w:r>
          </w:p>
        </w:tc>
        <w:tc>
          <w:tcPr>
            <w:tcW w:w="2182" w:type="dxa"/>
            <w:tcBorders>
              <w:top w:val="nil"/>
              <w:left w:val="nil"/>
              <w:bottom w:val="single" w:sz="4" w:space="0" w:color="auto"/>
              <w:right w:val="single" w:sz="4" w:space="0" w:color="auto"/>
            </w:tcBorders>
            <w:shd w:val="clear" w:color="auto" w:fill="auto"/>
            <w:vAlign w:val="center"/>
            <w:hideMark/>
          </w:tcPr>
          <w:p w14:paraId="5E1674E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Mbingarkimi i procesit te licencimit me kritere te panevojshme, nevoja per forcimin e mbrojtjes se konsumatorit.</w:t>
            </w:r>
          </w:p>
        </w:tc>
        <w:tc>
          <w:tcPr>
            <w:tcW w:w="1505" w:type="dxa"/>
            <w:tcBorders>
              <w:top w:val="nil"/>
              <w:left w:val="nil"/>
              <w:bottom w:val="single" w:sz="4" w:space="0" w:color="auto"/>
              <w:right w:val="single" w:sz="4" w:space="0" w:color="auto"/>
            </w:tcBorders>
            <w:shd w:val="clear" w:color="auto" w:fill="auto"/>
            <w:vAlign w:val="center"/>
            <w:hideMark/>
          </w:tcPr>
          <w:p w14:paraId="1E90999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Lehtesimi i procedurave/kritereve per ushtrimin e veprimtarive turistike te operatoreve turistike, mbrojtje me e mire e konsumatorit nepermjet shtimit te elementeve baze mbi te dhenat per kontraten me konsumatorin.</w:t>
            </w:r>
          </w:p>
        </w:tc>
        <w:tc>
          <w:tcPr>
            <w:tcW w:w="1086" w:type="dxa"/>
            <w:tcBorders>
              <w:top w:val="nil"/>
              <w:left w:val="nil"/>
              <w:bottom w:val="single" w:sz="4" w:space="0" w:color="auto"/>
              <w:right w:val="single" w:sz="4" w:space="0" w:color="auto"/>
            </w:tcBorders>
            <w:shd w:val="clear" w:color="000000" w:fill="FFFFFF"/>
            <w:vAlign w:val="center"/>
            <w:hideMark/>
          </w:tcPr>
          <w:p w14:paraId="2C61FCF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463377C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3F86455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Strategjine Kombetare te Zhvillimit të Turizmit 2024-2030</w:t>
            </w:r>
          </w:p>
        </w:tc>
        <w:tc>
          <w:tcPr>
            <w:tcW w:w="1192" w:type="dxa"/>
            <w:tcBorders>
              <w:top w:val="nil"/>
              <w:left w:val="nil"/>
              <w:bottom w:val="single" w:sz="4" w:space="0" w:color="auto"/>
              <w:right w:val="single" w:sz="4" w:space="0" w:color="auto"/>
            </w:tcBorders>
            <w:shd w:val="clear" w:color="auto" w:fill="auto"/>
            <w:vAlign w:val="center"/>
            <w:hideMark/>
          </w:tcPr>
          <w:p w14:paraId="1D1FCC3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 ekonomike - Po</w:t>
            </w:r>
          </w:p>
        </w:tc>
      </w:tr>
      <w:tr w:rsidR="005A5FDE" w:rsidRPr="00727111" w14:paraId="2394FE45"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40CFE97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3</w:t>
            </w:r>
          </w:p>
        </w:tc>
        <w:tc>
          <w:tcPr>
            <w:tcW w:w="1741" w:type="dxa"/>
            <w:tcBorders>
              <w:top w:val="nil"/>
              <w:left w:val="nil"/>
              <w:bottom w:val="single" w:sz="4" w:space="0" w:color="auto"/>
              <w:right w:val="single" w:sz="4" w:space="0" w:color="auto"/>
            </w:tcBorders>
            <w:shd w:val="clear" w:color="auto" w:fill="auto"/>
            <w:vAlign w:val="center"/>
            <w:hideMark/>
          </w:tcPr>
          <w:p w14:paraId="033D59C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Për disa shtesa dhe ndryshime në vendimin nr.709, datë 12.10.2016 "Për miratimin e rregullores "Për kërkesat dhe kriteret për ushtrimin e e veprimtarisë së Agjencisë së udhëtimit" </w:t>
            </w:r>
          </w:p>
        </w:tc>
        <w:tc>
          <w:tcPr>
            <w:tcW w:w="1701" w:type="dxa"/>
            <w:tcBorders>
              <w:top w:val="nil"/>
              <w:left w:val="nil"/>
              <w:bottom w:val="single" w:sz="4" w:space="0" w:color="auto"/>
              <w:right w:val="single" w:sz="4" w:space="0" w:color="auto"/>
            </w:tcBorders>
            <w:shd w:val="clear" w:color="000000" w:fill="FFFFFF"/>
            <w:vAlign w:val="center"/>
            <w:hideMark/>
          </w:tcPr>
          <w:p w14:paraId="63AAA47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2474AD1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2B215B3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parë</w:t>
            </w:r>
          </w:p>
        </w:tc>
        <w:tc>
          <w:tcPr>
            <w:tcW w:w="2182" w:type="dxa"/>
            <w:tcBorders>
              <w:top w:val="nil"/>
              <w:left w:val="nil"/>
              <w:bottom w:val="single" w:sz="4" w:space="0" w:color="auto"/>
              <w:right w:val="single" w:sz="4" w:space="0" w:color="auto"/>
            </w:tcBorders>
            <w:shd w:val="clear" w:color="auto" w:fill="auto"/>
            <w:vAlign w:val="center"/>
            <w:hideMark/>
          </w:tcPr>
          <w:p w14:paraId="39B5439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Mbingarkimi i procesit te licencimit me kritere te panevojshme, nevoja per forcimin e mbrojtjes se konsumatorit.</w:t>
            </w:r>
          </w:p>
        </w:tc>
        <w:tc>
          <w:tcPr>
            <w:tcW w:w="1505" w:type="dxa"/>
            <w:tcBorders>
              <w:top w:val="nil"/>
              <w:left w:val="nil"/>
              <w:bottom w:val="single" w:sz="4" w:space="0" w:color="auto"/>
              <w:right w:val="single" w:sz="4" w:space="0" w:color="auto"/>
            </w:tcBorders>
            <w:shd w:val="clear" w:color="auto" w:fill="auto"/>
            <w:vAlign w:val="center"/>
            <w:hideMark/>
          </w:tcPr>
          <w:p w14:paraId="79EEE64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Lehtesimi i procedurave/kritereve per ushtrimin e veprimtarive turistike te agjencive turistike, mbrojtje me e mire e konsumatorit nepermjet shtimit te elementeve baze mbi te dhenat per kontraten me konsumatorin.</w:t>
            </w:r>
          </w:p>
        </w:tc>
        <w:tc>
          <w:tcPr>
            <w:tcW w:w="1086" w:type="dxa"/>
            <w:tcBorders>
              <w:top w:val="nil"/>
              <w:left w:val="nil"/>
              <w:bottom w:val="single" w:sz="4" w:space="0" w:color="auto"/>
              <w:right w:val="single" w:sz="4" w:space="0" w:color="auto"/>
            </w:tcBorders>
            <w:shd w:val="clear" w:color="000000" w:fill="FFFFFF"/>
            <w:vAlign w:val="center"/>
            <w:hideMark/>
          </w:tcPr>
          <w:p w14:paraId="5D05E7C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46995BA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045D6BB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Strategjine Kombetare te Zhvillimit të Turizmit 2024-2030</w:t>
            </w:r>
          </w:p>
        </w:tc>
        <w:tc>
          <w:tcPr>
            <w:tcW w:w="1192" w:type="dxa"/>
            <w:tcBorders>
              <w:top w:val="nil"/>
              <w:left w:val="nil"/>
              <w:bottom w:val="single" w:sz="4" w:space="0" w:color="auto"/>
              <w:right w:val="single" w:sz="4" w:space="0" w:color="auto"/>
            </w:tcBorders>
            <w:shd w:val="clear" w:color="auto" w:fill="auto"/>
            <w:vAlign w:val="center"/>
            <w:hideMark/>
          </w:tcPr>
          <w:p w14:paraId="0EF9E36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 ekonomike - Po</w:t>
            </w:r>
          </w:p>
        </w:tc>
      </w:tr>
      <w:tr w:rsidR="005A5FDE" w:rsidRPr="00727111" w14:paraId="1D4E16E9"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25EB647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4</w:t>
            </w:r>
          </w:p>
        </w:tc>
        <w:tc>
          <w:tcPr>
            <w:tcW w:w="1741" w:type="dxa"/>
            <w:tcBorders>
              <w:top w:val="nil"/>
              <w:left w:val="nil"/>
              <w:bottom w:val="single" w:sz="4" w:space="0" w:color="auto"/>
              <w:right w:val="single" w:sz="4" w:space="0" w:color="auto"/>
            </w:tcBorders>
            <w:shd w:val="clear" w:color="auto" w:fill="auto"/>
            <w:vAlign w:val="center"/>
            <w:hideMark/>
          </w:tcPr>
          <w:p w14:paraId="527A53C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disa ndryshime në vendimin nr. 845, datë 28.10.2020 "Per miratimin e rregullave te hollesishme per zhvillimin e aktiviteteve turistike detare qe kryhen nëpërmjet mjeteve lundruese për qëllime turistike dhe argëtimi"</w:t>
            </w:r>
          </w:p>
        </w:tc>
        <w:tc>
          <w:tcPr>
            <w:tcW w:w="1701" w:type="dxa"/>
            <w:tcBorders>
              <w:top w:val="nil"/>
              <w:left w:val="nil"/>
              <w:bottom w:val="single" w:sz="4" w:space="0" w:color="auto"/>
              <w:right w:val="single" w:sz="4" w:space="0" w:color="auto"/>
            </w:tcBorders>
            <w:shd w:val="clear" w:color="000000" w:fill="FFFFFF"/>
            <w:vAlign w:val="center"/>
            <w:hideMark/>
          </w:tcPr>
          <w:p w14:paraId="39EC6FE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3E8EBC4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04D8C55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parë</w:t>
            </w:r>
          </w:p>
        </w:tc>
        <w:tc>
          <w:tcPr>
            <w:tcW w:w="2182" w:type="dxa"/>
            <w:tcBorders>
              <w:top w:val="nil"/>
              <w:left w:val="nil"/>
              <w:bottom w:val="single" w:sz="4" w:space="0" w:color="auto"/>
              <w:right w:val="single" w:sz="4" w:space="0" w:color="auto"/>
            </w:tcBorders>
            <w:shd w:val="clear" w:color="auto" w:fill="auto"/>
            <w:vAlign w:val="center"/>
            <w:hideMark/>
          </w:tcPr>
          <w:p w14:paraId="0B171EC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Barriera te panevojshme ne certifikimin e operatoreve te turizmit detar.</w:t>
            </w:r>
          </w:p>
        </w:tc>
        <w:tc>
          <w:tcPr>
            <w:tcW w:w="1505" w:type="dxa"/>
            <w:tcBorders>
              <w:top w:val="nil"/>
              <w:left w:val="nil"/>
              <w:bottom w:val="single" w:sz="4" w:space="0" w:color="auto"/>
              <w:right w:val="single" w:sz="4" w:space="0" w:color="auto"/>
            </w:tcBorders>
            <w:shd w:val="clear" w:color="auto" w:fill="auto"/>
            <w:vAlign w:val="center"/>
            <w:hideMark/>
          </w:tcPr>
          <w:p w14:paraId="11057EE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Krijimi i një klime të favorshme biznesi për subjektet që ushtrojnë veprimtari të turizmit detar nëpërmjet heqjes së kritereve të panevojshme dhe lehtësimeve te metejshme proceduriale.</w:t>
            </w:r>
          </w:p>
        </w:tc>
        <w:tc>
          <w:tcPr>
            <w:tcW w:w="1086" w:type="dxa"/>
            <w:tcBorders>
              <w:top w:val="nil"/>
              <w:left w:val="nil"/>
              <w:bottom w:val="single" w:sz="4" w:space="0" w:color="auto"/>
              <w:right w:val="single" w:sz="4" w:space="0" w:color="auto"/>
            </w:tcBorders>
            <w:shd w:val="clear" w:color="000000" w:fill="FFFFFF"/>
            <w:vAlign w:val="center"/>
            <w:hideMark/>
          </w:tcPr>
          <w:p w14:paraId="1AE25B5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78D77A1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7D72A70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Strategjine Kombetare te Zhvillimit të Turizmit 2024-2030</w:t>
            </w:r>
          </w:p>
        </w:tc>
        <w:tc>
          <w:tcPr>
            <w:tcW w:w="1192" w:type="dxa"/>
            <w:tcBorders>
              <w:top w:val="nil"/>
              <w:left w:val="nil"/>
              <w:bottom w:val="single" w:sz="4" w:space="0" w:color="auto"/>
              <w:right w:val="single" w:sz="4" w:space="0" w:color="auto"/>
            </w:tcBorders>
            <w:shd w:val="clear" w:color="auto" w:fill="auto"/>
            <w:vAlign w:val="center"/>
            <w:hideMark/>
          </w:tcPr>
          <w:p w14:paraId="327DC07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 ekonomike - Po</w:t>
            </w:r>
          </w:p>
        </w:tc>
      </w:tr>
      <w:tr w:rsidR="005A5FDE" w:rsidRPr="00727111" w14:paraId="06902F64"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57D1B58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5</w:t>
            </w:r>
          </w:p>
        </w:tc>
        <w:tc>
          <w:tcPr>
            <w:tcW w:w="1741" w:type="dxa"/>
            <w:tcBorders>
              <w:top w:val="nil"/>
              <w:left w:val="nil"/>
              <w:bottom w:val="single" w:sz="4" w:space="0" w:color="auto"/>
              <w:right w:val="single" w:sz="4" w:space="0" w:color="auto"/>
            </w:tcBorders>
            <w:shd w:val="clear" w:color="auto" w:fill="auto"/>
            <w:vAlign w:val="center"/>
            <w:hideMark/>
          </w:tcPr>
          <w:p w14:paraId="232D971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shpalljen"Park Kombëtar", (Kategoria II) të një zone të mbrojtur</w:t>
            </w:r>
          </w:p>
        </w:tc>
        <w:tc>
          <w:tcPr>
            <w:tcW w:w="1701" w:type="dxa"/>
            <w:tcBorders>
              <w:top w:val="nil"/>
              <w:left w:val="nil"/>
              <w:bottom w:val="single" w:sz="4" w:space="0" w:color="auto"/>
              <w:right w:val="single" w:sz="4" w:space="0" w:color="auto"/>
            </w:tcBorders>
            <w:shd w:val="clear" w:color="000000" w:fill="FFFFFF"/>
            <w:vAlign w:val="center"/>
            <w:hideMark/>
          </w:tcPr>
          <w:p w14:paraId="270A3D2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4ED8B4F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6AA26F1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parë</w:t>
            </w:r>
          </w:p>
        </w:tc>
        <w:tc>
          <w:tcPr>
            <w:tcW w:w="2182" w:type="dxa"/>
            <w:tcBorders>
              <w:top w:val="nil"/>
              <w:left w:val="nil"/>
              <w:bottom w:val="single" w:sz="4" w:space="0" w:color="auto"/>
              <w:right w:val="single" w:sz="4" w:space="0" w:color="auto"/>
            </w:tcBorders>
            <w:shd w:val="clear" w:color="auto" w:fill="auto"/>
            <w:vAlign w:val="center"/>
            <w:hideMark/>
          </w:tcPr>
          <w:p w14:paraId="748CDAF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Harmonizim i vendimeve aktuale të miratuara gjatë vitit 2022, me ndyshimet që pësoi ligjinr. 81/2017 "Për zonat e mbrojtura"  gjatë vitit 2024, në funksion  të sigurimit të  konformitetit dhe elementëve tekniko- formal të tyre</w:t>
            </w:r>
          </w:p>
        </w:tc>
        <w:tc>
          <w:tcPr>
            <w:tcW w:w="1505" w:type="dxa"/>
            <w:tcBorders>
              <w:top w:val="nil"/>
              <w:left w:val="nil"/>
              <w:bottom w:val="single" w:sz="4" w:space="0" w:color="auto"/>
              <w:right w:val="single" w:sz="4" w:space="0" w:color="auto"/>
            </w:tcBorders>
            <w:shd w:val="clear" w:color="auto" w:fill="auto"/>
            <w:vAlign w:val="center"/>
            <w:hideMark/>
          </w:tcPr>
          <w:p w14:paraId="5AB9EBA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Qartësimi i veprimtarive të lejuara dhe të ndaluara në vendimin e shpalljes, specifikimi i formës së menaxhimit dhe adresimi I çështjeve të tjera të autorizuara nga dispozita ligjore e ligjit nr.81/2017 "Për zonat e mbrojtura", të ndryshuar</w:t>
            </w:r>
          </w:p>
        </w:tc>
        <w:tc>
          <w:tcPr>
            <w:tcW w:w="1086" w:type="dxa"/>
            <w:tcBorders>
              <w:top w:val="nil"/>
              <w:left w:val="nil"/>
              <w:bottom w:val="single" w:sz="4" w:space="0" w:color="auto"/>
              <w:right w:val="single" w:sz="4" w:space="0" w:color="auto"/>
            </w:tcBorders>
            <w:shd w:val="clear" w:color="000000" w:fill="FFFFFF"/>
            <w:vAlign w:val="center"/>
            <w:hideMark/>
          </w:tcPr>
          <w:p w14:paraId="299189E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4F63696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33CEBCF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1D349DA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1F45C1D1"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6476B32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6</w:t>
            </w:r>
          </w:p>
        </w:tc>
        <w:tc>
          <w:tcPr>
            <w:tcW w:w="1741" w:type="dxa"/>
            <w:tcBorders>
              <w:top w:val="nil"/>
              <w:left w:val="nil"/>
              <w:bottom w:val="single" w:sz="4" w:space="0" w:color="auto"/>
              <w:right w:val="single" w:sz="4" w:space="0" w:color="auto"/>
            </w:tcBorders>
            <w:shd w:val="clear" w:color="auto" w:fill="auto"/>
            <w:vAlign w:val="center"/>
            <w:hideMark/>
          </w:tcPr>
          <w:p w14:paraId="38C3658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shpalljen"Park Natyror", (Kategoria IV), të një zone të mbrojtur</w:t>
            </w:r>
          </w:p>
        </w:tc>
        <w:tc>
          <w:tcPr>
            <w:tcW w:w="1701" w:type="dxa"/>
            <w:tcBorders>
              <w:top w:val="nil"/>
              <w:left w:val="nil"/>
              <w:bottom w:val="single" w:sz="4" w:space="0" w:color="auto"/>
              <w:right w:val="single" w:sz="4" w:space="0" w:color="auto"/>
            </w:tcBorders>
            <w:shd w:val="clear" w:color="000000" w:fill="FFFFFF"/>
            <w:vAlign w:val="center"/>
            <w:hideMark/>
          </w:tcPr>
          <w:p w14:paraId="3B1B237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1B2C7F3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151A66C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parë</w:t>
            </w:r>
          </w:p>
        </w:tc>
        <w:tc>
          <w:tcPr>
            <w:tcW w:w="2182" w:type="dxa"/>
            <w:tcBorders>
              <w:top w:val="nil"/>
              <w:left w:val="nil"/>
              <w:bottom w:val="single" w:sz="4" w:space="0" w:color="auto"/>
              <w:right w:val="single" w:sz="4" w:space="0" w:color="auto"/>
            </w:tcBorders>
            <w:shd w:val="clear" w:color="auto" w:fill="auto"/>
            <w:vAlign w:val="center"/>
            <w:hideMark/>
          </w:tcPr>
          <w:p w14:paraId="30E4F64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Harmonizim i vendimeve aktuale të miratuara gjatë vitit 2022, me ndyshimet që pësoi ligji nr. 81/2017 "Për zonat e mbrojtura" gjatë vitit 2024, në funksion  të sigurimit të  konformitetit dhe elementëve tekniko- formal të tyre</w:t>
            </w:r>
          </w:p>
        </w:tc>
        <w:tc>
          <w:tcPr>
            <w:tcW w:w="1505" w:type="dxa"/>
            <w:tcBorders>
              <w:top w:val="nil"/>
              <w:left w:val="nil"/>
              <w:bottom w:val="single" w:sz="4" w:space="0" w:color="auto"/>
              <w:right w:val="single" w:sz="4" w:space="0" w:color="auto"/>
            </w:tcBorders>
            <w:shd w:val="clear" w:color="auto" w:fill="auto"/>
            <w:vAlign w:val="center"/>
            <w:hideMark/>
          </w:tcPr>
          <w:p w14:paraId="5AC88E1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Qartësimi i veprimtarive të lejuara dhe të ndaluara në vendimin e shpalljes, specifikimi i formës së menaxhimit dhe adresimi I çështjeve të tjera të autorizuara nga dispozita ligjore e ligjit nr.81/2017 "Për zonat e mbrojtura", të ndryshuar</w:t>
            </w:r>
          </w:p>
        </w:tc>
        <w:tc>
          <w:tcPr>
            <w:tcW w:w="1086" w:type="dxa"/>
            <w:tcBorders>
              <w:top w:val="nil"/>
              <w:left w:val="nil"/>
              <w:bottom w:val="single" w:sz="4" w:space="0" w:color="auto"/>
              <w:right w:val="single" w:sz="4" w:space="0" w:color="auto"/>
            </w:tcBorders>
            <w:shd w:val="clear" w:color="000000" w:fill="FFFFFF"/>
            <w:vAlign w:val="center"/>
            <w:hideMark/>
          </w:tcPr>
          <w:p w14:paraId="5AFF8D6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18DF7C3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50ADD3E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37A7110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3EC917FD"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52293B3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7</w:t>
            </w:r>
          </w:p>
        </w:tc>
        <w:tc>
          <w:tcPr>
            <w:tcW w:w="1741" w:type="dxa"/>
            <w:tcBorders>
              <w:top w:val="nil"/>
              <w:left w:val="nil"/>
              <w:bottom w:val="single" w:sz="4" w:space="0" w:color="auto"/>
              <w:right w:val="single" w:sz="4" w:space="0" w:color="auto"/>
            </w:tcBorders>
            <w:shd w:val="clear" w:color="auto" w:fill="auto"/>
            <w:vAlign w:val="center"/>
            <w:hideMark/>
          </w:tcPr>
          <w:p w14:paraId="12D1104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"Per krijimin, organizimin dhe funksionimin e Zyrës së Administrimit të Parkut Kombëtar"</w:t>
            </w:r>
          </w:p>
        </w:tc>
        <w:tc>
          <w:tcPr>
            <w:tcW w:w="1701" w:type="dxa"/>
            <w:tcBorders>
              <w:top w:val="nil"/>
              <w:left w:val="nil"/>
              <w:bottom w:val="single" w:sz="4" w:space="0" w:color="auto"/>
              <w:right w:val="single" w:sz="4" w:space="0" w:color="auto"/>
            </w:tcBorders>
            <w:shd w:val="clear" w:color="auto" w:fill="auto"/>
            <w:vAlign w:val="center"/>
            <w:hideMark/>
          </w:tcPr>
          <w:p w14:paraId="796A848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066C12B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7B174CF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parë</w:t>
            </w:r>
          </w:p>
        </w:tc>
        <w:tc>
          <w:tcPr>
            <w:tcW w:w="2182" w:type="dxa"/>
            <w:tcBorders>
              <w:top w:val="nil"/>
              <w:left w:val="nil"/>
              <w:bottom w:val="single" w:sz="4" w:space="0" w:color="auto"/>
              <w:right w:val="single" w:sz="4" w:space="0" w:color="auto"/>
            </w:tcBorders>
            <w:shd w:val="clear" w:color="auto" w:fill="auto"/>
            <w:vAlign w:val="center"/>
            <w:hideMark/>
          </w:tcPr>
          <w:p w14:paraId="47F1D44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Plotesimi i detyrimeve ligjore,  pika 8, neni 17, ligji Nr. 21/2024 "Për disa shtesa dhe ndryshime në Ligjin nr. 81/ 2017 "Për zonat e mbrojtura</w:t>
            </w:r>
          </w:p>
        </w:tc>
        <w:tc>
          <w:tcPr>
            <w:tcW w:w="1505" w:type="dxa"/>
            <w:tcBorders>
              <w:top w:val="nil"/>
              <w:left w:val="nil"/>
              <w:bottom w:val="single" w:sz="4" w:space="0" w:color="auto"/>
              <w:right w:val="single" w:sz="4" w:space="0" w:color="auto"/>
            </w:tcBorders>
            <w:shd w:val="clear" w:color="auto" w:fill="auto"/>
            <w:vAlign w:val="center"/>
            <w:hideMark/>
          </w:tcPr>
          <w:p w14:paraId="2368F17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Krijimi i Zyrës së Administrimit të Parkut Kombëtar, struktura dhe organika e saj </w:t>
            </w:r>
          </w:p>
        </w:tc>
        <w:tc>
          <w:tcPr>
            <w:tcW w:w="1086" w:type="dxa"/>
            <w:tcBorders>
              <w:top w:val="nil"/>
              <w:left w:val="nil"/>
              <w:bottom w:val="single" w:sz="4" w:space="0" w:color="auto"/>
              <w:right w:val="single" w:sz="4" w:space="0" w:color="auto"/>
            </w:tcBorders>
            <w:shd w:val="clear" w:color="auto" w:fill="auto"/>
            <w:vAlign w:val="center"/>
            <w:hideMark/>
          </w:tcPr>
          <w:p w14:paraId="0C046E5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auto" w:fill="auto"/>
            <w:vAlign w:val="center"/>
            <w:hideMark/>
          </w:tcPr>
          <w:p w14:paraId="210A196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1B7E8DA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610CB00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770B2C10"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43AA27E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8</w:t>
            </w:r>
          </w:p>
        </w:tc>
        <w:tc>
          <w:tcPr>
            <w:tcW w:w="1741" w:type="dxa"/>
            <w:tcBorders>
              <w:top w:val="nil"/>
              <w:left w:val="nil"/>
              <w:bottom w:val="single" w:sz="4" w:space="0" w:color="auto"/>
              <w:right w:val="single" w:sz="4" w:space="0" w:color="auto"/>
            </w:tcBorders>
            <w:shd w:val="clear" w:color="auto" w:fill="auto"/>
            <w:vAlign w:val="center"/>
            <w:hideMark/>
          </w:tcPr>
          <w:p w14:paraId="71C92DA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disa ndryshime në vendimin nr. 417, datë 25.06.2014 “Për miratimin e tarifave të lejeve të mjedisit”, i ndryshuar.</w:t>
            </w:r>
          </w:p>
        </w:tc>
        <w:tc>
          <w:tcPr>
            <w:tcW w:w="1701" w:type="dxa"/>
            <w:tcBorders>
              <w:top w:val="nil"/>
              <w:left w:val="nil"/>
              <w:bottom w:val="single" w:sz="4" w:space="0" w:color="auto"/>
              <w:right w:val="single" w:sz="4" w:space="0" w:color="auto"/>
            </w:tcBorders>
            <w:shd w:val="clear" w:color="000000" w:fill="FFFFFF"/>
            <w:vAlign w:val="center"/>
            <w:hideMark/>
          </w:tcPr>
          <w:p w14:paraId="4DE8E84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7B240E2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31402C5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parë</w:t>
            </w:r>
          </w:p>
        </w:tc>
        <w:tc>
          <w:tcPr>
            <w:tcW w:w="2182" w:type="dxa"/>
            <w:tcBorders>
              <w:top w:val="nil"/>
              <w:left w:val="nil"/>
              <w:bottom w:val="single" w:sz="4" w:space="0" w:color="auto"/>
              <w:right w:val="single" w:sz="4" w:space="0" w:color="auto"/>
            </w:tcBorders>
            <w:shd w:val="clear" w:color="000000" w:fill="FFFFFF"/>
            <w:vAlign w:val="center"/>
            <w:hideMark/>
          </w:tcPr>
          <w:p w14:paraId="05F1B96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Pershtatjen dhe harmonizimin me ndryshimet ligjore ne ligjin nr. 10448 date 14.07.2011 "Per lejet e mjedisit", i ndryshuar</w:t>
            </w:r>
          </w:p>
        </w:tc>
        <w:tc>
          <w:tcPr>
            <w:tcW w:w="1505" w:type="dxa"/>
            <w:tcBorders>
              <w:top w:val="nil"/>
              <w:left w:val="nil"/>
              <w:bottom w:val="single" w:sz="4" w:space="0" w:color="auto"/>
              <w:right w:val="single" w:sz="4" w:space="0" w:color="auto"/>
            </w:tcBorders>
            <w:shd w:val="clear" w:color="auto" w:fill="auto"/>
            <w:vAlign w:val="center"/>
            <w:hideMark/>
          </w:tcPr>
          <w:p w14:paraId="2561ABC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Do te saktesoje strukturen per llogari te se ciles do te realizohet pagesa e tarifes; Mund te vleresohet nevoja per rishikim te shumes se tarifes vjetore.</w:t>
            </w:r>
          </w:p>
        </w:tc>
        <w:tc>
          <w:tcPr>
            <w:tcW w:w="1086" w:type="dxa"/>
            <w:tcBorders>
              <w:top w:val="nil"/>
              <w:left w:val="nil"/>
              <w:bottom w:val="single" w:sz="4" w:space="0" w:color="auto"/>
              <w:right w:val="single" w:sz="4" w:space="0" w:color="auto"/>
            </w:tcBorders>
            <w:shd w:val="clear" w:color="000000" w:fill="FFFFFF"/>
            <w:vAlign w:val="center"/>
            <w:hideMark/>
          </w:tcPr>
          <w:p w14:paraId="2F0806E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61FE81D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7BC7395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24EEC51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 te mundshme ekonomike-Po (Nese do te rishikohet masa e tarifes vjetore dhe ajo e tarifes se aplikimit).</w:t>
            </w:r>
          </w:p>
        </w:tc>
      </w:tr>
      <w:tr w:rsidR="005A5FDE" w:rsidRPr="00727111" w14:paraId="0E5CA393"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02A64A9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9</w:t>
            </w:r>
          </w:p>
        </w:tc>
        <w:tc>
          <w:tcPr>
            <w:tcW w:w="1741" w:type="dxa"/>
            <w:tcBorders>
              <w:top w:val="nil"/>
              <w:left w:val="nil"/>
              <w:bottom w:val="single" w:sz="4" w:space="0" w:color="auto"/>
              <w:right w:val="single" w:sz="4" w:space="0" w:color="auto"/>
            </w:tcBorders>
            <w:shd w:val="clear" w:color="auto" w:fill="auto"/>
            <w:vAlign w:val="center"/>
            <w:hideMark/>
          </w:tcPr>
          <w:p w14:paraId="40874DC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Gjuetinë”</w:t>
            </w:r>
          </w:p>
        </w:tc>
        <w:tc>
          <w:tcPr>
            <w:tcW w:w="1701" w:type="dxa"/>
            <w:tcBorders>
              <w:top w:val="nil"/>
              <w:left w:val="nil"/>
              <w:bottom w:val="single" w:sz="4" w:space="0" w:color="auto"/>
              <w:right w:val="single" w:sz="4" w:space="0" w:color="auto"/>
            </w:tcBorders>
            <w:shd w:val="clear" w:color="auto" w:fill="auto"/>
            <w:vAlign w:val="center"/>
            <w:hideMark/>
          </w:tcPr>
          <w:p w14:paraId="21BEBDF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Projektligj</w:t>
            </w:r>
          </w:p>
        </w:tc>
        <w:tc>
          <w:tcPr>
            <w:tcW w:w="1842" w:type="dxa"/>
            <w:tcBorders>
              <w:top w:val="nil"/>
              <w:left w:val="nil"/>
              <w:bottom w:val="single" w:sz="4" w:space="0" w:color="auto"/>
              <w:right w:val="single" w:sz="4" w:space="0" w:color="auto"/>
            </w:tcBorders>
            <w:shd w:val="clear" w:color="auto" w:fill="auto"/>
            <w:vAlign w:val="center"/>
            <w:hideMark/>
          </w:tcPr>
          <w:p w14:paraId="2D8B210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4D7DB62B" w14:textId="77777777" w:rsidR="005A5FDE" w:rsidRPr="00727111" w:rsidRDefault="005A5FDE" w:rsidP="005A5FDE">
            <w:pPr>
              <w:jc w:val="center"/>
              <w:rPr>
                <w:sz w:val="12"/>
                <w:szCs w:val="12"/>
                <w:lang w:eastAsia="sq-AL"/>
              </w:rPr>
            </w:pPr>
            <w:r w:rsidRPr="00727111">
              <w:rPr>
                <w:sz w:val="12"/>
                <w:szCs w:val="12"/>
                <w:lang w:eastAsia="sq-AL"/>
              </w:rPr>
              <w:t>Katër mujori i dytë</w:t>
            </w:r>
          </w:p>
        </w:tc>
        <w:tc>
          <w:tcPr>
            <w:tcW w:w="2182" w:type="dxa"/>
            <w:tcBorders>
              <w:top w:val="nil"/>
              <w:left w:val="nil"/>
              <w:bottom w:val="single" w:sz="4" w:space="0" w:color="auto"/>
              <w:right w:val="single" w:sz="4" w:space="0" w:color="auto"/>
            </w:tcBorders>
            <w:shd w:val="clear" w:color="auto" w:fill="auto"/>
            <w:vAlign w:val="center"/>
            <w:hideMark/>
          </w:tcPr>
          <w:p w14:paraId="6AC2802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përcaktimin e rregullave e të kërkesave për zhvillimin e gjuetisë së qëndrueshme, si një veprimtari tradicionale,  sportive, çlodhëse dhe turistike, si edhe për të mundësuar mbrojtjen e faunës së egër dhe ruajtjen e biodiversitetit; </w:t>
            </w:r>
            <w:r w:rsidRPr="00727111">
              <w:rPr>
                <w:color w:val="000000"/>
                <w:sz w:val="12"/>
                <w:szCs w:val="12"/>
                <w:lang w:eastAsia="sq-AL"/>
              </w:rPr>
              <w:br/>
              <w:t>b) ofrimin e mekanizmave për menaxhimin e qëndrueshëm të gjuetisë, duke e vlerësuar faunën e egër si pasuri kombëtare që administrohet dhe mbrohet me ligj;</w:t>
            </w:r>
            <w:r w:rsidRPr="00727111">
              <w:rPr>
                <w:color w:val="000000"/>
                <w:sz w:val="12"/>
                <w:szCs w:val="12"/>
                <w:lang w:eastAsia="sq-AL"/>
              </w:rPr>
              <w:br/>
              <w:t xml:space="preserve">c) përcaktimin e masave për monitorimin dhe kontrollin me synim garantimin që parimet për gjuetinë të zbatohen në mënyrë rigoroze, duke ruajtur  tërësinë e ekosistemit dhe baraspeshën ekologjike; </w:t>
            </w:r>
            <w:r w:rsidRPr="00727111">
              <w:rPr>
                <w:color w:val="000000"/>
                <w:sz w:val="12"/>
                <w:szCs w:val="12"/>
                <w:lang w:eastAsia="sq-AL"/>
              </w:rPr>
              <w:br/>
              <w:t>ç mbrojtjen dhe ruajtjen e diversitetit biologjik dhe ekuilibrit ekologjik të habitateve natyrore, faunës së egër dhe florës së egër ) mosdëmtimin e llojeve të faunës së egër e të habitateve të tyre gjatë ushtrimit të gjuetisë;</w:t>
            </w:r>
            <w:r w:rsidRPr="00727111">
              <w:rPr>
                <w:color w:val="000000"/>
                <w:sz w:val="12"/>
                <w:szCs w:val="12"/>
                <w:lang w:eastAsia="sq-AL"/>
              </w:rPr>
              <w:br/>
              <w:t xml:space="preserve">d) respektimin e së drejtës së gjuetisë dhe të të drejtave mbi gjahun, mbi trofetë e produktet e gjuetisë dhe të tregtimit të tyre;. </w:t>
            </w:r>
            <w:r w:rsidRPr="00727111">
              <w:rPr>
                <w:color w:val="000000"/>
                <w:sz w:val="12"/>
                <w:szCs w:val="12"/>
                <w:lang w:eastAsia="sq-AL"/>
              </w:rPr>
              <w:br/>
              <w:t>dh) inkurajimin e përfshirjes së gjuetarëve në monitorimin, menaxhimin dhe kërkimin me qëllim përkujdesjen dhe ruajtjen e faunës së egër dhe të habitatit të vet saj;</w:t>
            </w:r>
            <w:r w:rsidRPr="00727111">
              <w:rPr>
                <w:color w:val="000000"/>
                <w:sz w:val="12"/>
                <w:szCs w:val="12"/>
                <w:lang w:eastAsia="sq-AL"/>
              </w:rPr>
              <w:br/>
              <w:t>e) nxitjen e bashkëpunimit midis gjuetarëve dhe grupeve të tjerë të interesit në ruajtjen dhe menaxhimin e faunës së egër dhe të habitatit të vet saj</w:t>
            </w:r>
          </w:p>
        </w:tc>
        <w:tc>
          <w:tcPr>
            <w:tcW w:w="1505" w:type="dxa"/>
            <w:tcBorders>
              <w:top w:val="nil"/>
              <w:left w:val="nil"/>
              <w:bottom w:val="single" w:sz="4" w:space="0" w:color="auto"/>
              <w:right w:val="single" w:sz="4" w:space="0" w:color="auto"/>
            </w:tcBorders>
            <w:shd w:val="clear" w:color="auto" w:fill="auto"/>
            <w:vAlign w:val="center"/>
            <w:hideMark/>
          </w:tcPr>
          <w:p w14:paraId="42BB9E5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Të percaktojë rregulla të qarta dhe të percaktoje institucionet qe do te menaxhojne gjuetine ne Shqiperi. Synon te perafroje rregulloren eKëshillit (EEC) Nr. 3254/91 e datës 4 nëntor 1991 që ndalon përdorimin e kurtheve në Komunitet dhe futjen në Komunitet të lëvozhgave dhe mallrave të prodhuara të disa llojeve të kafshëve të egra me origjinë nga vendet që i kapin ato me anë të kurtheve për këmbë ose metoda e kurthit të cilat nuk  plotësojnë standardet ndërkombëtare të standardeve humane të kurthit</w:t>
            </w:r>
          </w:p>
        </w:tc>
        <w:tc>
          <w:tcPr>
            <w:tcW w:w="1086" w:type="dxa"/>
            <w:tcBorders>
              <w:top w:val="nil"/>
              <w:left w:val="nil"/>
              <w:bottom w:val="single" w:sz="4" w:space="0" w:color="auto"/>
              <w:right w:val="single" w:sz="4" w:space="0" w:color="auto"/>
            </w:tcBorders>
            <w:shd w:val="clear" w:color="auto" w:fill="auto"/>
            <w:vAlign w:val="center"/>
            <w:hideMark/>
          </w:tcPr>
          <w:p w14:paraId="32B6CD6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Po, Kapitulli 27 "Mjedisi" </w:t>
            </w:r>
          </w:p>
        </w:tc>
        <w:tc>
          <w:tcPr>
            <w:tcW w:w="1286" w:type="dxa"/>
            <w:tcBorders>
              <w:top w:val="nil"/>
              <w:left w:val="nil"/>
              <w:bottom w:val="single" w:sz="4" w:space="0" w:color="auto"/>
              <w:right w:val="single" w:sz="4" w:space="0" w:color="auto"/>
            </w:tcBorders>
            <w:shd w:val="clear" w:color="000000" w:fill="FFFFFF"/>
            <w:vAlign w:val="center"/>
            <w:hideMark/>
          </w:tcPr>
          <w:p w14:paraId="29F2685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5399CAD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4E076FE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4CAD4E91"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12FBE9C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10</w:t>
            </w:r>
          </w:p>
        </w:tc>
        <w:tc>
          <w:tcPr>
            <w:tcW w:w="1741" w:type="dxa"/>
            <w:tcBorders>
              <w:top w:val="nil"/>
              <w:left w:val="nil"/>
              <w:bottom w:val="single" w:sz="4" w:space="0" w:color="auto"/>
              <w:right w:val="single" w:sz="4" w:space="0" w:color="auto"/>
            </w:tcBorders>
            <w:shd w:val="clear" w:color="auto" w:fill="auto"/>
            <w:vAlign w:val="center"/>
            <w:hideMark/>
          </w:tcPr>
          <w:p w14:paraId="6544A46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miratimin e kërkesave për menaxhimin e mbetjeve spitalore"</w:t>
            </w:r>
          </w:p>
        </w:tc>
        <w:tc>
          <w:tcPr>
            <w:tcW w:w="1701" w:type="dxa"/>
            <w:tcBorders>
              <w:top w:val="nil"/>
              <w:left w:val="nil"/>
              <w:bottom w:val="single" w:sz="4" w:space="0" w:color="auto"/>
              <w:right w:val="single" w:sz="4" w:space="0" w:color="auto"/>
            </w:tcBorders>
            <w:shd w:val="clear" w:color="000000" w:fill="FFFFFF"/>
            <w:vAlign w:val="center"/>
            <w:hideMark/>
          </w:tcPr>
          <w:p w14:paraId="1562E75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0E51E71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771B7289" w14:textId="77777777" w:rsidR="005A5FDE" w:rsidRPr="00727111" w:rsidRDefault="005A5FDE" w:rsidP="005A5FDE">
            <w:pPr>
              <w:jc w:val="center"/>
              <w:rPr>
                <w:sz w:val="12"/>
                <w:szCs w:val="12"/>
                <w:lang w:eastAsia="sq-AL"/>
              </w:rPr>
            </w:pPr>
            <w:r w:rsidRPr="00727111">
              <w:rPr>
                <w:sz w:val="12"/>
                <w:szCs w:val="12"/>
                <w:lang w:eastAsia="sq-AL"/>
              </w:rPr>
              <w:t>Katër mujori i dytë</w:t>
            </w:r>
          </w:p>
        </w:tc>
        <w:tc>
          <w:tcPr>
            <w:tcW w:w="2182" w:type="dxa"/>
            <w:tcBorders>
              <w:top w:val="nil"/>
              <w:left w:val="nil"/>
              <w:bottom w:val="single" w:sz="4" w:space="0" w:color="auto"/>
              <w:right w:val="single" w:sz="4" w:space="0" w:color="auto"/>
            </w:tcBorders>
            <w:shd w:val="clear" w:color="000000" w:fill="FFFFFF"/>
            <w:vAlign w:val="center"/>
            <w:hideMark/>
          </w:tcPr>
          <w:p w14:paraId="7305E46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Plotesimi i detyrimeve ligjore, ne zbatim te nenit 35 "Mbetjet spitalore", të Ligjit 10463/2011 "Për menaxhimin e integruar të mbetjeve".</w:t>
            </w:r>
          </w:p>
        </w:tc>
        <w:tc>
          <w:tcPr>
            <w:tcW w:w="1505" w:type="dxa"/>
            <w:tcBorders>
              <w:top w:val="nil"/>
              <w:left w:val="nil"/>
              <w:bottom w:val="single" w:sz="4" w:space="0" w:color="auto"/>
              <w:right w:val="single" w:sz="4" w:space="0" w:color="auto"/>
            </w:tcBorders>
            <w:shd w:val="clear" w:color="auto" w:fill="auto"/>
            <w:vAlign w:val="center"/>
            <w:hideMark/>
          </w:tcPr>
          <w:p w14:paraId="441866B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Parashikon miremenaxhimin e mbetjeve spitalore. Kontrollin sasior, grumbullimin dhe mirëmenaxhimin e tyre nga pika krijuese deri në pikën fundore të trajtimit të tyre për mbrojtje të mjedisit dhe shëndetit të njerëzve</w:t>
            </w:r>
          </w:p>
        </w:tc>
        <w:tc>
          <w:tcPr>
            <w:tcW w:w="1086" w:type="dxa"/>
            <w:tcBorders>
              <w:top w:val="nil"/>
              <w:left w:val="nil"/>
              <w:bottom w:val="single" w:sz="4" w:space="0" w:color="auto"/>
              <w:right w:val="single" w:sz="4" w:space="0" w:color="auto"/>
            </w:tcBorders>
            <w:shd w:val="clear" w:color="000000" w:fill="FFFFFF"/>
            <w:vAlign w:val="center"/>
            <w:hideMark/>
          </w:tcPr>
          <w:p w14:paraId="77283FF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5E2B7C6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4550CEA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 Projektvendimi është në një linjë me Dokumentin e Politikave Strategjike per menaxhimin e integruar te mbetjeve </w:t>
            </w:r>
          </w:p>
        </w:tc>
        <w:tc>
          <w:tcPr>
            <w:tcW w:w="1192" w:type="dxa"/>
            <w:tcBorders>
              <w:top w:val="nil"/>
              <w:left w:val="nil"/>
              <w:bottom w:val="single" w:sz="4" w:space="0" w:color="auto"/>
              <w:right w:val="single" w:sz="4" w:space="0" w:color="auto"/>
            </w:tcBorders>
            <w:shd w:val="clear" w:color="000000" w:fill="FFFFFF"/>
            <w:vAlign w:val="center"/>
            <w:hideMark/>
          </w:tcPr>
          <w:p w14:paraId="4814452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67A7FC59"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2FABFE5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11</w:t>
            </w:r>
          </w:p>
        </w:tc>
        <w:tc>
          <w:tcPr>
            <w:tcW w:w="1741" w:type="dxa"/>
            <w:tcBorders>
              <w:top w:val="nil"/>
              <w:left w:val="nil"/>
              <w:bottom w:val="single" w:sz="4" w:space="0" w:color="auto"/>
              <w:right w:val="single" w:sz="4" w:space="0" w:color="auto"/>
            </w:tcBorders>
            <w:shd w:val="clear" w:color="auto" w:fill="auto"/>
            <w:vAlign w:val="center"/>
            <w:hideMark/>
          </w:tcPr>
          <w:p w14:paraId="744A595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përcaktimin e të dhënave parësore dhe dytësore të sistemit të të dhënave në turizëm."</w:t>
            </w:r>
          </w:p>
        </w:tc>
        <w:tc>
          <w:tcPr>
            <w:tcW w:w="1701" w:type="dxa"/>
            <w:tcBorders>
              <w:top w:val="nil"/>
              <w:left w:val="nil"/>
              <w:bottom w:val="single" w:sz="4" w:space="0" w:color="auto"/>
              <w:right w:val="single" w:sz="4" w:space="0" w:color="auto"/>
            </w:tcBorders>
            <w:shd w:val="clear" w:color="000000" w:fill="FFFFFF"/>
            <w:vAlign w:val="center"/>
            <w:hideMark/>
          </w:tcPr>
          <w:p w14:paraId="6352BF8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788AF60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060E90FE" w14:textId="77777777" w:rsidR="005A5FDE" w:rsidRPr="00727111" w:rsidRDefault="005A5FDE" w:rsidP="005A5FDE">
            <w:pPr>
              <w:jc w:val="center"/>
              <w:rPr>
                <w:sz w:val="12"/>
                <w:szCs w:val="12"/>
                <w:lang w:eastAsia="sq-AL"/>
              </w:rPr>
            </w:pPr>
            <w:r w:rsidRPr="00727111">
              <w:rPr>
                <w:sz w:val="12"/>
                <w:szCs w:val="12"/>
                <w:lang w:eastAsia="sq-AL"/>
              </w:rPr>
              <w:t>Katër mujori i dytë</w:t>
            </w:r>
          </w:p>
        </w:tc>
        <w:tc>
          <w:tcPr>
            <w:tcW w:w="2182" w:type="dxa"/>
            <w:tcBorders>
              <w:top w:val="nil"/>
              <w:left w:val="nil"/>
              <w:bottom w:val="single" w:sz="4" w:space="0" w:color="auto"/>
              <w:right w:val="single" w:sz="4" w:space="0" w:color="auto"/>
            </w:tcBorders>
            <w:shd w:val="clear" w:color="auto" w:fill="auto"/>
            <w:vAlign w:val="center"/>
            <w:hideMark/>
          </w:tcPr>
          <w:p w14:paraId="77DD175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Standardizimi i te dhenave dhe pershtatja e te dhenave me statistikat ndërkombëtare.</w:t>
            </w:r>
          </w:p>
        </w:tc>
        <w:tc>
          <w:tcPr>
            <w:tcW w:w="1505" w:type="dxa"/>
            <w:tcBorders>
              <w:top w:val="nil"/>
              <w:left w:val="nil"/>
              <w:bottom w:val="single" w:sz="4" w:space="0" w:color="auto"/>
              <w:right w:val="single" w:sz="4" w:space="0" w:color="auto"/>
            </w:tcBorders>
            <w:shd w:val="clear" w:color="auto" w:fill="auto"/>
            <w:vAlign w:val="center"/>
            <w:hideMark/>
          </w:tcPr>
          <w:p w14:paraId="77D5783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Nga problematikat qe kane lindur gjate hartimit te politikave te Turizmit ne vite vihet re qe kemi nje mungesë të këtyre te dhenave sidomos në nivelin lokal ndaj hartimi i ketij akti do të:                                                    • Gjenerojë të dhëna kuptimplote si në nivel rajonal/bashkiak ashtu edhe në nivel kombëtar.                                  •         Sigurojë të dhëna të dobishme dhe të besueshme të turizmit për të gjithë sektorin e turizmit për planifikim, marketing, politikëbërje dhe rregullim si në sektorin publik ashtu edhe në atë privat.                  •         Mundësojë përpilimin e një Kuadri Kombëtar Statistikor Plotësues të Turizmit (KSPT).                                 •         Gjenerojë 30 nga 43 indikatorët kryesorë të Sistemit Evropian të Indikatorëve të Turizmit (SEIT/ETIS).</w:t>
            </w:r>
          </w:p>
        </w:tc>
        <w:tc>
          <w:tcPr>
            <w:tcW w:w="1086" w:type="dxa"/>
            <w:tcBorders>
              <w:top w:val="nil"/>
              <w:left w:val="nil"/>
              <w:bottom w:val="single" w:sz="4" w:space="0" w:color="auto"/>
              <w:right w:val="single" w:sz="4" w:space="0" w:color="auto"/>
            </w:tcBorders>
            <w:shd w:val="clear" w:color="000000" w:fill="FFFFFF"/>
            <w:vAlign w:val="center"/>
            <w:hideMark/>
          </w:tcPr>
          <w:p w14:paraId="5371A98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4A8167E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617BC3C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Strategjine Kombetare te Zhvillimit të Turizmit 2024-2030</w:t>
            </w:r>
          </w:p>
        </w:tc>
        <w:tc>
          <w:tcPr>
            <w:tcW w:w="1192" w:type="dxa"/>
            <w:tcBorders>
              <w:top w:val="nil"/>
              <w:left w:val="nil"/>
              <w:bottom w:val="single" w:sz="4" w:space="0" w:color="auto"/>
              <w:right w:val="single" w:sz="4" w:space="0" w:color="auto"/>
            </w:tcBorders>
            <w:shd w:val="clear" w:color="000000" w:fill="FFFFFF"/>
            <w:vAlign w:val="center"/>
            <w:hideMark/>
          </w:tcPr>
          <w:p w14:paraId="6413D38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r>
      <w:tr w:rsidR="005A5FDE" w:rsidRPr="00727111" w14:paraId="33B4AFCD"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3288D5A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12</w:t>
            </w:r>
          </w:p>
        </w:tc>
        <w:tc>
          <w:tcPr>
            <w:tcW w:w="1741" w:type="dxa"/>
            <w:tcBorders>
              <w:top w:val="nil"/>
              <w:left w:val="nil"/>
              <w:bottom w:val="single" w:sz="4" w:space="0" w:color="auto"/>
              <w:right w:val="single" w:sz="4" w:space="0" w:color="auto"/>
            </w:tcBorders>
            <w:shd w:val="clear" w:color="auto" w:fill="auto"/>
            <w:vAlign w:val="center"/>
            <w:hideMark/>
          </w:tcPr>
          <w:p w14:paraId="467909A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miratimin e rregullave për trajtimin, shfrytëzimin, shitjen, eksportin (rastet e lejuara), importin, administrimin dhe transportin e materialit drusor dhe të prodhimeve jodrusore pyjore, si dhe kategorizimi i rrugëve autopyjore, përdorimi dhe standardet teknike të tyre"</w:t>
            </w:r>
          </w:p>
        </w:tc>
        <w:tc>
          <w:tcPr>
            <w:tcW w:w="1701" w:type="dxa"/>
            <w:tcBorders>
              <w:top w:val="nil"/>
              <w:left w:val="nil"/>
              <w:bottom w:val="single" w:sz="4" w:space="0" w:color="auto"/>
              <w:right w:val="single" w:sz="4" w:space="0" w:color="auto"/>
            </w:tcBorders>
            <w:shd w:val="clear" w:color="000000" w:fill="FFFFFF"/>
            <w:vAlign w:val="center"/>
            <w:hideMark/>
          </w:tcPr>
          <w:p w14:paraId="2C756A3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2F79CD6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6EC9AC13" w14:textId="77777777" w:rsidR="005A5FDE" w:rsidRPr="00727111" w:rsidRDefault="005A5FDE" w:rsidP="005A5FDE">
            <w:pPr>
              <w:jc w:val="center"/>
              <w:rPr>
                <w:sz w:val="12"/>
                <w:szCs w:val="12"/>
                <w:lang w:eastAsia="sq-AL"/>
              </w:rPr>
            </w:pPr>
            <w:r w:rsidRPr="00727111">
              <w:rPr>
                <w:sz w:val="12"/>
                <w:szCs w:val="12"/>
                <w:lang w:eastAsia="sq-AL"/>
              </w:rPr>
              <w:t>Katër mujori i dytë</w:t>
            </w:r>
          </w:p>
        </w:tc>
        <w:tc>
          <w:tcPr>
            <w:tcW w:w="2182" w:type="dxa"/>
            <w:tcBorders>
              <w:top w:val="nil"/>
              <w:left w:val="nil"/>
              <w:bottom w:val="single" w:sz="4" w:space="0" w:color="auto"/>
              <w:right w:val="single" w:sz="4" w:space="0" w:color="auto"/>
            </w:tcBorders>
            <w:shd w:val="clear" w:color="auto" w:fill="auto"/>
            <w:vAlign w:val="center"/>
            <w:hideMark/>
          </w:tcPr>
          <w:p w14:paraId="49DB55E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Me përfundimin e moratoriumit të pyjeve, bëhet I domosdoshëm përcatimi I rregullave dhe procedurave për shfryëzimin e fondit pyjor</w:t>
            </w:r>
          </w:p>
        </w:tc>
        <w:tc>
          <w:tcPr>
            <w:tcW w:w="1505" w:type="dxa"/>
            <w:tcBorders>
              <w:top w:val="nil"/>
              <w:left w:val="nil"/>
              <w:bottom w:val="single" w:sz="4" w:space="0" w:color="auto"/>
              <w:right w:val="single" w:sz="4" w:space="0" w:color="auto"/>
            </w:tcBorders>
            <w:shd w:val="clear" w:color="auto" w:fill="auto"/>
            <w:vAlign w:val="center"/>
            <w:hideMark/>
          </w:tcPr>
          <w:p w14:paraId="7E7C5D3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Të rregullojë procedurat e shfrytëzimit të fondit pyjor, të transportit të lëndës drusore dhe të tregëtimit të produkteve drusore. </w:t>
            </w:r>
          </w:p>
        </w:tc>
        <w:tc>
          <w:tcPr>
            <w:tcW w:w="1086" w:type="dxa"/>
            <w:tcBorders>
              <w:top w:val="nil"/>
              <w:left w:val="nil"/>
              <w:bottom w:val="single" w:sz="4" w:space="0" w:color="auto"/>
              <w:right w:val="single" w:sz="4" w:space="0" w:color="auto"/>
            </w:tcBorders>
            <w:shd w:val="clear" w:color="000000" w:fill="FFFFFF"/>
            <w:vAlign w:val="center"/>
            <w:hideMark/>
          </w:tcPr>
          <w:p w14:paraId="04109A9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0C08434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340A47F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 lidhet me Programin Kombëtar të Pyjeve 2019-2030</w:t>
            </w:r>
          </w:p>
        </w:tc>
        <w:tc>
          <w:tcPr>
            <w:tcW w:w="1192" w:type="dxa"/>
            <w:tcBorders>
              <w:top w:val="nil"/>
              <w:left w:val="nil"/>
              <w:bottom w:val="single" w:sz="4" w:space="0" w:color="auto"/>
              <w:right w:val="single" w:sz="4" w:space="0" w:color="auto"/>
            </w:tcBorders>
            <w:shd w:val="clear" w:color="000000" w:fill="FFFFFF"/>
            <w:vAlign w:val="center"/>
            <w:hideMark/>
          </w:tcPr>
          <w:p w14:paraId="0976F57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41CE954B"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35C91AD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13</w:t>
            </w:r>
          </w:p>
        </w:tc>
        <w:tc>
          <w:tcPr>
            <w:tcW w:w="1741" w:type="dxa"/>
            <w:tcBorders>
              <w:top w:val="nil"/>
              <w:left w:val="nil"/>
              <w:bottom w:val="single" w:sz="4" w:space="0" w:color="auto"/>
              <w:right w:val="single" w:sz="4" w:space="0" w:color="auto"/>
            </w:tcBorders>
            <w:shd w:val="clear" w:color="auto" w:fill="auto"/>
            <w:vAlign w:val="center"/>
            <w:hideMark/>
          </w:tcPr>
          <w:p w14:paraId="7F16D1D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disa shtesa dhe ndryshime në vendimin nr. 220, datë 11.3.2015 “Për miratimin e procedurës dhe kritereve për pajisjen me ekoetiketë, mënyrën e përdorimit dhe vlefshmërinë e saj, dhe përbërjen e funksionimin e komisionit për lëshimin e ekoetiketës”</w:t>
            </w:r>
          </w:p>
        </w:tc>
        <w:tc>
          <w:tcPr>
            <w:tcW w:w="1701" w:type="dxa"/>
            <w:tcBorders>
              <w:top w:val="nil"/>
              <w:left w:val="nil"/>
              <w:bottom w:val="single" w:sz="4" w:space="0" w:color="auto"/>
              <w:right w:val="single" w:sz="4" w:space="0" w:color="auto"/>
            </w:tcBorders>
            <w:shd w:val="clear" w:color="000000" w:fill="FFFFFF"/>
            <w:vAlign w:val="center"/>
            <w:hideMark/>
          </w:tcPr>
          <w:p w14:paraId="297CFFF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3B7599D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299C0D39" w14:textId="77777777" w:rsidR="005A5FDE" w:rsidRPr="00727111" w:rsidRDefault="005A5FDE" w:rsidP="005A5FDE">
            <w:pPr>
              <w:jc w:val="center"/>
              <w:rPr>
                <w:sz w:val="12"/>
                <w:szCs w:val="12"/>
                <w:lang w:eastAsia="sq-AL"/>
              </w:rPr>
            </w:pPr>
            <w:r w:rsidRPr="00727111">
              <w:rPr>
                <w:sz w:val="12"/>
                <w:szCs w:val="12"/>
                <w:lang w:eastAsia="sq-AL"/>
              </w:rPr>
              <w:t>Katër mujori i dytë</w:t>
            </w:r>
          </w:p>
        </w:tc>
        <w:tc>
          <w:tcPr>
            <w:tcW w:w="2182" w:type="dxa"/>
            <w:tcBorders>
              <w:top w:val="nil"/>
              <w:left w:val="nil"/>
              <w:bottom w:val="single" w:sz="4" w:space="0" w:color="auto"/>
              <w:right w:val="single" w:sz="4" w:space="0" w:color="auto"/>
            </w:tcBorders>
            <w:shd w:val="clear" w:color="auto" w:fill="auto"/>
            <w:vAlign w:val="center"/>
            <w:hideMark/>
          </w:tcPr>
          <w:p w14:paraId="62B4130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Rritjen e nivelit te transpozimit te rregullores nr. 66/2010 te Parlamentit Evropian dhe Këshillit, datë 25 nëntor 2009 për ekoetiketën.</w:t>
            </w:r>
          </w:p>
        </w:tc>
        <w:tc>
          <w:tcPr>
            <w:tcW w:w="1505" w:type="dxa"/>
            <w:tcBorders>
              <w:top w:val="nil"/>
              <w:left w:val="nil"/>
              <w:bottom w:val="single" w:sz="4" w:space="0" w:color="auto"/>
              <w:right w:val="single" w:sz="4" w:space="0" w:color="auto"/>
            </w:tcBorders>
            <w:shd w:val="clear" w:color="auto" w:fill="auto"/>
            <w:vAlign w:val="center"/>
            <w:hideMark/>
          </w:tcPr>
          <w:p w14:paraId="314BE7A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Transpozimin e neneve te rregullores qe nuk jane transpozuar ende; Parashikimi i masave stimuluese me qellim aplikimin.</w:t>
            </w:r>
          </w:p>
        </w:tc>
        <w:tc>
          <w:tcPr>
            <w:tcW w:w="1086" w:type="dxa"/>
            <w:tcBorders>
              <w:top w:val="nil"/>
              <w:left w:val="nil"/>
              <w:bottom w:val="single" w:sz="4" w:space="0" w:color="auto"/>
              <w:right w:val="single" w:sz="4" w:space="0" w:color="auto"/>
            </w:tcBorders>
            <w:shd w:val="clear" w:color="000000" w:fill="FFFFFF"/>
            <w:vAlign w:val="center"/>
            <w:hideMark/>
          </w:tcPr>
          <w:p w14:paraId="4802331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176F52F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24CDFA5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0D0988B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 te mundshme  ekonomike, financiare -Jo. Ndikime te mundshme mjedisore- Po (promovimi i produkteve me ndikim më të reduktuar në mjedis)</w:t>
            </w:r>
          </w:p>
        </w:tc>
      </w:tr>
      <w:tr w:rsidR="005A5FDE" w:rsidRPr="00727111" w14:paraId="34CCD0E2"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2D423CA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14</w:t>
            </w:r>
          </w:p>
        </w:tc>
        <w:tc>
          <w:tcPr>
            <w:tcW w:w="1741" w:type="dxa"/>
            <w:tcBorders>
              <w:top w:val="nil"/>
              <w:left w:val="nil"/>
              <w:bottom w:val="single" w:sz="4" w:space="0" w:color="auto"/>
              <w:right w:val="single" w:sz="4" w:space="0" w:color="auto"/>
            </w:tcBorders>
            <w:shd w:val="clear" w:color="auto" w:fill="auto"/>
            <w:vAlign w:val="center"/>
            <w:hideMark/>
          </w:tcPr>
          <w:p w14:paraId="611DCDC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disa shtesa dhe ndryshime në vendimin nr. 598, datë 01.7.2015, të këshillit te ministrave “Për përcaktimin e rregullave dhe të procedurave për vlerësimin e ndikimit në mjedisin ndërkufitar”</w:t>
            </w:r>
          </w:p>
        </w:tc>
        <w:tc>
          <w:tcPr>
            <w:tcW w:w="1701" w:type="dxa"/>
            <w:tcBorders>
              <w:top w:val="nil"/>
              <w:left w:val="nil"/>
              <w:bottom w:val="single" w:sz="4" w:space="0" w:color="auto"/>
              <w:right w:val="single" w:sz="4" w:space="0" w:color="auto"/>
            </w:tcBorders>
            <w:shd w:val="clear" w:color="000000" w:fill="FFFFFF"/>
            <w:vAlign w:val="center"/>
            <w:hideMark/>
          </w:tcPr>
          <w:p w14:paraId="4F6C0F7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7F9AA06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6A08442A" w14:textId="77777777" w:rsidR="005A5FDE" w:rsidRPr="00727111" w:rsidRDefault="005A5FDE" w:rsidP="005A5FDE">
            <w:pPr>
              <w:jc w:val="center"/>
              <w:rPr>
                <w:sz w:val="12"/>
                <w:szCs w:val="12"/>
                <w:lang w:eastAsia="sq-AL"/>
              </w:rPr>
            </w:pPr>
            <w:r w:rsidRPr="00727111">
              <w:rPr>
                <w:sz w:val="12"/>
                <w:szCs w:val="12"/>
                <w:lang w:eastAsia="sq-AL"/>
              </w:rPr>
              <w:t>Katër mujori i dytë</w:t>
            </w:r>
          </w:p>
        </w:tc>
        <w:tc>
          <w:tcPr>
            <w:tcW w:w="2182" w:type="dxa"/>
            <w:tcBorders>
              <w:top w:val="nil"/>
              <w:left w:val="nil"/>
              <w:bottom w:val="single" w:sz="4" w:space="0" w:color="auto"/>
              <w:right w:val="single" w:sz="4" w:space="0" w:color="auto"/>
            </w:tcBorders>
            <w:shd w:val="clear" w:color="auto" w:fill="auto"/>
            <w:vAlign w:val="center"/>
            <w:hideMark/>
          </w:tcPr>
          <w:p w14:paraId="5A2BFAA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Reflektimin e disa ndryshimeve qe vijne si pasoje e ndryshimeve te realizuara ne VKM nr. 686, date 29.07.2015 "Për miratimin e rregullave, të përgjegjësive e të afateve për zhvillimin e procedurës së vlerësimit të ndikimit në mjedis (vnm) dhe procedurës së transferimit të vendimit e deklaratës mjedisore", i ndryshuar.</w:t>
            </w:r>
          </w:p>
        </w:tc>
        <w:tc>
          <w:tcPr>
            <w:tcW w:w="1505" w:type="dxa"/>
            <w:tcBorders>
              <w:top w:val="nil"/>
              <w:left w:val="nil"/>
              <w:bottom w:val="single" w:sz="4" w:space="0" w:color="auto"/>
              <w:right w:val="single" w:sz="4" w:space="0" w:color="auto"/>
            </w:tcBorders>
            <w:shd w:val="clear" w:color="auto" w:fill="auto"/>
            <w:vAlign w:val="center"/>
            <w:hideMark/>
          </w:tcPr>
          <w:p w14:paraId="643C2BD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Do te percaktoje institucionin dhe procedurat nepermjet te cilat do te njoftohet zhvilluesi i projektit te propozuar, nese nevojitet qe t'i nenshtrohet procedurave te VNM ne kontekst nderkufituar. </w:t>
            </w:r>
          </w:p>
        </w:tc>
        <w:tc>
          <w:tcPr>
            <w:tcW w:w="1086" w:type="dxa"/>
            <w:tcBorders>
              <w:top w:val="nil"/>
              <w:left w:val="nil"/>
              <w:bottom w:val="single" w:sz="4" w:space="0" w:color="auto"/>
              <w:right w:val="single" w:sz="4" w:space="0" w:color="auto"/>
            </w:tcBorders>
            <w:shd w:val="clear" w:color="000000" w:fill="FFFFFF"/>
            <w:vAlign w:val="center"/>
            <w:hideMark/>
          </w:tcPr>
          <w:p w14:paraId="7369C58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3BCB5BE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0392806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2655633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r>
      <w:tr w:rsidR="005A5FDE" w:rsidRPr="00727111" w14:paraId="1C1CFE7B"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3076510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15</w:t>
            </w:r>
          </w:p>
        </w:tc>
        <w:tc>
          <w:tcPr>
            <w:tcW w:w="1741" w:type="dxa"/>
            <w:tcBorders>
              <w:top w:val="nil"/>
              <w:left w:val="nil"/>
              <w:bottom w:val="single" w:sz="4" w:space="0" w:color="auto"/>
              <w:right w:val="single" w:sz="4" w:space="0" w:color="auto"/>
            </w:tcBorders>
            <w:shd w:val="clear" w:color="auto" w:fill="auto"/>
            <w:vAlign w:val="center"/>
            <w:hideMark/>
          </w:tcPr>
          <w:p w14:paraId="460E8A9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 “Për disa shtesa dhe ndryshime në vendimin nr. 632, datë 11.06.2009 "Për miratimin e Tarifave te Perdorimit te Kullotave dhe Livadheve për Kullotje dhe Kositje”</w:t>
            </w:r>
          </w:p>
        </w:tc>
        <w:tc>
          <w:tcPr>
            <w:tcW w:w="1701" w:type="dxa"/>
            <w:tcBorders>
              <w:top w:val="nil"/>
              <w:left w:val="nil"/>
              <w:bottom w:val="single" w:sz="4" w:space="0" w:color="auto"/>
              <w:right w:val="single" w:sz="4" w:space="0" w:color="auto"/>
            </w:tcBorders>
            <w:shd w:val="clear" w:color="000000" w:fill="FFFFFF"/>
            <w:vAlign w:val="center"/>
            <w:hideMark/>
          </w:tcPr>
          <w:p w14:paraId="36E702D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5765D3D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auto" w:fill="auto"/>
            <w:vAlign w:val="center"/>
            <w:hideMark/>
          </w:tcPr>
          <w:p w14:paraId="787CCD19" w14:textId="77777777" w:rsidR="005A5FDE" w:rsidRPr="00727111" w:rsidRDefault="005A5FDE" w:rsidP="005A5FDE">
            <w:pPr>
              <w:jc w:val="center"/>
              <w:rPr>
                <w:sz w:val="12"/>
                <w:szCs w:val="12"/>
                <w:lang w:eastAsia="sq-AL"/>
              </w:rPr>
            </w:pPr>
            <w:r w:rsidRPr="00727111">
              <w:rPr>
                <w:sz w:val="12"/>
                <w:szCs w:val="12"/>
                <w:lang w:eastAsia="sq-AL"/>
              </w:rPr>
              <w:t>Katër mujori i dytë</w:t>
            </w:r>
          </w:p>
        </w:tc>
        <w:tc>
          <w:tcPr>
            <w:tcW w:w="2182" w:type="dxa"/>
            <w:tcBorders>
              <w:top w:val="nil"/>
              <w:left w:val="nil"/>
              <w:bottom w:val="single" w:sz="4" w:space="0" w:color="auto"/>
              <w:right w:val="single" w:sz="4" w:space="0" w:color="auto"/>
            </w:tcBorders>
            <w:shd w:val="clear" w:color="000000" w:fill="FFFFFF"/>
            <w:vAlign w:val="center"/>
            <w:hideMark/>
          </w:tcPr>
          <w:p w14:paraId="66D52AC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te miratuar tarifat e perdorimit te kullotave dhe livadheve për kullotje dhe kositje</w:t>
            </w:r>
          </w:p>
        </w:tc>
        <w:tc>
          <w:tcPr>
            <w:tcW w:w="1505" w:type="dxa"/>
            <w:tcBorders>
              <w:top w:val="nil"/>
              <w:left w:val="nil"/>
              <w:bottom w:val="single" w:sz="4" w:space="0" w:color="auto"/>
              <w:right w:val="single" w:sz="4" w:space="0" w:color="auto"/>
            </w:tcBorders>
            <w:shd w:val="clear" w:color="000000" w:fill="FFFFFF"/>
            <w:vAlign w:val="center"/>
            <w:hideMark/>
          </w:tcPr>
          <w:p w14:paraId="1AD7B18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Miratimin e Tarifave te Perdorimit te Kullotave dhe Livadheve për Kullotje dhe Kositje</w:t>
            </w:r>
          </w:p>
        </w:tc>
        <w:tc>
          <w:tcPr>
            <w:tcW w:w="1086" w:type="dxa"/>
            <w:tcBorders>
              <w:top w:val="nil"/>
              <w:left w:val="nil"/>
              <w:bottom w:val="single" w:sz="4" w:space="0" w:color="auto"/>
              <w:right w:val="single" w:sz="4" w:space="0" w:color="auto"/>
            </w:tcBorders>
            <w:shd w:val="clear" w:color="000000" w:fill="FFFFFF"/>
            <w:vAlign w:val="center"/>
            <w:hideMark/>
          </w:tcPr>
          <w:p w14:paraId="5FC30EB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5919626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3DE1831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0F6E78C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3C6109D5"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1F5B7C6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16</w:t>
            </w:r>
          </w:p>
        </w:tc>
        <w:tc>
          <w:tcPr>
            <w:tcW w:w="1741" w:type="dxa"/>
            <w:tcBorders>
              <w:top w:val="nil"/>
              <w:left w:val="nil"/>
              <w:bottom w:val="single" w:sz="4" w:space="0" w:color="auto"/>
              <w:right w:val="single" w:sz="4" w:space="0" w:color="auto"/>
            </w:tcBorders>
            <w:shd w:val="clear" w:color="auto" w:fill="auto"/>
            <w:vAlign w:val="center"/>
            <w:hideMark/>
          </w:tcPr>
          <w:p w14:paraId="13BFDBA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përcaktimin e rregullave të detajuara për organizimin dhe funksionimin e regjistrit, produktet dhe pajisjet përkatëse që regjistrohen, detyrimet e sipërmarrësve për të raportuar, si dhe niveli i aksesueshmërisë së</w:t>
            </w:r>
            <w:r w:rsidRPr="00727111">
              <w:rPr>
                <w:color w:val="000000"/>
                <w:sz w:val="12"/>
                <w:szCs w:val="12"/>
                <w:lang w:eastAsia="sq-AL"/>
              </w:rPr>
              <w:br/>
              <w:t>regjistrit"</w:t>
            </w:r>
          </w:p>
        </w:tc>
        <w:tc>
          <w:tcPr>
            <w:tcW w:w="1701" w:type="dxa"/>
            <w:tcBorders>
              <w:top w:val="nil"/>
              <w:left w:val="nil"/>
              <w:bottom w:val="single" w:sz="4" w:space="0" w:color="auto"/>
              <w:right w:val="single" w:sz="4" w:space="0" w:color="auto"/>
            </w:tcBorders>
            <w:shd w:val="clear" w:color="000000" w:fill="FFFFFF"/>
            <w:vAlign w:val="center"/>
            <w:hideMark/>
          </w:tcPr>
          <w:p w14:paraId="425A488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1C9DE32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701FFCC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16320FB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Plotesimi i detyrimeve ligjore, ne zbatim te Ligjit nr. 2/2023 "per gazet serre te fluoruara", Neni 16</w:t>
            </w:r>
          </w:p>
        </w:tc>
        <w:tc>
          <w:tcPr>
            <w:tcW w:w="1505" w:type="dxa"/>
            <w:tcBorders>
              <w:top w:val="nil"/>
              <w:left w:val="nil"/>
              <w:bottom w:val="single" w:sz="4" w:space="0" w:color="auto"/>
              <w:right w:val="single" w:sz="4" w:space="0" w:color="auto"/>
            </w:tcBorders>
            <w:shd w:val="clear" w:color="auto" w:fill="auto"/>
            <w:vAlign w:val="center"/>
            <w:hideMark/>
          </w:tcPr>
          <w:p w14:paraId="19912DF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Projektvendimi për miratimin e Regjistrit të Gazeve të Fluoruara rregullon disa çështje kryesore, përfshirë:</w:t>
            </w:r>
            <w:r w:rsidRPr="00727111">
              <w:rPr>
                <w:color w:val="000000"/>
                <w:sz w:val="12"/>
                <w:szCs w:val="12"/>
                <w:lang w:eastAsia="sq-AL"/>
              </w:rPr>
              <w:br/>
              <w:t>1. Përcaktimi i funksioneve te autoriteteve kompetente dhe funksionet e regjistrit për të mbajtur të dhënat mbi gazet e fluoruara duke përfshirë formatin dhe afatet e raportimit.</w:t>
            </w:r>
            <w:r w:rsidRPr="00727111">
              <w:rPr>
                <w:color w:val="000000"/>
                <w:sz w:val="12"/>
                <w:szCs w:val="12"/>
                <w:lang w:eastAsia="sq-AL"/>
              </w:rPr>
              <w:br/>
              <w:t>2. Përcaktimi i detyrimeve që kanë subjektet që përdorin ose importojnë gaze të fluoruara për të siguruar përputhshmërinë me ligjin nr.2/2023 "per gazet serre te fluoruara".</w:t>
            </w:r>
            <w:r w:rsidRPr="00727111">
              <w:rPr>
                <w:color w:val="000000"/>
                <w:sz w:val="12"/>
                <w:szCs w:val="12"/>
                <w:lang w:eastAsia="sq-AL"/>
              </w:rPr>
              <w:br/>
              <w:t>3. Rregullat për publikimin e informacionit të regjistruar, duke siguruar transparencë për publikun dhe për autoritetet kompetente.</w:t>
            </w:r>
            <w:r w:rsidRPr="00727111">
              <w:rPr>
                <w:color w:val="000000"/>
                <w:sz w:val="12"/>
                <w:szCs w:val="12"/>
                <w:lang w:eastAsia="sq-AL"/>
              </w:rPr>
              <w:br/>
              <w:t>4. Parashikimi i sanksioneve për mosrespektimin e rregullave dhe detyrimeve te raportimit.</w:t>
            </w:r>
          </w:p>
        </w:tc>
        <w:tc>
          <w:tcPr>
            <w:tcW w:w="1086" w:type="dxa"/>
            <w:tcBorders>
              <w:top w:val="nil"/>
              <w:left w:val="nil"/>
              <w:bottom w:val="single" w:sz="4" w:space="0" w:color="auto"/>
              <w:right w:val="single" w:sz="4" w:space="0" w:color="auto"/>
            </w:tcBorders>
            <w:shd w:val="clear" w:color="000000" w:fill="FFFFFF"/>
            <w:vAlign w:val="center"/>
            <w:hideMark/>
          </w:tcPr>
          <w:p w14:paraId="719CC10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25A53BA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4EED312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Strategjia Kombetare per Ndryshimet Klimatike, Kontributi Kombetar I Percaktuar</w:t>
            </w:r>
          </w:p>
        </w:tc>
        <w:tc>
          <w:tcPr>
            <w:tcW w:w="1192" w:type="dxa"/>
            <w:tcBorders>
              <w:top w:val="nil"/>
              <w:left w:val="nil"/>
              <w:bottom w:val="single" w:sz="4" w:space="0" w:color="auto"/>
              <w:right w:val="single" w:sz="4" w:space="0" w:color="auto"/>
            </w:tcBorders>
            <w:shd w:val="clear" w:color="auto" w:fill="auto"/>
            <w:vAlign w:val="center"/>
            <w:hideMark/>
          </w:tcPr>
          <w:p w14:paraId="7C82AE2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Ndikimet e mundshme:  Ekonomike- Po, Financiare- Po, Sociale- Jo dhe mjedisore- Jo</w:t>
            </w:r>
          </w:p>
        </w:tc>
      </w:tr>
      <w:tr w:rsidR="005A5FDE" w:rsidRPr="00727111" w14:paraId="577BE8DE"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71C2F23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17</w:t>
            </w:r>
          </w:p>
        </w:tc>
        <w:tc>
          <w:tcPr>
            <w:tcW w:w="1741" w:type="dxa"/>
            <w:tcBorders>
              <w:top w:val="nil"/>
              <w:left w:val="nil"/>
              <w:bottom w:val="single" w:sz="4" w:space="0" w:color="auto"/>
              <w:right w:val="single" w:sz="4" w:space="0" w:color="auto"/>
            </w:tcBorders>
            <w:shd w:val="clear" w:color="auto" w:fill="auto"/>
            <w:vAlign w:val="center"/>
            <w:hideMark/>
          </w:tcPr>
          <w:p w14:paraId="5ED4016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disa ndryshime në vendimin nr.466 date 03.07.2019 "Për miratimin e dokumentit strategjik dhe te planeve kombetare per zbutjen e gazeve me efekt serrë dhe   përshtatjen ndaj ndryshimeve klimatike"</w:t>
            </w:r>
          </w:p>
        </w:tc>
        <w:tc>
          <w:tcPr>
            <w:tcW w:w="1701" w:type="dxa"/>
            <w:tcBorders>
              <w:top w:val="nil"/>
              <w:left w:val="nil"/>
              <w:bottom w:val="single" w:sz="4" w:space="0" w:color="auto"/>
              <w:right w:val="single" w:sz="4" w:space="0" w:color="auto"/>
            </w:tcBorders>
            <w:shd w:val="clear" w:color="000000" w:fill="FFFFFF"/>
            <w:vAlign w:val="center"/>
            <w:hideMark/>
          </w:tcPr>
          <w:p w14:paraId="06468DF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5BC1AD8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302BCC1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1B42893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Plotesimi i detyrimeve ligjore, ne zbatim te pikes 1, te nenit 5 te Ligjit nr. 155/2020 "Per ndryshimet klimatike"</w:t>
            </w:r>
          </w:p>
        </w:tc>
        <w:tc>
          <w:tcPr>
            <w:tcW w:w="1505" w:type="dxa"/>
            <w:tcBorders>
              <w:top w:val="nil"/>
              <w:left w:val="nil"/>
              <w:bottom w:val="single" w:sz="4" w:space="0" w:color="auto"/>
              <w:right w:val="single" w:sz="4" w:space="0" w:color="auto"/>
            </w:tcBorders>
            <w:shd w:val="clear" w:color="auto" w:fill="auto"/>
            <w:vAlign w:val="center"/>
            <w:hideMark/>
          </w:tcPr>
          <w:p w14:paraId="6296050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Plani i përshtatjes ndaj ndryshimeve klimatike pritet të përmirësoj disa çështje kryesore, si:</w:t>
            </w:r>
            <w:r w:rsidRPr="00727111">
              <w:rPr>
                <w:color w:val="000000"/>
                <w:sz w:val="12"/>
                <w:szCs w:val="12"/>
                <w:lang w:eastAsia="sq-AL"/>
              </w:rPr>
              <w:br/>
              <w:t>1. Vlerësimi i ndjeshmërisë ndaj ndryshimeve klimatike dhe identifikimi i rreziqeve për komunitetet, mjedisin dhe ekonominë.</w:t>
            </w:r>
            <w:r w:rsidRPr="00727111">
              <w:rPr>
                <w:color w:val="000000"/>
                <w:sz w:val="12"/>
                <w:szCs w:val="12"/>
                <w:lang w:eastAsia="sq-AL"/>
              </w:rPr>
              <w:br/>
              <w:t>2. Planifikimi i përmirësimeve në infrastrukturë për të përballuar fenomene të tilla si përmbytjet, thatësira dhe zjarret në pyje, etj.</w:t>
            </w:r>
            <w:r w:rsidRPr="00727111">
              <w:rPr>
                <w:color w:val="000000"/>
                <w:sz w:val="12"/>
                <w:szCs w:val="12"/>
                <w:lang w:eastAsia="sq-AL"/>
              </w:rPr>
              <w:br/>
              <w:t>3. Menaxhimi i qëndrueshëm i burimeve natyrore, përfshirë ujërat, tokat dhe biodiversitetin.</w:t>
            </w:r>
            <w:r w:rsidRPr="00727111">
              <w:rPr>
                <w:color w:val="000000"/>
                <w:sz w:val="12"/>
                <w:szCs w:val="12"/>
                <w:lang w:eastAsia="sq-AL"/>
              </w:rPr>
              <w:br/>
              <w:t>4. Adresimi i ndikimeve të ndryshimeve klimatike në shëndetin e popullsisë, përfshirë sëmundjet e lidhura me klimën.</w:t>
            </w:r>
            <w:r w:rsidRPr="00727111">
              <w:rPr>
                <w:color w:val="000000"/>
                <w:sz w:val="12"/>
                <w:szCs w:val="12"/>
                <w:lang w:eastAsia="sq-AL"/>
              </w:rPr>
              <w:br/>
              <w:t>5. Nxitjen e bashkëpunimit mes komuniteteve dhe institucioneve, si dhe edukimi i publikut për të rritur ndjeshmërinë ndaj këtyre çështjeve.</w:t>
            </w:r>
            <w:r w:rsidRPr="00727111">
              <w:rPr>
                <w:color w:val="000000"/>
                <w:sz w:val="12"/>
                <w:szCs w:val="12"/>
                <w:lang w:eastAsia="sq-AL"/>
              </w:rPr>
              <w:br/>
              <w:t>6. Identifikimi i burimeve financiare për zbatimin e masave të përshtatjes dhe sigurimin e mbështetjes për grupet më të rrezikuara.</w:t>
            </w:r>
            <w:r w:rsidRPr="00727111">
              <w:rPr>
                <w:color w:val="000000"/>
                <w:sz w:val="12"/>
                <w:szCs w:val="12"/>
                <w:lang w:eastAsia="sq-AL"/>
              </w:rPr>
              <w:br/>
              <w:t>7. Krijimi i mekanizmave për të monitoruar zbatimin dhe për të vlerësuar efektivitetin e masave të marra.</w:t>
            </w:r>
          </w:p>
        </w:tc>
        <w:tc>
          <w:tcPr>
            <w:tcW w:w="1086" w:type="dxa"/>
            <w:tcBorders>
              <w:top w:val="nil"/>
              <w:left w:val="nil"/>
              <w:bottom w:val="single" w:sz="4" w:space="0" w:color="auto"/>
              <w:right w:val="single" w:sz="4" w:space="0" w:color="auto"/>
            </w:tcBorders>
            <w:shd w:val="clear" w:color="000000" w:fill="FFFFFF"/>
            <w:vAlign w:val="center"/>
            <w:hideMark/>
          </w:tcPr>
          <w:p w14:paraId="304BAA6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61D5B2A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5E3353B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Strategjia Kombetare per Ndryshimet Klimatike, Kontributi Kombetar I Percaktuar</w:t>
            </w:r>
          </w:p>
        </w:tc>
        <w:tc>
          <w:tcPr>
            <w:tcW w:w="1192" w:type="dxa"/>
            <w:tcBorders>
              <w:top w:val="nil"/>
              <w:left w:val="nil"/>
              <w:bottom w:val="single" w:sz="4" w:space="0" w:color="auto"/>
              <w:right w:val="single" w:sz="4" w:space="0" w:color="auto"/>
            </w:tcBorders>
            <w:shd w:val="clear" w:color="auto" w:fill="auto"/>
            <w:vAlign w:val="center"/>
            <w:hideMark/>
          </w:tcPr>
          <w:p w14:paraId="72202D6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Ndikimet e mundshme:  Ekonomike- Po, Financiare- Po, Sociale- Po dhe mjedisore- Po</w:t>
            </w:r>
          </w:p>
        </w:tc>
      </w:tr>
      <w:tr w:rsidR="005A5FDE" w:rsidRPr="00727111" w14:paraId="482F95DD"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47A17C1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18</w:t>
            </w:r>
          </w:p>
        </w:tc>
        <w:tc>
          <w:tcPr>
            <w:tcW w:w="1741" w:type="dxa"/>
            <w:tcBorders>
              <w:top w:val="nil"/>
              <w:left w:val="nil"/>
              <w:bottom w:val="single" w:sz="4" w:space="0" w:color="auto"/>
              <w:right w:val="single" w:sz="4" w:space="0" w:color="auto"/>
            </w:tcBorders>
            <w:shd w:val="clear" w:color="auto" w:fill="auto"/>
            <w:vAlign w:val="center"/>
            <w:hideMark/>
          </w:tcPr>
          <w:p w14:paraId="192175D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rishikimin e vendimit të Këshillit të Ministrave me Nr. 581, datë 6.10.2021 "Për miratimin e dokumentit të Kontributit Kombëtar të Përcaktuar"" 2025-2035"</w:t>
            </w:r>
          </w:p>
        </w:tc>
        <w:tc>
          <w:tcPr>
            <w:tcW w:w="1701" w:type="dxa"/>
            <w:tcBorders>
              <w:top w:val="nil"/>
              <w:left w:val="nil"/>
              <w:bottom w:val="single" w:sz="4" w:space="0" w:color="auto"/>
              <w:right w:val="single" w:sz="4" w:space="0" w:color="auto"/>
            </w:tcBorders>
            <w:shd w:val="clear" w:color="000000" w:fill="FFFFFF"/>
            <w:vAlign w:val="center"/>
            <w:hideMark/>
          </w:tcPr>
          <w:p w14:paraId="33B26E8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5F471E7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4667900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0E0CE7C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Plotesimi i detyrimeve ligjore, ne zbatim te  pikes 5, te nenit 7 te Ligjit nr. 155/2020 "per ndryshimet klimatike"</w:t>
            </w:r>
          </w:p>
        </w:tc>
        <w:tc>
          <w:tcPr>
            <w:tcW w:w="1505" w:type="dxa"/>
            <w:tcBorders>
              <w:top w:val="nil"/>
              <w:left w:val="nil"/>
              <w:bottom w:val="single" w:sz="4" w:space="0" w:color="auto"/>
              <w:right w:val="single" w:sz="4" w:space="0" w:color="auto"/>
            </w:tcBorders>
            <w:shd w:val="clear" w:color="auto" w:fill="auto"/>
            <w:vAlign w:val="center"/>
            <w:hideMark/>
          </w:tcPr>
          <w:p w14:paraId="2024C6F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Rishikimi i dokumentit i kontributit kombëtar të përcaktuar (NDC) ka per synim perditesimin e këtij dokumenti, duke e harmonizuar me Planin Kombetar Per energjine dhe Klimen i cili rshte aktualisht eshte ne proces te miratimit te rishikimit, si dhe per ate adresuar kerkesat e  Konventës Kuadër të Kombeve të Bashkuara për Ndryshimet</w:t>
            </w:r>
            <w:r w:rsidRPr="00727111">
              <w:rPr>
                <w:color w:val="000000"/>
                <w:sz w:val="12"/>
                <w:szCs w:val="12"/>
                <w:lang w:eastAsia="sq-AL"/>
              </w:rPr>
              <w:br/>
              <w:t>Klimatike (UNFCCC) drejtuar paleve për te rritur ambiciem dhe angazhimin per</w:t>
            </w:r>
            <w:r w:rsidRPr="00727111">
              <w:rPr>
                <w:color w:val="000000"/>
                <w:sz w:val="12"/>
                <w:szCs w:val="12"/>
                <w:lang w:eastAsia="sq-AL"/>
              </w:rPr>
              <w:br/>
              <w:t>arritjen e objektivit global per mbajtjen e temperaturave të ngrohjes globale nën 2°C. Ky projektvendim do te adresoje çështje kyçe që lidhen me emetimet e gazeve serrë, ku përcaktohen objektivat për reduktimin e tyre në sektorë të ndryshëm si energjia, transporti, mbetjet, bujqësia dhe industria. Miratimi ketij projektvendimi ndihmon në zhvillimin e qëndrueshëm, duke siguruar që masat e reduktimit të shkarkimeve të kontribuojnë gjithashtu në zhvillimin ekonomik dhe social. Një aspekt i rëndësishëm është financimi, që përcakton burimet dhe investimet e nevojshme për zbatimin e masave, duke ofruar gjithashtu mbështetje për vendet në zhvillim. Pjesa e përshtatjes  perfshin masat për përshtatjen ndaj ndikimeve të ndryshimeve klimatike, me qëllim mbrojtjen e komuniteteve vulnerabël dhe burimeve natyrore.Rishikimi  i dokumentit eshte ne perputhje me afatet e percaktuara nga Konventa, dhe sipas Ligjit Nr.155/2020.</w:t>
            </w:r>
          </w:p>
        </w:tc>
        <w:tc>
          <w:tcPr>
            <w:tcW w:w="1086" w:type="dxa"/>
            <w:tcBorders>
              <w:top w:val="nil"/>
              <w:left w:val="nil"/>
              <w:bottom w:val="single" w:sz="4" w:space="0" w:color="auto"/>
              <w:right w:val="single" w:sz="4" w:space="0" w:color="auto"/>
            </w:tcBorders>
            <w:shd w:val="clear" w:color="auto" w:fill="auto"/>
            <w:vAlign w:val="center"/>
            <w:hideMark/>
          </w:tcPr>
          <w:p w14:paraId="3DF0B28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auto" w:fill="auto"/>
            <w:vAlign w:val="center"/>
            <w:hideMark/>
          </w:tcPr>
          <w:p w14:paraId="55FD36D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6E2CA0A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Kontributi Kombëtar i Percaktuar</w:t>
            </w:r>
          </w:p>
        </w:tc>
        <w:tc>
          <w:tcPr>
            <w:tcW w:w="1192" w:type="dxa"/>
            <w:tcBorders>
              <w:top w:val="nil"/>
              <w:left w:val="nil"/>
              <w:bottom w:val="single" w:sz="4" w:space="0" w:color="auto"/>
              <w:right w:val="single" w:sz="4" w:space="0" w:color="auto"/>
            </w:tcBorders>
            <w:shd w:val="clear" w:color="auto" w:fill="auto"/>
            <w:vAlign w:val="center"/>
            <w:hideMark/>
          </w:tcPr>
          <w:p w14:paraId="411B1CE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Ndikimet e mundshme:  Ekonomike- Po, Financiare- Po, Sociale- Po dhe mjedisore- Po</w:t>
            </w:r>
          </w:p>
        </w:tc>
      </w:tr>
      <w:tr w:rsidR="005A5FDE" w:rsidRPr="00727111" w14:paraId="24162960"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64952CF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19</w:t>
            </w:r>
          </w:p>
        </w:tc>
        <w:tc>
          <w:tcPr>
            <w:tcW w:w="1741" w:type="dxa"/>
            <w:tcBorders>
              <w:top w:val="nil"/>
              <w:left w:val="nil"/>
              <w:bottom w:val="single" w:sz="4" w:space="0" w:color="auto"/>
              <w:right w:val="single" w:sz="4" w:space="0" w:color="auto"/>
            </w:tcBorders>
            <w:shd w:val="clear" w:color="auto" w:fill="auto"/>
            <w:vAlign w:val="center"/>
            <w:hideMark/>
          </w:tcPr>
          <w:p w14:paraId="49EB700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"Per disa ndryshime në vendimn nr. 665, datë 21.9.2016 "Për eksportin dhe importin e Kimikateve te rrezikshme"</w:t>
            </w:r>
          </w:p>
        </w:tc>
        <w:tc>
          <w:tcPr>
            <w:tcW w:w="1701" w:type="dxa"/>
            <w:tcBorders>
              <w:top w:val="nil"/>
              <w:left w:val="nil"/>
              <w:bottom w:val="single" w:sz="4" w:space="0" w:color="auto"/>
              <w:right w:val="single" w:sz="4" w:space="0" w:color="auto"/>
            </w:tcBorders>
            <w:shd w:val="clear" w:color="000000" w:fill="FFFFFF"/>
            <w:vAlign w:val="center"/>
            <w:hideMark/>
          </w:tcPr>
          <w:p w14:paraId="6835840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6816BEF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4BA8A29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1F72F9D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Plotesimi i detyrimeve ligjore ,ne zbatim të pikës 2, të nenit 24, të ligjit nr. 27/2016, “Për menaxhimin e kimikateve”. Ky projektvendim synon te perafroje versionin me te fundit te Regulation (EU) No 649/2012 of the European Parliament and of the Council of 4 July 2012 concerning the export and import of hazardous chemicals </w:t>
            </w:r>
          </w:p>
        </w:tc>
        <w:tc>
          <w:tcPr>
            <w:tcW w:w="1505" w:type="dxa"/>
            <w:tcBorders>
              <w:top w:val="nil"/>
              <w:left w:val="nil"/>
              <w:bottom w:val="single" w:sz="4" w:space="0" w:color="auto"/>
              <w:right w:val="single" w:sz="4" w:space="0" w:color="auto"/>
            </w:tcBorders>
            <w:shd w:val="clear" w:color="auto" w:fill="auto"/>
            <w:vAlign w:val="center"/>
            <w:hideMark/>
          </w:tcPr>
          <w:p w14:paraId="18E7654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Qëllimi i këtij projektakti është perditesimi ilegjislacionit kombetar me ate te BE-se, duke rishikuar listen e kimikateve te cilat kufizohen per t'u vendosur ne treg.</w:t>
            </w:r>
          </w:p>
        </w:tc>
        <w:tc>
          <w:tcPr>
            <w:tcW w:w="1086" w:type="dxa"/>
            <w:tcBorders>
              <w:top w:val="nil"/>
              <w:left w:val="nil"/>
              <w:bottom w:val="single" w:sz="4" w:space="0" w:color="auto"/>
              <w:right w:val="single" w:sz="4" w:space="0" w:color="auto"/>
            </w:tcBorders>
            <w:shd w:val="clear" w:color="auto" w:fill="auto"/>
            <w:vAlign w:val="center"/>
            <w:hideMark/>
          </w:tcPr>
          <w:p w14:paraId="00261DA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Po, Kapitulli 27 "Mjedisi" </w:t>
            </w:r>
          </w:p>
        </w:tc>
        <w:tc>
          <w:tcPr>
            <w:tcW w:w="1286" w:type="dxa"/>
            <w:tcBorders>
              <w:top w:val="nil"/>
              <w:left w:val="nil"/>
              <w:bottom w:val="single" w:sz="4" w:space="0" w:color="auto"/>
              <w:right w:val="single" w:sz="4" w:space="0" w:color="auto"/>
            </w:tcBorders>
            <w:shd w:val="clear" w:color="auto" w:fill="auto"/>
            <w:vAlign w:val="center"/>
            <w:hideMark/>
          </w:tcPr>
          <w:p w14:paraId="514C71F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7CBD434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Kimikatet nuk kane një dokument strategjik </w:t>
            </w:r>
          </w:p>
        </w:tc>
        <w:tc>
          <w:tcPr>
            <w:tcW w:w="1192" w:type="dxa"/>
            <w:tcBorders>
              <w:top w:val="nil"/>
              <w:left w:val="nil"/>
              <w:bottom w:val="single" w:sz="4" w:space="0" w:color="auto"/>
              <w:right w:val="single" w:sz="4" w:space="0" w:color="auto"/>
            </w:tcBorders>
            <w:shd w:val="clear" w:color="auto" w:fill="auto"/>
            <w:vAlign w:val="center"/>
            <w:hideMark/>
          </w:tcPr>
          <w:p w14:paraId="03CB29F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Ndikimet e mundshme:  Ekonomike- Jo, Financiare- Jo, Sociale- Po dhe mjedisore- Po</w:t>
            </w:r>
          </w:p>
        </w:tc>
      </w:tr>
      <w:tr w:rsidR="005A5FDE" w:rsidRPr="00727111" w14:paraId="3AA3BADA"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013DFB4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20</w:t>
            </w:r>
          </w:p>
        </w:tc>
        <w:tc>
          <w:tcPr>
            <w:tcW w:w="1741" w:type="dxa"/>
            <w:tcBorders>
              <w:top w:val="nil"/>
              <w:left w:val="nil"/>
              <w:bottom w:val="single" w:sz="4" w:space="0" w:color="auto"/>
              <w:right w:val="single" w:sz="4" w:space="0" w:color="auto"/>
            </w:tcBorders>
            <w:shd w:val="clear" w:color="auto" w:fill="auto"/>
            <w:vAlign w:val="center"/>
            <w:hideMark/>
          </w:tcPr>
          <w:p w14:paraId="41DD9D7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disa ndryshime në vendimin nr. 594, datë 10.9.2014 “Për miratimin e strategjisë kombëtare për cilësinë e ajrit të mjedisit” dhe vendimin nr. 412, datë 19.6.2019 "Për miratimin e planit kombëtar për menaxhimin e cilësisë së ajrit”"</w:t>
            </w:r>
          </w:p>
        </w:tc>
        <w:tc>
          <w:tcPr>
            <w:tcW w:w="1701" w:type="dxa"/>
            <w:tcBorders>
              <w:top w:val="nil"/>
              <w:left w:val="nil"/>
              <w:bottom w:val="single" w:sz="4" w:space="0" w:color="auto"/>
              <w:right w:val="single" w:sz="4" w:space="0" w:color="auto"/>
            </w:tcBorders>
            <w:shd w:val="clear" w:color="000000" w:fill="FFFFFF"/>
            <w:vAlign w:val="center"/>
            <w:hideMark/>
          </w:tcPr>
          <w:p w14:paraId="6DEFEEA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28A32F9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1766AE0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592EC5B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Plotesimi i detyrimeve ligjore  të pikës 4, të nenit 21, të ligjit nr. 10431, datë 9.6.2011, “Për mbrojtjen e mjedisit”, të ndryshuar dhe të nenit 7, të ligjit nr. 162/2014, “Për mbrojtjen e cilësisë së ajrit në mjedis”, I ndryshuar si dhe detyrimi i adresimit te rekomandimeve te lena nga KLSH</w:t>
            </w:r>
          </w:p>
        </w:tc>
        <w:tc>
          <w:tcPr>
            <w:tcW w:w="1505" w:type="dxa"/>
            <w:tcBorders>
              <w:top w:val="nil"/>
              <w:left w:val="nil"/>
              <w:bottom w:val="single" w:sz="4" w:space="0" w:color="auto"/>
              <w:right w:val="single" w:sz="4" w:space="0" w:color="auto"/>
            </w:tcBorders>
            <w:shd w:val="clear" w:color="auto" w:fill="auto"/>
            <w:vAlign w:val="center"/>
            <w:hideMark/>
          </w:tcPr>
          <w:p w14:paraId="7262E2E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Projektakti synon të rishikoj Strategjine dhe Planin Kombetar të cilësise së ajrit, si dhe do të percaktojë objektivat për të përmirësuar më tej cilësinë e ajrit në Shqipëri për periudhën afatgjatë duke përcaktuar objektivat per reduktimin e shkarkimeve ne sektoret qe kontribuojne ne shkakrimet ne ajer. </w:t>
            </w:r>
          </w:p>
        </w:tc>
        <w:tc>
          <w:tcPr>
            <w:tcW w:w="1086" w:type="dxa"/>
            <w:tcBorders>
              <w:top w:val="nil"/>
              <w:left w:val="nil"/>
              <w:bottom w:val="single" w:sz="4" w:space="0" w:color="auto"/>
              <w:right w:val="single" w:sz="4" w:space="0" w:color="auto"/>
            </w:tcBorders>
            <w:shd w:val="clear" w:color="auto" w:fill="auto"/>
            <w:vAlign w:val="center"/>
            <w:hideMark/>
          </w:tcPr>
          <w:p w14:paraId="56A79C5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auto" w:fill="auto"/>
            <w:vAlign w:val="center"/>
            <w:hideMark/>
          </w:tcPr>
          <w:p w14:paraId="7724DEE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5C888AC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Strategjia Kombetare per Cilesine e ajrit te mjedisit </w:t>
            </w:r>
          </w:p>
        </w:tc>
        <w:tc>
          <w:tcPr>
            <w:tcW w:w="1192" w:type="dxa"/>
            <w:tcBorders>
              <w:top w:val="nil"/>
              <w:left w:val="nil"/>
              <w:bottom w:val="single" w:sz="4" w:space="0" w:color="auto"/>
              <w:right w:val="single" w:sz="4" w:space="0" w:color="auto"/>
            </w:tcBorders>
            <w:shd w:val="clear" w:color="auto" w:fill="auto"/>
            <w:vAlign w:val="center"/>
            <w:hideMark/>
          </w:tcPr>
          <w:p w14:paraId="7D40D12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Ndikimet e mundshme:  Ekonomike- Po, Financiare- Po, Sociale- Po dhe mjedisore- Po</w:t>
            </w:r>
          </w:p>
        </w:tc>
      </w:tr>
      <w:tr w:rsidR="005A5FDE" w:rsidRPr="00727111" w14:paraId="427DEB29"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36440B5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21</w:t>
            </w:r>
          </w:p>
        </w:tc>
        <w:tc>
          <w:tcPr>
            <w:tcW w:w="1741" w:type="dxa"/>
            <w:tcBorders>
              <w:top w:val="nil"/>
              <w:left w:val="nil"/>
              <w:bottom w:val="single" w:sz="4" w:space="0" w:color="auto"/>
              <w:right w:val="single" w:sz="4" w:space="0" w:color="auto"/>
            </w:tcBorders>
            <w:shd w:val="clear" w:color="auto" w:fill="auto"/>
            <w:vAlign w:val="center"/>
            <w:hideMark/>
          </w:tcPr>
          <w:p w14:paraId="6B741A1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vendosjen e normave, standardeve, çmimeve bazë dhe praktikat më të mira të unifikuara në fushën e pyjeve.</w:t>
            </w:r>
          </w:p>
        </w:tc>
        <w:tc>
          <w:tcPr>
            <w:tcW w:w="1701" w:type="dxa"/>
            <w:tcBorders>
              <w:top w:val="nil"/>
              <w:left w:val="nil"/>
              <w:bottom w:val="single" w:sz="4" w:space="0" w:color="auto"/>
              <w:right w:val="single" w:sz="4" w:space="0" w:color="auto"/>
            </w:tcBorders>
            <w:shd w:val="clear" w:color="000000" w:fill="FFFFFF"/>
            <w:vAlign w:val="center"/>
            <w:hideMark/>
          </w:tcPr>
          <w:p w14:paraId="601AC0F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7D6AD73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06CF5E5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5C6388D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Percaktimi i normave te punës për aktivitetet që kryhen mbi fondin pyjor si dhe përditësimi në funksion të çmimeve aktuale të tregut</w:t>
            </w:r>
          </w:p>
        </w:tc>
        <w:tc>
          <w:tcPr>
            <w:tcW w:w="1505" w:type="dxa"/>
            <w:tcBorders>
              <w:top w:val="nil"/>
              <w:left w:val="nil"/>
              <w:bottom w:val="single" w:sz="4" w:space="0" w:color="auto"/>
              <w:right w:val="single" w:sz="4" w:space="0" w:color="auto"/>
            </w:tcBorders>
            <w:shd w:val="clear" w:color="000000" w:fill="FFFFFF"/>
            <w:vAlign w:val="center"/>
            <w:hideMark/>
          </w:tcPr>
          <w:p w14:paraId="7184D03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Miratimin e normave dhe standardeve per sherbimin ndaj fondi pyjor kombetar (te gjitha veprimtarite qe zhvillohen ne te).</w:t>
            </w:r>
          </w:p>
        </w:tc>
        <w:tc>
          <w:tcPr>
            <w:tcW w:w="1086" w:type="dxa"/>
            <w:tcBorders>
              <w:top w:val="nil"/>
              <w:left w:val="nil"/>
              <w:bottom w:val="single" w:sz="4" w:space="0" w:color="auto"/>
              <w:right w:val="single" w:sz="4" w:space="0" w:color="auto"/>
            </w:tcBorders>
            <w:shd w:val="clear" w:color="auto" w:fill="auto"/>
            <w:vAlign w:val="center"/>
            <w:hideMark/>
          </w:tcPr>
          <w:p w14:paraId="0F354F8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auto" w:fill="auto"/>
            <w:vAlign w:val="center"/>
            <w:hideMark/>
          </w:tcPr>
          <w:p w14:paraId="0B38139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0154F1F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 lidhet me Programin Kombëtar të Pyjeve 2019-2031</w:t>
            </w:r>
          </w:p>
        </w:tc>
        <w:tc>
          <w:tcPr>
            <w:tcW w:w="1192" w:type="dxa"/>
            <w:tcBorders>
              <w:top w:val="nil"/>
              <w:left w:val="nil"/>
              <w:bottom w:val="single" w:sz="4" w:space="0" w:color="auto"/>
              <w:right w:val="single" w:sz="4" w:space="0" w:color="auto"/>
            </w:tcBorders>
            <w:shd w:val="clear" w:color="auto" w:fill="auto"/>
            <w:vAlign w:val="center"/>
            <w:hideMark/>
          </w:tcPr>
          <w:p w14:paraId="32D2226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4542B4A7"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73B355E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22</w:t>
            </w:r>
          </w:p>
        </w:tc>
        <w:tc>
          <w:tcPr>
            <w:tcW w:w="1741" w:type="dxa"/>
            <w:tcBorders>
              <w:top w:val="nil"/>
              <w:left w:val="nil"/>
              <w:bottom w:val="single" w:sz="4" w:space="0" w:color="auto"/>
              <w:right w:val="single" w:sz="4" w:space="0" w:color="auto"/>
            </w:tcBorders>
            <w:shd w:val="clear" w:color="auto" w:fill="auto"/>
            <w:vAlign w:val="center"/>
            <w:hideMark/>
          </w:tcPr>
          <w:p w14:paraId="41F3648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disa shtesa dhe ndryshime në VKM Nr. 633, datë 15.7.2015 “Për miratimin e procedurave dhe të kërkesave për dhënien e skemave të ekomenaxhimit dhe auditimit”</w:t>
            </w:r>
          </w:p>
        </w:tc>
        <w:tc>
          <w:tcPr>
            <w:tcW w:w="1701" w:type="dxa"/>
            <w:tcBorders>
              <w:top w:val="nil"/>
              <w:left w:val="nil"/>
              <w:bottom w:val="single" w:sz="4" w:space="0" w:color="auto"/>
              <w:right w:val="single" w:sz="4" w:space="0" w:color="auto"/>
            </w:tcBorders>
            <w:shd w:val="clear" w:color="000000" w:fill="FFFFFF"/>
            <w:vAlign w:val="center"/>
            <w:hideMark/>
          </w:tcPr>
          <w:p w14:paraId="316427D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6A59680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02F8B73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auto" w:fill="auto"/>
            <w:vAlign w:val="center"/>
            <w:hideMark/>
          </w:tcPr>
          <w:p w14:paraId="1A99E80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Rritjen e nivelit te transpozimit te rregullores sё Kёshillit dheParlamentit Evropian nr.1221/2009, datë 25 nëntor 2009, “Mbi pjesëmarrjen vullnetare nga organizatat në një skemë ekomenaxhimi dhe auditimi të komunitetit, EMAS”.</w:t>
            </w:r>
          </w:p>
        </w:tc>
        <w:tc>
          <w:tcPr>
            <w:tcW w:w="1505" w:type="dxa"/>
            <w:tcBorders>
              <w:top w:val="nil"/>
              <w:left w:val="nil"/>
              <w:bottom w:val="single" w:sz="4" w:space="0" w:color="auto"/>
              <w:right w:val="single" w:sz="4" w:space="0" w:color="auto"/>
            </w:tcBorders>
            <w:shd w:val="clear" w:color="000000" w:fill="FFFFFF"/>
            <w:vAlign w:val="center"/>
            <w:hideMark/>
          </w:tcPr>
          <w:p w14:paraId="1D66A0E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Transpozimin e neneve te rregullores qe nuk jane transpozuar ende; Saktesimin e institucioneve pergjegjese te perfshira.</w:t>
            </w:r>
          </w:p>
        </w:tc>
        <w:tc>
          <w:tcPr>
            <w:tcW w:w="1086" w:type="dxa"/>
            <w:tcBorders>
              <w:top w:val="nil"/>
              <w:left w:val="nil"/>
              <w:bottom w:val="single" w:sz="4" w:space="0" w:color="auto"/>
              <w:right w:val="single" w:sz="4" w:space="0" w:color="auto"/>
            </w:tcBorders>
            <w:shd w:val="clear" w:color="auto" w:fill="auto"/>
            <w:vAlign w:val="center"/>
            <w:hideMark/>
          </w:tcPr>
          <w:p w14:paraId="0538427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auto" w:fill="auto"/>
            <w:vAlign w:val="center"/>
            <w:hideMark/>
          </w:tcPr>
          <w:p w14:paraId="5A59D88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43D5312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64CA704A"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 te mundshme mjedisore - Po, nepermjet permiresimit te performances se organizatave.</w:t>
            </w:r>
          </w:p>
        </w:tc>
      </w:tr>
      <w:tr w:rsidR="005A5FDE" w:rsidRPr="00727111" w14:paraId="2E3535E7"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2B19487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23</w:t>
            </w:r>
          </w:p>
        </w:tc>
        <w:tc>
          <w:tcPr>
            <w:tcW w:w="1741" w:type="dxa"/>
            <w:tcBorders>
              <w:top w:val="nil"/>
              <w:left w:val="nil"/>
              <w:bottom w:val="single" w:sz="4" w:space="0" w:color="auto"/>
              <w:right w:val="single" w:sz="4" w:space="0" w:color="auto"/>
            </w:tcBorders>
            <w:shd w:val="clear" w:color="auto" w:fill="auto"/>
            <w:vAlign w:val="center"/>
            <w:hideMark/>
          </w:tcPr>
          <w:p w14:paraId="03FE5A0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përcaktimin e rregullave, procedurave dhe kritereve për pajisjen me certifikatën e ekspertit për vlerësimin e ndikimit në mjedis, ekspertizën mjedisore dhe auditimin mjedisor.</w:t>
            </w:r>
          </w:p>
        </w:tc>
        <w:tc>
          <w:tcPr>
            <w:tcW w:w="1701" w:type="dxa"/>
            <w:tcBorders>
              <w:top w:val="nil"/>
              <w:left w:val="nil"/>
              <w:bottom w:val="single" w:sz="4" w:space="0" w:color="auto"/>
              <w:right w:val="single" w:sz="4" w:space="0" w:color="auto"/>
            </w:tcBorders>
            <w:shd w:val="clear" w:color="000000" w:fill="FFFFFF"/>
            <w:vAlign w:val="center"/>
            <w:hideMark/>
          </w:tcPr>
          <w:p w14:paraId="4FD13D2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2923BCE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5B122163"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6197B36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Plotesim i detyrimeve ligjore, ne zbatim te percaktimeve ne nenin 24 te ligjit nr. 10440 date 07.07.2011, "Per vleresimin e ndikimit ne mjedis", i ndryshuar.</w:t>
            </w:r>
          </w:p>
        </w:tc>
        <w:tc>
          <w:tcPr>
            <w:tcW w:w="1505" w:type="dxa"/>
            <w:tcBorders>
              <w:top w:val="nil"/>
              <w:left w:val="nil"/>
              <w:bottom w:val="single" w:sz="4" w:space="0" w:color="auto"/>
              <w:right w:val="single" w:sz="4" w:space="0" w:color="auto"/>
            </w:tcBorders>
            <w:shd w:val="clear" w:color="auto" w:fill="auto"/>
            <w:vAlign w:val="center"/>
            <w:hideMark/>
          </w:tcPr>
          <w:p w14:paraId="13CA212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Do te percaktoje rregullat, procedurat dhe kriteret per kandidatet e interesuar per tu pajisur me certifikaten e ekspertit per vleresimin e ndikimit ne mjedis. </w:t>
            </w:r>
          </w:p>
        </w:tc>
        <w:tc>
          <w:tcPr>
            <w:tcW w:w="1086" w:type="dxa"/>
            <w:tcBorders>
              <w:top w:val="nil"/>
              <w:left w:val="nil"/>
              <w:bottom w:val="single" w:sz="4" w:space="0" w:color="auto"/>
              <w:right w:val="single" w:sz="4" w:space="0" w:color="auto"/>
            </w:tcBorders>
            <w:shd w:val="clear" w:color="auto" w:fill="auto"/>
            <w:vAlign w:val="center"/>
            <w:hideMark/>
          </w:tcPr>
          <w:p w14:paraId="4C65B6F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auto" w:fill="auto"/>
            <w:vAlign w:val="center"/>
            <w:hideMark/>
          </w:tcPr>
          <w:p w14:paraId="752A1D7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6BB94D5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3ED9378F"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 te mundshme ekonomike, financiare -Po (Tarifa e pageses). Ndikime te mundshme mjedisore - Po (Permiresimi i raporteve mjedisore).</w:t>
            </w:r>
          </w:p>
        </w:tc>
      </w:tr>
      <w:tr w:rsidR="005A5FDE" w:rsidRPr="00727111" w14:paraId="7B457E0E"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4A61A74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24</w:t>
            </w:r>
          </w:p>
        </w:tc>
        <w:tc>
          <w:tcPr>
            <w:tcW w:w="1741" w:type="dxa"/>
            <w:tcBorders>
              <w:top w:val="nil"/>
              <w:left w:val="nil"/>
              <w:bottom w:val="single" w:sz="4" w:space="0" w:color="auto"/>
              <w:right w:val="single" w:sz="4" w:space="0" w:color="auto"/>
            </w:tcBorders>
            <w:shd w:val="clear" w:color="auto" w:fill="auto"/>
            <w:vAlign w:val="center"/>
            <w:hideMark/>
          </w:tcPr>
          <w:p w14:paraId="1F5BFA4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Per kriteret dhe rregullat e dhënies në përdorim të fondit pyjor kombëtar për nevojat e komuniteteve rurale </w:t>
            </w:r>
          </w:p>
        </w:tc>
        <w:tc>
          <w:tcPr>
            <w:tcW w:w="1701" w:type="dxa"/>
            <w:tcBorders>
              <w:top w:val="nil"/>
              <w:left w:val="nil"/>
              <w:bottom w:val="single" w:sz="4" w:space="0" w:color="auto"/>
              <w:right w:val="single" w:sz="4" w:space="0" w:color="auto"/>
            </w:tcBorders>
            <w:shd w:val="clear" w:color="000000" w:fill="FFFFFF"/>
            <w:vAlign w:val="center"/>
            <w:hideMark/>
          </w:tcPr>
          <w:p w14:paraId="269D76A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01DE682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4C4E2E1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6E4B936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Përcakton rregullat për përdorimin e Fondit Pyjor Kombëtar për nevojat e banorëve që banojnë në afërsi të zonave pyjore.  </w:t>
            </w:r>
          </w:p>
        </w:tc>
        <w:tc>
          <w:tcPr>
            <w:tcW w:w="1505" w:type="dxa"/>
            <w:tcBorders>
              <w:top w:val="nil"/>
              <w:left w:val="nil"/>
              <w:bottom w:val="single" w:sz="4" w:space="0" w:color="auto"/>
              <w:right w:val="single" w:sz="4" w:space="0" w:color="auto"/>
            </w:tcBorders>
            <w:shd w:val="clear" w:color="auto" w:fill="auto"/>
            <w:vAlign w:val="center"/>
            <w:hideMark/>
          </w:tcPr>
          <w:p w14:paraId="6462E63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Të përcaktojë rregulla për përdorimin e Fondit Pyjor Kombëtar nga komunitetet në afërsi të pyjeve. </w:t>
            </w:r>
          </w:p>
        </w:tc>
        <w:tc>
          <w:tcPr>
            <w:tcW w:w="1086" w:type="dxa"/>
            <w:tcBorders>
              <w:top w:val="nil"/>
              <w:left w:val="nil"/>
              <w:bottom w:val="single" w:sz="4" w:space="0" w:color="auto"/>
              <w:right w:val="single" w:sz="4" w:space="0" w:color="auto"/>
            </w:tcBorders>
            <w:shd w:val="clear" w:color="auto" w:fill="auto"/>
            <w:vAlign w:val="center"/>
            <w:hideMark/>
          </w:tcPr>
          <w:p w14:paraId="4126489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auto" w:fill="auto"/>
            <w:vAlign w:val="center"/>
            <w:hideMark/>
          </w:tcPr>
          <w:p w14:paraId="74BC5BD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791C38C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 lidhet me Programin Kombëtar të Pyjeve 2019-2030</w:t>
            </w:r>
          </w:p>
        </w:tc>
        <w:tc>
          <w:tcPr>
            <w:tcW w:w="1192" w:type="dxa"/>
            <w:tcBorders>
              <w:top w:val="nil"/>
              <w:left w:val="nil"/>
              <w:bottom w:val="single" w:sz="4" w:space="0" w:color="auto"/>
              <w:right w:val="single" w:sz="4" w:space="0" w:color="auto"/>
            </w:tcBorders>
            <w:shd w:val="clear" w:color="auto" w:fill="auto"/>
            <w:vAlign w:val="center"/>
            <w:hideMark/>
          </w:tcPr>
          <w:p w14:paraId="4ABACC89"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Po</w:t>
            </w:r>
          </w:p>
        </w:tc>
      </w:tr>
      <w:tr w:rsidR="005A5FDE" w:rsidRPr="00727111" w14:paraId="09FD1D43"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3401DA9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25</w:t>
            </w:r>
          </w:p>
        </w:tc>
        <w:tc>
          <w:tcPr>
            <w:tcW w:w="1741" w:type="dxa"/>
            <w:tcBorders>
              <w:top w:val="nil"/>
              <w:left w:val="nil"/>
              <w:bottom w:val="single" w:sz="4" w:space="0" w:color="auto"/>
              <w:right w:val="single" w:sz="4" w:space="0" w:color="auto"/>
            </w:tcBorders>
            <w:shd w:val="clear" w:color="auto" w:fill="auto"/>
            <w:vAlign w:val="center"/>
            <w:hideMark/>
          </w:tcPr>
          <w:p w14:paraId="462AD3B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miratimin e masave për programet për parandalimin e krijimit të mbetjeve"</w:t>
            </w:r>
          </w:p>
        </w:tc>
        <w:tc>
          <w:tcPr>
            <w:tcW w:w="1701" w:type="dxa"/>
            <w:tcBorders>
              <w:top w:val="nil"/>
              <w:left w:val="nil"/>
              <w:bottom w:val="single" w:sz="4" w:space="0" w:color="auto"/>
              <w:right w:val="single" w:sz="4" w:space="0" w:color="auto"/>
            </w:tcBorders>
            <w:shd w:val="clear" w:color="000000" w:fill="FFFFFF"/>
            <w:vAlign w:val="center"/>
            <w:hideMark/>
          </w:tcPr>
          <w:p w14:paraId="740870D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02DEAB46"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335D5FF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20366D48"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Plotesim i detyrimeve ligjore, ne zbatim te nenit 14 "Rikuperimi i mbetjeve", të Ligjit 10463/2011 "Për menaxhimin e integruar të mbetjeve".</w:t>
            </w:r>
          </w:p>
        </w:tc>
        <w:tc>
          <w:tcPr>
            <w:tcW w:w="1505" w:type="dxa"/>
            <w:tcBorders>
              <w:top w:val="nil"/>
              <w:left w:val="nil"/>
              <w:bottom w:val="single" w:sz="4" w:space="0" w:color="auto"/>
              <w:right w:val="single" w:sz="4" w:space="0" w:color="auto"/>
            </w:tcBorders>
            <w:shd w:val="clear" w:color="auto" w:fill="auto"/>
            <w:vAlign w:val="center"/>
            <w:hideMark/>
          </w:tcPr>
          <w:p w14:paraId="630B2DA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Parashikohet parandalimi i krijimit të mbetjeve duke përfshirë objektivat sasiorë dhe cilësore. </w:t>
            </w:r>
            <w:r w:rsidRPr="00727111">
              <w:rPr>
                <w:color w:val="000000"/>
                <w:sz w:val="12"/>
                <w:szCs w:val="12"/>
                <w:lang w:eastAsia="sq-AL"/>
              </w:rPr>
              <w:br/>
              <w:t>Programet për parandalimin e krijimit të mbetjeve do të  në përputhje  me Planin Kombëtar të Menaxhimit të Integruar të Mbetjeve si dhe me planet rajonale dhe vendore të menaxhimit të integruar të mbetjeve.</w:t>
            </w:r>
          </w:p>
        </w:tc>
        <w:tc>
          <w:tcPr>
            <w:tcW w:w="1086" w:type="dxa"/>
            <w:tcBorders>
              <w:top w:val="nil"/>
              <w:left w:val="nil"/>
              <w:bottom w:val="single" w:sz="4" w:space="0" w:color="auto"/>
              <w:right w:val="single" w:sz="4" w:space="0" w:color="auto"/>
            </w:tcBorders>
            <w:shd w:val="clear" w:color="auto" w:fill="auto"/>
            <w:vAlign w:val="center"/>
            <w:hideMark/>
          </w:tcPr>
          <w:p w14:paraId="3EE28ED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auto" w:fill="auto"/>
            <w:vAlign w:val="center"/>
            <w:hideMark/>
          </w:tcPr>
          <w:p w14:paraId="148DE88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auto" w:fill="auto"/>
            <w:vAlign w:val="center"/>
            <w:hideMark/>
          </w:tcPr>
          <w:p w14:paraId="231D6B0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Projektvendimi është në një linjë me Strategjinë  Kombëtar për menaxhimin e mbetjeve. </w:t>
            </w:r>
          </w:p>
        </w:tc>
        <w:tc>
          <w:tcPr>
            <w:tcW w:w="1192" w:type="dxa"/>
            <w:tcBorders>
              <w:top w:val="nil"/>
              <w:left w:val="nil"/>
              <w:bottom w:val="single" w:sz="4" w:space="0" w:color="auto"/>
              <w:right w:val="single" w:sz="4" w:space="0" w:color="auto"/>
            </w:tcBorders>
            <w:shd w:val="clear" w:color="auto" w:fill="auto"/>
            <w:vAlign w:val="center"/>
            <w:hideMark/>
          </w:tcPr>
          <w:p w14:paraId="3A9F3D3D"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Projektvendimi do të ketë ndikim ekonomik dhe mjedisor.</w:t>
            </w:r>
          </w:p>
        </w:tc>
      </w:tr>
      <w:tr w:rsidR="005A5FDE" w:rsidRPr="00727111" w14:paraId="276B07CC"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4E584D7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26</w:t>
            </w:r>
          </w:p>
        </w:tc>
        <w:tc>
          <w:tcPr>
            <w:tcW w:w="1741" w:type="dxa"/>
            <w:tcBorders>
              <w:top w:val="nil"/>
              <w:left w:val="nil"/>
              <w:bottom w:val="single" w:sz="4" w:space="0" w:color="auto"/>
              <w:right w:val="single" w:sz="4" w:space="0" w:color="auto"/>
            </w:tcBorders>
            <w:shd w:val="clear" w:color="000000" w:fill="FFFFFF"/>
            <w:vAlign w:val="center"/>
            <w:hideMark/>
          </w:tcPr>
          <w:p w14:paraId="2CA1661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 "Për miratimin e Planit Kombëtar për Menaxhimin e Sigurt të Kimikateve"</w:t>
            </w:r>
          </w:p>
        </w:tc>
        <w:tc>
          <w:tcPr>
            <w:tcW w:w="1701" w:type="dxa"/>
            <w:tcBorders>
              <w:top w:val="nil"/>
              <w:left w:val="nil"/>
              <w:bottom w:val="single" w:sz="4" w:space="0" w:color="auto"/>
              <w:right w:val="single" w:sz="4" w:space="0" w:color="auto"/>
            </w:tcBorders>
            <w:shd w:val="clear" w:color="000000" w:fill="FFFFFF"/>
            <w:vAlign w:val="center"/>
            <w:hideMark/>
          </w:tcPr>
          <w:p w14:paraId="46D6443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2504C7B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436F162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17B2432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Plotesimi i detyrimeve ligjore, në zbatim të pikës 1, të nenit 26, të ligjit nr. 27/2016, “Për menaxhimin e kimikateve”</w:t>
            </w:r>
          </w:p>
        </w:tc>
        <w:tc>
          <w:tcPr>
            <w:tcW w:w="1505" w:type="dxa"/>
            <w:tcBorders>
              <w:top w:val="nil"/>
              <w:left w:val="nil"/>
              <w:bottom w:val="single" w:sz="4" w:space="0" w:color="auto"/>
              <w:right w:val="single" w:sz="4" w:space="0" w:color="auto"/>
            </w:tcBorders>
            <w:shd w:val="clear" w:color="000000" w:fill="FFFFFF"/>
            <w:vAlign w:val="center"/>
            <w:hideMark/>
          </w:tcPr>
          <w:p w14:paraId="2CC7906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Miratimi i Planit Kombetar te Kimikateve synon harmonizimin e masave qe duhen ndermarre nga të gjithë institucionet politikberese dhe ligjzbatuese ne 5 vitet e ardheshme, për te siguruar menaxhimin e sigurtë të kimikateve në një qasje ndërinstitucionale dhe ndërsektoriale, duke kontribuar keshtu ne mbrojtjen e mjedisit dhe shendetit te njeriut nga kimikatet. </w:t>
            </w:r>
          </w:p>
        </w:tc>
        <w:tc>
          <w:tcPr>
            <w:tcW w:w="1086" w:type="dxa"/>
            <w:tcBorders>
              <w:top w:val="nil"/>
              <w:left w:val="nil"/>
              <w:bottom w:val="single" w:sz="4" w:space="0" w:color="auto"/>
              <w:right w:val="single" w:sz="4" w:space="0" w:color="auto"/>
            </w:tcBorders>
            <w:shd w:val="clear" w:color="000000" w:fill="FFFFFF"/>
            <w:vAlign w:val="center"/>
            <w:hideMark/>
          </w:tcPr>
          <w:p w14:paraId="7EFB99B4"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154489E0"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016A170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 xml:space="preserve">Kimikatet nuk kane një dokument strategjik </w:t>
            </w:r>
          </w:p>
        </w:tc>
        <w:tc>
          <w:tcPr>
            <w:tcW w:w="1192" w:type="dxa"/>
            <w:tcBorders>
              <w:top w:val="nil"/>
              <w:left w:val="nil"/>
              <w:bottom w:val="single" w:sz="4" w:space="0" w:color="auto"/>
              <w:right w:val="single" w:sz="4" w:space="0" w:color="auto"/>
            </w:tcBorders>
            <w:shd w:val="clear" w:color="000000" w:fill="FFFFFF"/>
            <w:vAlign w:val="center"/>
            <w:hideMark/>
          </w:tcPr>
          <w:p w14:paraId="5E02AB1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Ndikimet e mundshme:  Ekonomike- Po, Financiare- Po, Sociale- Po dhe mjedisore- Po</w:t>
            </w:r>
          </w:p>
        </w:tc>
      </w:tr>
      <w:tr w:rsidR="005A5FDE" w:rsidRPr="00727111" w14:paraId="684A7D26" w14:textId="77777777" w:rsidTr="005A5FDE">
        <w:trPr>
          <w:trHeight w:val="18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14:paraId="5016EC0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27</w:t>
            </w:r>
          </w:p>
        </w:tc>
        <w:tc>
          <w:tcPr>
            <w:tcW w:w="1741" w:type="dxa"/>
            <w:tcBorders>
              <w:top w:val="nil"/>
              <w:left w:val="nil"/>
              <w:bottom w:val="single" w:sz="4" w:space="0" w:color="auto"/>
              <w:right w:val="single" w:sz="4" w:space="0" w:color="auto"/>
            </w:tcBorders>
            <w:shd w:val="clear" w:color="000000" w:fill="FFFFFF"/>
            <w:vAlign w:val="center"/>
            <w:hideMark/>
          </w:tcPr>
          <w:p w14:paraId="1A68ECD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Për disa ndryshime në vendimin nr. 730, datë 20.10.2016 "Per miratimin e rregullores për kushtet, kriteret, tarifat, aftatet dhe procedurën për klasifikimin e strukturave akomoduese"</w:t>
            </w:r>
          </w:p>
        </w:tc>
        <w:tc>
          <w:tcPr>
            <w:tcW w:w="1701" w:type="dxa"/>
            <w:tcBorders>
              <w:top w:val="nil"/>
              <w:left w:val="nil"/>
              <w:bottom w:val="single" w:sz="4" w:space="0" w:color="auto"/>
              <w:right w:val="single" w:sz="4" w:space="0" w:color="auto"/>
            </w:tcBorders>
            <w:shd w:val="clear" w:color="000000" w:fill="FFFFFF"/>
            <w:vAlign w:val="center"/>
            <w:hideMark/>
          </w:tcPr>
          <w:p w14:paraId="465274A1" w14:textId="77777777" w:rsidR="005A5FDE" w:rsidRPr="00727111" w:rsidRDefault="005A5FDE" w:rsidP="005A5FDE">
            <w:pPr>
              <w:jc w:val="center"/>
              <w:rPr>
                <w:color w:val="000000"/>
                <w:sz w:val="12"/>
                <w:szCs w:val="12"/>
                <w:lang w:eastAsia="sq-AL"/>
              </w:rPr>
            </w:pPr>
            <w:r w:rsidRPr="00727111">
              <w:rPr>
                <w:color w:val="000000"/>
                <w:sz w:val="12"/>
                <w:szCs w:val="12"/>
                <w:lang w:eastAsia="sq-AL"/>
              </w:rPr>
              <w:t>Projektvendim</w:t>
            </w:r>
          </w:p>
        </w:tc>
        <w:tc>
          <w:tcPr>
            <w:tcW w:w="1842" w:type="dxa"/>
            <w:tcBorders>
              <w:top w:val="nil"/>
              <w:left w:val="nil"/>
              <w:bottom w:val="single" w:sz="4" w:space="0" w:color="auto"/>
              <w:right w:val="single" w:sz="4" w:space="0" w:color="auto"/>
            </w:tcBorders>
            <w:shd w:val="clear" w:color="auto" w:fill="auto"/>
            <w:vAlign w:val="center"/>
            <w:hideMark/>
          </w:tcPr>
          <w:p w14:paraId="645128BE" w14:textId="77777777" w:rsidR="005A5FDE" w:rsidRPr="00727111" w:rsidRDefault="005A5FDE" w:rsidP="005A5FDE">
            <w:pPr>
              <w:jc w:val="center"/>
              <w:rPr>
                <w:color w:val="000000"/>
                <w:sz w:val="12"/>
                <w:szCs w:val="12"/>
                <w:lang w:eastAsia="sq-AL"/>
              </w:rPr>
            </w:pPr>
            <w:r w:rsidRPr="00727111">
              <w:rPr>
                <w:color w:val="000000"/>
                <w:sz w:val="12"/>
                <w:szCs w:val="12"/>
                <w:lang w:eastAsia="sq-AL"/>
              </w:rPr>
              <w:t>Ministri i Turizmit dhe Mjedisit</w:t>
            </w:r>
          </w:p>
        </w:tc>
        <w:tc>
          <w:tcPr>
            <w:tcW w:w="1134" w:type="dxa"/>
            <w:tcBorders>
              <w:top w:val="nil"/>
              <w:left w:val="nil"/>
              <w:bottom w:val="single" w:sz="4" w:space="0" w:color="auto"/>
              <w:right w:val="single" w:sz="4" w:space="0" w:color="auto"/>
            </w:tcBorders>
            <w:shd w:val="clear" w:color="000000" w:fill="FFFFFF"/>
            <w:vAlign w:val="center"/>
            <w:hideMark/>
          </w:tcPr>
          <w:p w14:paraId="1894DC37" w14:textId="77777777" w:rsidR="005A5FDE" w:rsidRPr="00727111" w:rsidRDefault="005A5FDE" w:rsidP="005A5FDE">
            <w:pPr>
              <w:jc w:val="center"/>
              <w:rPr>
                <w:color w:val="000000"/>
                <w:sz w:val="12"/>
                <w:szCs w:val="12"/>
                <w:lang w:eastAsia="sq-AL"/>
              </w:rPr>
            </w:pPr>
            <w:r w:rsidRPr="00727111">
              <w:rPr>
                <w:color w:val="000000"/>
                <w:sz w:val="12"/>
                <w:szCs w:val="12"/>
                <w:lang w:eastAsia="sq-AL"/>
              </w:rPr>
              <w:t>Katër mujori i tretë</w:t>
            </w:r>
          </w:p>
        </w:tc>
        <w:tc>
          <w:tcPr>
            <w:tcW w:w="2182" w:type="dxa"/>
            <w:tcBorders>
              <w:top w:val="nil"/>
              <w:left w:val="nil"/>
              <w:bottom w:val="single" w:sz="4" w:space="0" w:color="auto"/>
              <w:right w:val="single" w:sz="4" w:space="0" w:color="auto"/>
            </w:tcBorders>
            <w:shd w:val="clear" w:color="000000" w:fill="FFFFFF"/>
            <w:vAlign w:val="center"/>
            <w:hideMark/>
          </w:tcPr>
          <w:p w14:paraId="21D0DFA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Harmonizimi i VKM me ndryshimet ligjore te miratuara gjate vitit 2024 lidhur me procesin e klasifikimit të strukturave akomoduese , për shkak të shtimit të strukturave akomoduese.</w:t>
            </w:r>
          </w:p>
        </w:tc>
        <w:tc>
          <w:tcPr>
            <w:tcW w:w="1505" w:type="dxa"/>
            <w:tcBorders>
              <w:top w:val="nil"/>
              <w:left w:val="nil"/>
              <w:bottom w:val="single" w:sz="4" w:space="0" w:color="auto"/>
              <w:right w:val="single" w:sz="4" w:space="0" w:color="auto"/>
            </w:tcBorders>
            <w:shd w:val="clear" w:color="000000" w:fill="FFFFFF"/>
            <w:vAlign w:val="center"/>
            <w:hideMark/>
          </w:tcPr>
          <w:p w14:paraId="651FFF6C" w14:textId="77777777" w:rsidR="005A5FDE" w:rsidRPr="00727111" w:rsidRDefault="005A5FDE" w:rsidP="005A5FDE">
            <w:pPr>
              <w:jc w:val="center"/>
              <w:rPr>
                <w:color w:val="000000"/>
                <w:sz w:val="12"/>
                <w:szCs w:val="12"/>
                <w:lang w:eastAsia="sq-AL"/>
              </w:rPr>
            </w:pPr>
            <w:r w:rsidRPr="00727111">
              <w:rPr>
                <w:color w:val="000000"/>
                <w:sz w:val="12"/>
                <w:szCs w:val="12"/>
                <w:lang w:eastAsia="sq-AL"/>
              </w:rPr>
              <w:t>Reduktimi i informalitetit, rritja e standardeve ne ofrimin e sherbimeve të akomodimit, mbrojtje me e mire per konsumatoret, organizim me te mire ne kuader te grumbullimit te te dhenave statistikore ne turizem.</w:t>
            </w:r>
          </w:p>
        </w:tc>
        <w:tc>
          <w:tcPr>
            <w:tcW w:w="1086" w:type="dxa"/>
            <w:tcBorders>
              <w:top w:val="nil"/>
              <w:left w:val="nil"/>
              <w:bottom w:val="single" w:sz="4" w:space="0" w:color="auto"/>
              <w:right w:val="single" w:sz="4" w:space="0" w:color="auto"/>
            </w:tcBorders>
            <w:shd w:val="clear" w:color="000000" w:fill="FFFFFF"/>
            <w:vAlign w:val="center"/>
            <w:hideMark/>
          </w:tcPr>
          <w:p w14:paraId="1796CD92"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286" w:type="dxa"/>
            <w:tcBorders>
              <w:top w:val="nil"/>
              <w:left w:val="nil"/>
              <w:bottom w:val="single" w:sz="4" w:space="0" w:color="auto"/>
              <w:right w:val="single" w:sz="4" w:space="0" w:color="auto"/>
            </w:tcBorders>
            <w:shd w:val="clear" w:color="000000" w:fill="FFFFFF"/>
            <w:vAlign w:val="center"/>
            <w:hideMark/>
          </w:tcPr>
          <w:p w14:paraId="0F590CC5" w14:textId="77777777" w:rsidR="005A5FDE" w:rsidRPr="00727111" w:rsidRDefault="005A5FDE" w:rsidP="005A5FDE">
            <w:pPr>
              <w:jc w:val="center"/>
              <w:rPr>
                <w:color w:val="000000"/>
                <w:sz w:val="12"/>
                <w:szCs w:val="12"/>
                <w:lang w:eastAsia="sq-AL"/>
              </w:rPr>
            </w:pPr>
            <w:r w:rsidRPr="00727111">
              <w:rPr>
                <w:color w:val="000000"/>
                <w:sz w:val="12"/>
                <w:szCs w:val="12"/>
                <w:lang w:eastAsia="sq-AL"/>
              </w:rPr>
              <w:t>Jo</w:t>
            </w:r>
          </w:p>
        </w:tc>
        <w:tc>
          <w:tcPr>
            <w:tcW w:w="1192" w:type="dxa"/>
            <w:tcBorders>
              <w:top w:val="nil"/>
              <w:left w:val="nil"/>
              <w:bottom w:val="single" w:sz="4" w:space="0" w:color="auto"/>
              <w:right w:val="single" w:sz="4" w:space="0" w:color="auto"/>
            </w:tcBorders>
            <w:shd w:val="clear" w:color="000000" w:fill="FFFFFF"/>
            <w:vAlign w:val="center"/>
            <w:hideMark/>
          </w:tcPr>
          <w:p w14:paraId="664B93E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Strategjine Kombetare te Zhvillimit të Turizmit 2024-2030</w:t>
            </w:r>
          </w:p>
        </w:tc>
        <w:tc>
          <w:tcPr>
            <w:tcW w:w="1192" w:type="dxa"/>
            <w:tcBorders>
              <w:top w:val="nil"/>
              <w:left w:val="nil"/>
              <w:bottom w:val="single" w:sz="4" w:space="0" w:color="auto"/>
              <w:right w:val="single" w:sz="4" w:space="0" w:color="auto"/>
            </w:tcBorders>
            <w:shd w:val="clear" w:color="000000" w:fill="FFFFFF"/>
            <w:vAlign w:val="center"/>
            <w:hideMark/>
          </w:tcPr>
          <w:p w14:paraId="7C767A9B" w14:textId="77777777" w:rsidR="005A5FDE" w:rsidRPr="00727111" w:rsidRDefault="005A5FDE" w:rsidP="005A5FDE">
            <w:pPr>
              <w:jc w:val="center"/>
              <w:rPr>
                <w:color w:val="000000"/>
                <w:sz w:val="12"/>
                <w:szCs w:val="12"/>
                <w:lang w:eastAsia="sq-AL"/>
              </w:rPr>
            </w:pPr>
            <w:r w:rsidRPr="00727111">
              <w:rPr>
                <w:color w:val="000000"/>
                <w:sz w:val="12"/>
                <w:szCs w:val="12"/>
                <w:lang w:eastAsia="sq-AL"/>
              </w:rPr>
              <w:t>Ndikim social- Po</w:t>
            </w:r>
          </w:p>
        </w:tc>
      </w:tr>
    </w:tbl>
    <w:p w14:paraId="74E423B7" w14:textId="595152A3" w:rsidR="005A5FDE" w:rsidRPr="00727111" w:rsidRDefault="005A5FDE" w:rsidP="00593BF4">
      <w:pPr>
        <w:ind w:firstLine="284"/>
        <w:jc w:val="both"/>
        <w:rPr>
          <w:rFonts w:ascii="Garamond" w:hAnsi="Garamond"/>
          <w:b/>
          <w:sz w:val="24"/>
        </w:rPr>
      </w:pPr>
    </w:p>
    <w:p w14:paraId="1FDC0F2F" w14:textId="583F3AFD" w:rsidR="005A5FDE" w:rsidRPr="00727111" w:rsidRDefault="005A5FDE" w:rsidP="00593BF4">
      <w:pPr>
        <w:ind w:firstLine="284"/>
        <w:jc w:val="both"/>
        <w:rPr>
          <w:rFonts w:ascii="Garamond" w:hAnsi="Garamond"/>
          <w:b/>
          <w:sz w:val="24"/>
        </w:rPr>
      </w:pPr>
    </w:p>
    <w:p w14:paraId="0CC6EF9A" w14:textId="46E2ABCE" w:rsidR="005A5FDE" w:rsidRPr="00727111" w:rsidRDefault="005A5FDE" w:rsidP="00593BF4">
      <w:pPr>
        <w:ind w:firstLine="284"/>
        <w:jc w:val="both"/>
        <w:rPr>
          <w:rFonts w:ascii="Garamond" w:hAnsi="Garamond"/>
          <w:b/>
          <w:sz w:val="24"/>
        </w:rPr>
      </w:pPr>
    </w:p>
    <w:p w14:paraId="00E5D4E8" w14:textId="0C257E4F" w:rsidR="005A5FDE" w:rsidRPr="00727111" w:rsidRDefault="005A5FDE" w:rsidP="00593BF4">
      <w:pPr>
        <w:ind w:firstLine="284"/>
        <w:jc w:val="both"/>
        <w:rPr>
          <w:rFonts w:ascii="Garamond" w:hAnsi="Garamond"/>
          <w:b/>
          <w:sz w:val="24"/>
        </w:rPr>
      </w:pPr>
    </w:p>
    <w:p w14:paraId="156B4EC1" w14:textId="50B90DFA" w:rsidR="005A5FDE" w:rsidRPr="00727111" w:rsidRDefault="005A5FDE" w:rsidP="00593BF4">
      <w:pPr>
        <w:ind w:firstLine="284"/>
        <w:jc w:val="both"/>
        <w:rPr>
          <w:rFonts w:ascii="Garamond" w:hAnsi="Garamond"/>
          <w:b/>
          <w:sz w:val="24"/>
        </w:rPr>
      </w:pPr>
    </w:p>
    <w:p w14:paraId="665A196E" w14:textId="298E7ECF" w:rsidR="005A5FDE" w:rsidRPr="00727111" w:rsidRDefault="005A5FDE" w:rsidP="00593BF4">
      <w:pPr>
        <w:ind w:firstLine="284"/>
        <w:jc w:val="both"/>
        <w:rPr>
          <w:rFonts w:ascii="Garamond" w:hAnsi="Garamond"/>
          <w:b/>
          <w:sz w:val="24"/>
        </w:rPr>
      </w:pPr>
    </w:p>
    <w:p w14:paraId="5AA3899D" w14:textId="4EE331A3" w:rsidR="005A5FDE" w:rsidRPr="00727111" w:rsidRDefault="005A5FDE" w:rsidP="00593BF4">
      <w:pPr>
        <w:ind w:firstLine="284"/>
        <w:jc w:val="both"/>
        <w:rPr>
          <w:rFonts w:ascii="Garamond" w:hAnsi="Garamond"/>
          <w:b/>
          <w:sz w:val="24"/>
        </w:rPr>
      </w:pPr>
    </w:p>
    <w:p w14:paraId="7CF41FBD" w14:textId="3C729A95" w:rsidR="005A5FDE" w:rsidRPr="00727111" w:rsidRDefault="005A5FDE" w:rsidP="00593BF4">
      <w:pPr>
        <w:ind w:firstLine="284"/>
        <w:jc w:val="both"/>
        <w:rPr>
          <w:rFonts w:ascii="Garamond" w:hAnsi="Garamond"/>
          <w:b/>
          <w:sz w:val="24"/>
        </w:rPr>
      </w:pPr>
    </w:p>
    <w:tbl>
      <w:tblPr>
        <w:tblW w:w="5230" w:type="pct"/>
        <w:tblLook w:val="04A0" w:firstRow="1" w:lastRow="0" w:firstColumn="1" w:lastColumn="0" w:noHBand="0" w:noVBand="1"/>
      </w:tblPr>
      <w:tblGrid>
        <w:gridCol w:w="391"/>
        <w:gridCol w:w="2138"/>
        <w:gridCol w:w="902"/>
        <w:gridCol w:w="1054"/>
        <w:gridCol w:w="806"/>
        <w:gridCol w:w="2085"/>
        <w:gridCol w:w="2415"/>
        <w:gridCol w:w="835"/>
        <w:gridCol w:w="1116"/>
        <w:gridCol w:w="1402"/>
        <w:gridCol w:w="1457"/>
      </w:tblGrid>
      <w:tr w:rsidR="00795120" w:rsidRPr="00727111" w14:paraId="4C47574D" w14:textId="77777777" w:rsidTr="00795120">
        <w:trPr>
          <w:trHeight w:val="180"/>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314557D5" w14:textId="77777777" w:rsidR="00795120" w:rsidRPr="00727111" w:rsidRDefault="00795120" w:rsidP="00795120">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Programi i Përgjithshëm Analitik i Projektakteve për vitin 2025</w:t>
            </w:r>
          </w:p>
        </w:tc>
      </w:tr>
      <w:tr w:rsidR="00795120" w:rsidRPr="00727111" w14:paraId="0AF537DB" w14:textId="77777777" w:rsidTr="00795120">
        <w:trPr>
          <w:trHeight w:val="180"/>
        </w:trPr>
        <w:tc>
          <w:tcPr>
            <w:tcW w:w="5000" w:type="pct"/>
            <w:gridSpan w:val="11"/>
            <w:tcBorders>
              <w:top w:val="single" w:sz="4" w:space="0" w:color="FFFFFF"/>
              <w:left w:val="nil"/>
              <w:bottom w:val="nil"/>
              <w:right w:val="nil"/>
            </w:tcBorders>
            <w:shd w:val="clear" w:color="000000" w:fill="F2F2F2"/>
            <w:vAlign w:val="center"/>
            <w:hideMark/>
          </w:tcPr>
          <w:p w14:paraId="67ED0567" w14:textId="77777777" w:rsidR="00795120" w:rsidRPr="00727111" w:rsidRDefault="00795120" w:rsidP="00795120">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 xml:space="preserve">Ministri i Shtetit për Pushtetin Vendor </w:t>
            </w:r>
          </w:p>
        </w:tc>
      </w:tr>
      <w:tr w:rsidR="00795120" w:rsidRPr="00727111" w14:paraId="5A6DDE61" w14:textId="77777777" w:rsidTr="00795120">
        <w:trPr>
          <w:trHeight w:val="180"/>
        </w:trPr>
        <w:tc>
          <w:tcPr>
            <w:tcW w:w="134" w:type="pct"/>
            <w:tcBorders>
              <w:top w:val="single" w:sz="8" w:space="0" w:color="auto"/>
              <w:left w:val="single" w:sz="8" w:space="0" w:color="auto"/>
              <w:bottom w:val="nil"/>
              <w:right w:val="nil"/>
            </w:tcBorders>
            <w:shd w:val="clear" w:color="000000" w:fill="C00000"/>
            <w:vAlign w:val="center"/>
            <w:hideMark/>
          </w:tcPr>
          <w:p w14:paraId="7C6C9490"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Nr.</w:t>
            </w:r>
          </w:p>
        </w:tc>
        <w:tc>
          <w:tcPr>
            <w:tcW w:w="732" w:type="pct"/>
            <w:tcBorders>
              <w:top w:val="single" w:sz="8" w:space="0" w:color="auto"/>
              <w:left w:val="single" w:sz="4" w:space="0" w:color="FFFFFF"/>
              <w:bottom w:val="nil"/>
              <w:right w:val="single" w:sz="4" w:space="0" w:color="FFFFFF"/>
            </w:tcBorders>
            <w:shd w:val="clear" w:color="000000" w:fill="C00000"/>
            <w:vAlign w:val="center"/>
            <w:hideMark/>
          </w:tcPr>
          <w:p w14:paraId="6C8C4781"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Titulli i projektaktit</w:t>
            </w:r>
          </w:p>
        </w:tc>
        <w:tc>
          <w:tcPr>
            <w:tcW w:w="309" w:type="pct"/>
            <w:tcBorders>
              <w:top w:val="single" w:sz="8" w:space="0" w:color="auto"/>
              <w:left w:val="nil"/>
              <w:bottom w:val="nil"/>
              <w:right w:val="single" w:sz="4" w:space="0" w:color="FFFFFF"/>
            </w:tcBorders>
            <w:shd w:val="clear" w:color="000000" w:fill="C00000"/>
            <w:vAlign w:val="center"/>
            <w:hideMark/>
          </w:tcPr>
          <w:p w14:paraId="5CA00EFB"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Lloji i projektaktit</w:t>
            </w:r>
          </w:p>
        </w:tc>
        <w:tc>
          <w:tcPr>
            <w:tcW w:w="361" w:type="pct"/>
            <w:tcBorders>
              <w:top w:val="single" w:sz="8" w:space="0" w:color="auto"/>
              <w:left w:val="nil"/>
              <w:bottom w:val="nil"/>
              <w:right w:val="nil"/>
            </w:tcBorders>
            <w:shd w:val="clear" w:color="000000" w:fill="C00000"/>
            <w:vAlign w:val="center"/>
            <w:hideMark/>
          </w:tcPr>
          <w:p w14:paraId="036B9B6A"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Ministri propozues</w:t>
            </w:r>
          </w:p>
        </w:tc>
        <w:tc>
          <w:tcPr>
            <w:tcW w:w="276" w:type="pct"/>
            <w:tcBorders>
              <w:top w:val="single" w:sz="8" w:space="0" w:color="auto"/>
              <w:left w:val="single" w:sz="4" w:space="0" w:color="FFFFFF"/>
              <w:bottom w:val="nil"/>
              <w:right w:val="nil"/>
            </w:tcBorders>
            <w:shd w:val="clear" w:color="000000" w:fill="C00000"/>
            <w:vAlign w:val="center"/>
            <w:hideMark/>
          </w:tcPr>
          <w:p w14:paraId="5235D805"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Katër mujori</w:t>
            </w:r>
          </w:p>
        </w:tc>
        <w:tc>
          <w:tcPr>
            <w:tcW w:w="714" w:type="pct"/>
            <w:tcBorders>
              <w:top w:val="single" w:sz="8" w:space="0" w:color="auto"/>
              <w:left w:val="single" w:sz="4" w:space="0" w:color="FFFFFF"/>
              <w:bottom w:val="nil"/>
              <w:right w:val="nil"/>
            </w:tcBorders>
            <w:shd w:val="clear" w:color="000000" w:fill="C00000"/>
            <w:vAlign w:val="center"/>
            <w:hideMark/>
          </w:tcPr>
          <w:p w14:paraId="76AD1F97"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Arsyet kryesore për propozimin e projektaktit</w:t>
            </w:r>
          </w:p>
        </w:tc>
        <w:tc>
          <w:tcPr>
            <w:tcW w:w="827" w:type="pct"/>
            <w:tcBorders>
              <w:top w:val="single" w:sz="8" w:space="0" w:color="auto"/>
              <w:left w:val="single" w:sz="4" w:space="0" w:color="FFFFFF"/>
              <w:bottom w:val="nil"/>
              <w:right w:val="single" w:sz="4" w:space="0" w:color="FFFFFF"/>
            </w:tcBorders>
            <w:shd w:val="clear" w:color="000000" w:fill="C00000"/>
            <w:vAlign w:val="center"/>
            <w:hideMark/>
          </w:tcPr>
          <w:p w14:paraId="6AA1D3A5"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 xml:space="preserve">Çështjet kryesore që parashikon të rregullojë projektakti </w:t>
            </w:r>
          </w:p>
        </w:tc>
        <w:tc>
          <w:tcPr>
            <w:tcW w:w="286" w:type="pct"/>
            <w:tcBorders>
              <w:top w:val="single" w:sz="8" w:space="0" w:color="auto"/>
              <w:left w:val="nil"/>
              <w:bottom w:val="nil"/>
              <w:right w:val="single" w:sz="4" w:space="0" w:color="FFFFFF"/>
            </w:tcBorders>
            <w:shd w:val="clear" w:color="000000" w:fill="C00000"/>
            <w:vAlign w:val="center"/>
            <w:hideMark/>
          </w:tcPr>
          <w:p w14:paraId="5D416171"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 është parashikuar projektakti në PKIE?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po, të specifikohet kapitulli përkatës</w:t>
            </w:r>
          </w:p>
        </w:tc>
        <w:tc>
          <w:tcPr>
            <w:tcW w:w="382" w:type="pct"/>
            <w:tcBorders>
              <w:top w:val="single" w:sz="8" w:space="0" w:color="auto"/>
              <w:left w:val="nil"/>
              <w:bottom w:val="nil"/>
              <w:right w:val="single" w:sz="4" w:space="0" w:color="FFFFFF"/>
            </w:tcBorders>
            <w:shd w:val="clear" w:color="000000" w:fill="C00000"/>
            <w:vAlign w:val="center"/>
            <w:hideMark/>
          </w:tcPr>
          <w:p w14:paraId="30441999"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Përputhshmëria e projektaktit me programin politik qeverisës 2021-2025</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përputhet, të jepet  referenca e saktë në progam</w:t>
            </w:r>
          </w:p>
        </w:tc>
        <w:tc>
          <w:tcPr>
            <w:tcW w:w="480" w:type="pct"/>
            <w:tcBorders>
              <w:top w:val="single" w:sz="8" w:space="0" w:color="auto"/>
              <w:left w:val="nil"/>
              <w:bottom w:val="nil"/>
              <w:right w:val="single" w:sz="4" w:space="0" w:color="FFFFFF"/>
            </w:tcBorders>
            <w:shd w:val="clear" w:color="000000" w:fill="C00000"/>
            <w:vAlign w:val="center"/>
            <w:hideMark/>
          </w:tcPr>
          <w:p w14:paraId="3F96CB7D"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Lidhja e projektaktit me strategjitë kombëtare dhe sektoriale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lidhet, të specifikohen strategjitë</w:t>
            </w:r>
          </w:p>
        </w:tc>
        <w:tc>
          <w:tcPr>
            <w:tcW w:w="499" w:type="pct"/>
            <w:tcBorders>
              <w:top w:val="single" w:sz="8" w:space="0" w:color="auto"/>
              <w:left w:val="nil"/>
              <w:bottom w:val="nil"/>
              <w:right w:val="nil"/>
            </w:tcBorders>
            <w:shd w:val="clear" w:color="000000" w:fill="C00000"/>
            <w:vAlign w:val="center"/>
            <w:hideMark/>
          </w:tcPr>
          <w:p w14:paraId="17094A23" w14:textId="77777777" w:rsidR="00795120" w:rsidRPr="00727111" w:rsidRDefault="00795120" w:rsidP="00795120">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Ndikimet e mundshme ekonomike, financiare, sociale dhe mjedisore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 xml:space="preserve">Përgjigjuni me Po/Jo për ndikimet përkatëse </w:t>
            </w:r>
          </w:p>
        </w:tc>
      </w:tr>
      <w:tr w:rsidR="00795120" w:rsidRPr="00727111" w14:paraId="16062A15" w14:textId="77777777" w:rsidTr="00795120">
        <w:trPr>
          <w:trHeight w:val="180"/>
        </w:trPr>
        <w:tc>
          <w:tcPr>
            <w:tcW w:w="13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F91BE2" w14:textId="77777777" w:rsidR="00795120" w:rsidRPr="00727111" w:rsidRDefault="00795120" w:rsidP="00795120">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1</w:t>
            </w:r>
          </w:p>
        </w:tc>
        <w:tc>
          <w:tcPr>
            <w:tcW w:w="732" w:type="pct"/>
            <w:tcBorders>
              <w:top w:val="single" w:sz="4" w:space="0" w:color="000000"/>
              <w:left w:val="nil"/>
              <w:bottom w:val="single" w:sz="4" w:space="0" w:color="000000"/>
              <w:right w:val="single" w:sz="4" w:space="0" w:color="000000"/>
            </w:tcBorders>
            <w:shd w:val="clear" w:color="auto" w:fill="auto"/>
            <w:vAlign w:val="center"/>
            <w:hideMark/>
          </w:tcPr>
          <w:p w14:paraId="46AF957A"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Për disa shtesa/ndryshime në vendimin nr.450, datë 26.7.2018 “Për bashkërendimin dhe kordinimin e procesit të integrimit evropian ndërmjet qeverisjes qendrore dhe njësive të vetëqeverisjes vendore” </w:t>
            </w:r>
          </w:p>
        </w:tc>
        <w:tc>
          <w:tcPr>
            <w:tcW w:w="309" w:type="pct"/>
            <w:tcBorders>
              <w:top w:val="single" w:sz="4" w:space="0" w:color="000000"/>
              <w:left w:val="nil"/>
              <w:bottom w:val="single" w:sz="4" w:space="0" w:color="000000"/>
              <w:right w:val="single" w:sz="4" w:space="0" w:color="000000"/>
            </w:tcBorders>
            <w:shd w:val="clear" w:color="auto" w:fill="auto"/>
            <w:vAlign w:val="center"/>
            <w:hideMark/>
          </w:tcPr>
          <w:p w14:paraId="59064422"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61" w:type="pct"/>
            <w:tcBorders>
              <w:top w:val="single" w:sz="4" w:space="0" w:color="000000"/>
              <w:left w:val="nil"/>
              <w:bottom w:val="single" w:sz="4" w:space="0" w:color="000000"/>
              <w:right w:val="single" w:sz="4" w:space="0" w:color="000000"/>
            </w:tcBorders>
            <w:shd w:val="clear" w:color="auto" w:fill="auto"/>
            <w:vAlign w:val="center"/>
            <w:hideMark/>
          </w:tcPr>
          <w:p w14:paraId="6070ABE2"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Shtetit për Pushtetin Vendor</w:t>
            </w:r>
          </w:p>
        </w:tc>
        <w:tc>
          <w:tcPr>
            <w:tcW w:w="276" w:type="pct"/>
            <w:tcBorders>
              <w:top w:val="single" w:sz="4" w:space="0" w:color="auto"/>
              <w:left w:val="nil"/>
              <w:bottom w:val="single" w:sz="4" w:space="0" w:color="auto"/>
              <w:right w:val="single" w:sz="4" w:space="0" w:color="auto"/>
            </w:tcBorders>
            <w:shd w:val="clear" w:color="auto" w:fill="auto"/>
            <w:vAlign w:val="center"/>
            <w:hideMark/>
          </w:tcPr>
          <w:p w14:paraId="5D7EEDA4"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parë</w:t>
            </w:r>
          </w:p>
        </w:tc>
        <w:tc>
          <w:tcPr>
            <w:tcW w:w="714" w:type="pct"/>
            <w:tcBorders>
              <w:top w:val="single" w:sz="4" w:space="0" w:color="000000"/>
              <w:left w:val="nil"/>
              <w:bottom w:val="single" w:sz="4" w:space="0" w:color="000000"/>
              <w:right w:val="single" w:sz="4" w:space="0" w:color="000000"/>
            </w:tcBorders>
            <w:shd w:val="clear" w:color="auto" w:fill="auto"/>
            <w:vAlign w:val="center"/>
            <w:hideMark/>
          </w:tcPr>
          <w:p w14:paraId="696FA609"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Forcimi i strukturave bashkiake për proceset e integrimit evropian; zgjerimi i kompetencave për t'iu përgjigjur sfidave të procesit të negocimit; përmirësim i mekanizimit të bashkëpunimit midis tyre dhe pushtetit qendror;</w:t>
            </w:r>
          </w:p>
        </w:tc>
        <w:tc>
          <w:tcPr>
            <w:tcW w:w="827" w:type="pct"/>
            <w:tcBorders>
              <w:top w:val="single" w:sz="4" w:space="0" w:color="000000"/>
              <w:left w:val="nil"/>
              <w:bottom w:val="single" w:sz="4" w:space="0" w:color="000000"/>
              <w:right w:val="single" w:sz="4" w:space="0" w:color="000000"/>
            </w:tcBorders>
            <w:shd w:val="clear" w:color="auto" w:fill="auto"/>
            <w:vAlign w:val="center"/>
            <w:hideMark/>
          </w:tcPr>
          <w:p w14:paraId="7B4191F7"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Ngritje kapacitetesh për hartimin dhe menaxhimin e projekteve; Struktura të konsoliduara për përmbushjen e detyrimeve për kapitullin 22 Zhvillimi Rajonal dhe Kohezioni</w:t>
            </w:r>
          </w:p>
        </w:tc>
        <w:tc>
          <w:tcPr>
            <w:tcW w:w="286" w:type="pct"/>
            <w:tcBorders>
              <w:top w:val="single" w:sz="4" w:space="0" w:color="000000"/>
              <w:left w:val="nil"/>
              <w:bottom w:val="single" w:sz="4" w:space="0" w:color="000000"/>
              <w:right w:val="single" w:sz="4" w:space="0" w:color="000000"/>
            </w:tcBorders>
            <w:shd w:val="clear" w:color="auto" w:fill="auto"/>
            <w:vAlign w:val="center"/>
            <w:hideMark/>
          </w:tcPr>
          <w:p w14:paraId="1D89A3BF"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382" w:type="pct"/>
            <w:tcBorders>
              <w:top w:val="single" w:sz="4" w:space="0" w:color="000000"/>
              <w:left w:val="nil"/>
              <w:bottom w:val="single" w:sz="4" w:space="0" w:color="000000"/>
              <w:right w:val="single" w:sz="4" w:space="0" w:color="000000"/>
            </w:tcBorders>
            <w:shd w:val="clear" w:color="auto" w:fill="auto"/>
            <w:vAlign w:val="center"/>
            <w:hideMark/>
          </w:tcPr>
          <w:p w14:paraId="445BA955"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80" w:type="pct"/>
            <w:tcBorders>
              <w:top w:val="single" w:sz="4" w:space="0" w:color="000000"/>
              <w:left w:val="nil"/>
              <w:bottom w:val="single" w:sz="4" w:space="0" w:color="000000"/>
              <w:right w:val="single" w:sz="4" w:space="0" w:color="000000"/>
            </w:tcBorders>
            <w:shd w:val="clear" w:color="auto" w:fill="auto"/>
            <w:vAlign w:val="center"/>
            <w:hideMark/>
          </w:tcPr>
          <w:p w14:paraId="0B7BFEA5"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lidhet me Strategjinë Kombëtare për Decentralizimin dhe Qeverisjen Vendore 2023-2030</w:t>
            </w:r>
          </w:p>
        </w:tc>
        <w:tc>
          <w:tcPr>
            <w:tcW w:w="499" w:type="pct"/>
            <w:tcBorders>
              <w:top w:val="single" w:sz="4" w:space="0" w:color="000000"/>
              <w:left w:val="nil"/>
              <w:bottom w:val="single" w:sz="4" w:space="0" w:color="000000"/>
              <w:right w:val="single" w:sz="4" w:space="0" w:color="000000"/>
            </w:tcBorders>
            <w:shd w:val="clear" w:color="auto" w:fill="auto"/>
            <w:vAlign w:val="center"/>
            <w:hideMark/>
          </w:tcPr>
          <w:p w14:paraId="2EE4AE79"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Përmirësimi i shërbimeve dhe të ardhurave për bashkitë;</w:t>
            </w:r>
          </w:p>
        </w:tc>
      </w:tr>
      <w:tr w:rsidR="00795120" w:rsidRPr="00727111" w14:paraId="20AAF9F2" w14:textId="77777777" w:rsidTr="00795120">
        <w:trPr>
          <w:trHeight w:val="180"/>
        </w:trPr>
        <w:tc>
          <w:tcPr>
            <w:tcW w:w="134" w:type="pct"/>
            <w:tcBorders>
              <w:top w:val="nil"/>
              <w:left w:val="single" w:sz="4" w:space="0" w:color="000000"/>
              <w:bottom w:val="single" w:sz="4" w:space="0" w:color="000000"/>
              <w:right w:val="single" w:sz="4" w:space="0" w:color="000000"/>
            </w:tcBorders>
            <w:shd w:val="clear" w:color="auto" w:fill="auto"/>
            <w:vAlign w:val="center"/>
            <w:hideMark/>
          </w:tcPr>
          <w:p w14:paraId="05891E1B" w14:textId="77777777" w:rsidR="00795120" w:rsidRPr="00727111" w:rsidRDefault="00795120" w:rsidP="00795120">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2</w:t>
            </w:r>
          </w:p>
        </w:tc>
        <w:tc>
          <w:tcPr>
            <w:tcW w:w="732" w:type="pct"/>
            <w:tcBorders>
              <w:top w:val="nil"/>
              <w:left w:val="nil"/>
              <w:bottom w:val="single" w:sz="4" w:space="0" w:color="000000"/>
              <w:right w:val="single" w:sz="4" w:space="0" w:color="000000"/>
            </w:tcBorders>
            <w:shd w:val="clear" w:color="auto" w:fill="auto"/>
            <w:vAlign w:val="center"/>
            <w:hideMark/>
          </w:tcPr>
          <w:p w14:paraId="7854A74E"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Për krijimin dhe organizimin e Akademisë së Pushtetit Vendor</w:t>
            </w:r>
          </w:p>
        </w:tc>
        <w:tc>
          <w:tcPr>
            <w:tcW w:w="309" w:type="pct"/>
            <w:tcBorders>
              <w:top w:val="nil"/>
              <w:left w:val="nil"/>
              <w:bottom w:val="single" w:sz="4" w:space="0" w:color="000000"/>
              <w:right w:val="single" w:sz="4" w:space="0" w:color="000000"/>
            </w:tcBorders>
            <w:shd w:val="clear" w:color="auto" w:fill="auto"/>
            <w:vAlign w:val="center"/>
            <w:hideMark/>
          </w:tcPr>
          <w:p w14:paraId="62A34FB3"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Projektvendim</w:t>
            </w:r>
          </w:p>
        </w:tc>
        <w:tc>
          <w:tcPr>
            <w:tcW w:w="361" w:type="pct"/>
            <w:tcBorders>
              <w:top w:val="nil"/>
              <w:left w:val="nil"/>
              <w:bottom w:val="single" w:sz="4" w:space="0" w:color="000000"/>
              <w:right w:val="single" w:sz="4" w:space="0" w:color="000000"/>
            </w:tcBorders>
            <w:shd w:val="clear" w:color="auto" w:fill="auto"/>
            <w:vAlign w:val="center"/>
            <w:hideMark/>
          </w:tcPr>
          <w:p w14:paraId="2E356351"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Shtetit për Pushtetin Vendor</w:t>
            </w:r>
          </w:p>
        </w:tc>
        <w:tc>
          <w:tcPr>
            <w:tcW w:w="276" w:type="pct"/>
            <w:tcBorders>
              <w:top w:val="nil"/>
              <w:left w:val="nil"/>
              <w:bottom w:val="single" w:sz="4" w:space="0" w:color="auto"/>
              <w:right w:val="single" w:sz="4" w:space="0" w:color="auto"/>
            </w:tcBorders>
            <w:shd w:val="clear" w:color="auto" w:fill="auto"/>
            <w:vAlign w:val="center"/>
            <w:hideMark/>
          </w:tcPr>
          <w:p w14:paraId="512FD35F" w14:textId="77777777" w:rsidR="00795120" w:rsidRPr="00727111" w:rsidRDefault="00795120" w:rsidP="00795120">
            <w:pPr>
              <w:jc w:val="center"/>
              <w:rPr>
                <w:rFonts w:ascii="Garamond" w:hAnsi="Garamond"/>
                <w:sz w:val="12"/>
                <w:szCs w:val="12"/>
                <w:lang w:eastAsia="sq-AL"/>
              </w:rPr>
            </w:pPr>
            <w:r w:rsidRPr="00727111">
              <w:rPr>
                <w:rFonts w:ascii="Garamond" w:hAnsi="Garamond"/>
                <w:sz w:val="12"/>
                <w:szCs w:val="12"/>
                <w:lang w:eastAsia="sq-AL"/>
              </w:rPr>
              <w:t>Katër mujori i dytë</w:t>
            </w:r>
          </w:p>
        </w:tc>
        <w:tc>
          <w:tcPr>
            <w:tcW w:w="714" w:type="pct"/>
            <w:tcBorders>
              <w:top w:val="nil"/>
              <w:left w:val="nil"/>
              <w:bottom w:val="single" w:sz="4" w:space="0" w:color="000000"/>
              <w:right w:val="single" w:sz="4" w:space="0" w:color="000000"/>
            </w:tcBorders>
            <w:shd w:val="clear" w:color="auto" w:fill="auto"/>
            <w:vAlign w:val="center"/>
            <w:hideMark/>
          </w:tcPr>
          <w:p w14:paraId="32CCBF26"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Krijimi i qendrës së trajnimit për pushtetin vendor në bashkëpunim me shoqatën e bashkive; Ngritje dhe forcim i kapaciteteve vendore; </w:t>
            </w:r>
          </w:p>
        </w:tc>
        <w:tc>
          <w:tcPr>
            <w:tcW w:w="827" w:type="pct"/>
            <w:tcBorders>
              <w:top w:val="nil"/>
              <w:left w:val="nil"/>
              <w:bottom w:val="single" w:sz="4" w:space="0" w:color="000000"/>
              <w:right w:val="single" w:sz="4" w:space="0" w:color="000000"/>
            </w:tcBorders>
            <w:shd w:val="clear" w:color="auto" w:fill="auto"/>
            <w:vAlign w:val="center"/>
            <w:hideMark/>
          </w:tcPr>
          <w:p w14:paraId="73CDF443"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Kualifikim i vazhdueshëm i burimeve njerëzore të qeverisjes vendore në fusha të ndryshme; Shtrirja e trajnimeve në të gjitha nivelet e qeverisjes vendore; Njëtrajtshmëri në mënyrën e organizimit dhe kryerjes se trajnimeve;  Përfshirja e funksionarëve politikë në trajnime</w:t>
            </w:r>
          </w:p>
        </w:tc>
        <w:tc>
          <w:tcPr>
            <w:tcW w:w="286" w:type="pct"/>
            <w:tcBorders>
              <w:top w:val="nil"/>
              <w:left w:val="nil"/>
              <w:bottom w:val="single" w:sz="4" w:space="0" w:color="000000"/>
              <w:right w:val="single" w:sz="4" w:space="0" w:color="000000"/>
            </w:tcBorders>
            <w:shd w:val="clear" w:color="auto" w:fill="auto"/>
            <w:vAlign w:val="center"/>
            <w:hideMark/>
          </w:tcPr>
          <w:p w14:paraId="3F2097EA"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382" w:type="pct"/>
            <w:tcBorders>
              <w:top w:val="nil"/>
              <w:left w:val="nil"/>
              <w:bottom w:val="single" w:sz="4" w:space="0" w:color="000000"/>
              <w:right w:val="single" w:sz="4" w:space="0" w:color="000000"/>
            </w:tcBorders>
            <w:shd w:val="clear" w:color="auto" w:fill="auto"/>
            <w:vAlign w:val="center"/>
            <w:hideMark/>
          </w:tcPr>
          <w:p w14:paraId="6070C34C"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80" w:type="pct"/>
            <w:tcBorders>
              <w:top w:val="nil"/>
              <w:left w:val="nil"/>
              <w:bottom w:val="single" w:sz="4" w:space="0" w:color="000000"/>
              <w:right w:val="single" w:sz="4" w:space="0" w:color="000000"/>
            </w:tcBorders>
            <w:shd w:val="clear" w:color="auto" w:fill="auto"/>
            <w:vAlign w:val="center"/>
            <w:hideMark/>
          </w:tcPr>
          <w:p w14:paraId="61012BE6"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lidhet me Strategjinë Kombëtare për Decentralizimin dhe Qeverisjen Vendore 2023-2030</w:t>
            </w:r>
          </w:p>
        </w:tc>
        <w:tc>
          <w:tcPr>
            <w:tcW w:w="499" w:type="pct"/>
            <w:tcBorders>
              <w:top w:val="nil"/>
              <w:left w:val="nil"/>
              <w:bottom w:val="single" w:sz="4" w:space="0" w:color="000000"/>
              <w:right w:val="single" w:sz="4" w:space="0" w:color="000000"/>
            </w:tcBorders>
            <w:shd w:val="clear" w:color="auto" w:fill="auto"/>
            <w:vAlign w:val="center"/>
            <w:hideMark/>
          </w:tcPr>
          <w:p w14:paraId="04FE08F9"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Përmirësimi i dhëniës së shërbimeve në bashki duke qenë se kapacitetet e stafeve do të forcohen;</w:t>
            </w:r>
          </w:p>
        </w:tc>
      </w:tr>
      <w:tr w:rsidR="00795120" w:rsidRPr="00727111" w14:paraId="06057FDA" w14:textId="77777777" w:rsidTr="00795120">
        <w:trPr>
          <w:trHeight w:val="180"/>
        </w:trPr>
        <w:tc>
          <w:tcPr>
            <w:tcW w:w="134" w:type="pct"/>
            <w:tcBorders>
              <w:top w:val="nil"/>
              <w:left w:val="single" w:sz="4" w:space="0" w:color="000000"/>
              <w:bottom w:val="single" w:sz="4" w:space="0" w:color="000000"/>
              <w:right w:val="single" w:sz="4" w:space="0" w:color="000000"/>
            </w:tcBorders>
            <w:shd w:val="clear" w:color="auto" w:fill="auto"/>
            <w:vAlign w:val="center"/>
            <w:hideMark/>
          </w:tcPr>
          <w:p w14:paraId="5A438950" w14:textId="77777777" w:rsidR="00795120" w:rsidRPr="00727111" w:rsidRDefault="00795120" w:rsidP="00795120">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3</w:t>
            </w:r>
          </w:p>
        </w:tc>
        <w:tc>
          <w:tcPr>
            <w:tcW w:w="732" w:type="pct"/>
            <w:tcBorders>
              <w:top w:val="nil"/>
              <w:left w:val="nil"/>
              <w:bottom w:val="single" w:sz="4" w:space="0" w:color="000000"/>
              <w:right w:val="single" w:sz="4" w:space="0" w:color="000000"/>
            </w:tcBorders>
            <w:shd w:val="clear" w:color="auto" w:fill="auto"/>
            <w:vAlign w:val="center"/>
            <w:hideMark/>
          </w:tcPr>
          <w:p w14:paraId="6BF79814"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Për disa shtesa/ndryshime të Ligjit nr.68/2017 "Për financat e qeverisjes vendore" i ndryshuar</w:t>
            </w:r>
          </w:p>
        </w:tc>
        <w:tc>
          <w:tcPr>
            <w:tcW w:w="309" w:type="pct"/>
            <w:tcBorders>
              <w:top w:val="nil"/>
              <w:left w:val="nil"/>
              <w:bottom w:val="single" w:sz="4" w:space="0" w:color="000000"/>
              <w:right w:val="single" w:sz="4" w:space="0" w:color="000000"/>
            </w:tcBorders>
            <w:shd w:val="clear" w:color="auto" w:fill="auto"/>
            <w:vAlign w:val="center"/>
            <w:hideMark/>
          </w:tcPr>
          <w:p w14:paraId="14922530"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61" w:type="pct"/>
            <w:tcBorders>
              <w:top w:val="nil"/>
              <w:left w:val="nil"/>
              <w:bottom w:val="single" w:sz="4" w:space="0" w:color="000000"/>
              <w:right w:val="single" w:sz="4" w:space="0" w:color="000000"/>
            </w:tcBorders>
            <w:shd w:val="clear" w:color="auto" w:fill="auto"/>
            <w:vAlign w:val="center"/>
            <w:hideMark/>
          </w:tcPr>
          <w:p w14:paraId="45A967E5"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Shtetit për Pushtetin Vendor</w:t>
            </w:r>
          </w:p>
        </w:tc>
        <w:tc>
          <w:tcPr>
            <w:tcW w:w="276" w:type="pct"/>
            <w:tcBorders>
              <w:top w:val="nil"/>
              <w:left w:val="nil"/>
              <w:bottom w:val="single" w:sz="4" w:space="0" w:color="auto"/>
              <w:right w:val="single" w:sz="4" w:space="0" w:color="auto"/>
            </w:tcBorders>
            <w:shd w:val="clear" w:color="000000" w:fill="FFFFFF"/>
            <w:vAlign w:val="center"/>
            <w:hideMark/>
          </w:tcPr>
          <w:p w14:paraId="0F03A4A5"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714" w:type="pct"/>
            <w:tcBorders>
              <w:top w:val="nil"/>
              <w:left w:val="nil"/>
              <w:bottom w:val="single" w:sz="4" w:space="0" w:color="000000"/>
              <w:right w:val="single" w:sz="4" w:space="0" w:color="000000"/>
            </w:tcBorders>
            <w:shd w:val="clear" w:color="auto" w:fill="auto"/>
            <w:vAlign w:val="center"/>
            <w:hideMark/>
          </w:tcPr>
          <w:p w14:paraId="19D0095D"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Ndryshimi i formulës për transfertën e pakushtëzuar financiare si dhe kategorizimi i taksave vendore për zënien e hapësirës publike dhe të fasadave për përdorimin e reklamave/tabelave</w:t>
            </w:r>
          </w:p>
        </w:tc>
        <w:tc>
          <w:tcPr>
            <w:tcW w:w="827" w:type="pct"/>
            <w:tcBorders>
              <w:top w:val="nil"/>
              <w:left w:val="nil"/>
              <w:bottom w:val="single" w:sz="4" w:space="0" w:color="000000"/>
              <w:right w:val="single" w:sz="4" w:space="0" w:color="000000"/>
            </w:tcBorders>
            <w:shd w:val="clear" w:color="auto" w:fill="auto"/>
            <w:vAlign w:val="center"/>
            <w:hideMark/>
          </w:tcPr>
          <w:p w14:paraId="5D03E9D5"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Rregullimin e skemës së financimit të bashkive; Përshtatja e parimit të ekualizimit të lidhur me numrin e popullsisë sipas Censit 2023; Stabilitet financiar për bashkitë me të ardhura të ulëta; ndryshimi i tabelës që ndan bashkitë sipas kategorisë</w:t>
            </w:r>
          </w:p>
        </w:tc>
        <w:tc>
          <w:tcPr>
            <w:tcW w:w="286" w:type="pct"/>
            <w:tcBorders>
              <w:top w:val="nil"/>
              <w:left w:val="nil"/>
              <w:bottom w:val="single" w:sz="4" w:space="0" w:color="000000"/>
              <w:right w:val="single" w:sz="4" w:space="0" w:color="000000"/>
            </w:tcBorders>
            <w:shd w:val="clear" w:color="auto" w:fill="auto"/>
            <w:vAlign w:val="center"/>
            <w:hideMark/>
          </w:tcPr>
          <w:p w14:paraId="7A2E814B"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382" w:type="pct"/>
            <w:tcBorders>
              <w:top w:val="nil"/>
              <w:left w:val="nil"/>
              <w:bottom w:val="single" w:sz="4" w:space="0" w:color="000000"/>
              <w:right w:val="single" w:sz="4" w:space="0" w:color="000000"/>
            </w:tcBorders>
            <w:shd w:val="clear" w:color="auto" w:fill="auto"/>
            <w:vAlign w:val="center"/>
            <w:hideMark/>
          </w:tcPr>
          <w:p w14:paraId="6523102E"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80" w:type="pct"/>
            <w:tcBorders>
              <w:top w:val="nil"/>
              <w:left w:val="nil"/>
              <w:bottom w:val="single" w:sz="4" w:space="0" w:color="000000"/>
              <w:right w:val="single" w:sz="4" w:space="0" w:color="000000"/>
            </w:tcBorders>
            <w:shd w:val="clear" w:color="auto" w:fill="auto"/>
            <w:vAlign w:val="center"/>
            <w:hideMark/>
          </w:tcPr>
          <w:p w14:paraId="0D30B152"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lidhet me Strategjinë Kombëtare për Decentralizimin dhe Qeverisjen Vendore 2023-2030</w:t>
            </w:r>
          </w:p>
        </w:tc>
        <w:tc>
          <w:tcPr>
            <w:tcW w:w="499" w:type="pct"/>
            <w:tcBorders>
              <w:top w:val="nil"/>
              <w:left w:val="nil"/>
              <w:bottom w:val="single" w:sz="4" w:space="0" w:color="000000"/>
              <w:right w:val="single" w:sz="4" w:space="0" w:color="000000"/>
            </w:tcBorders>
            <w:shd w:val="clear" w:color="auto" w:fill="auto"/>
            <w:vAlign w:val="center"/>
            <w:hideMark/>
          </w:tcPr>
          <w:p w14:paraId="200F4CE4"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Rritja e të ardhurave për bashkitë që kanë performancë më të mirë; Më shumë të ardhura nga taksa e reklamës për një numër më të madh bashkish; </w:t>
            </w:r>
          </w:p>
        </w:tc>
      </w:tr>
      <w:tr w:rsidR="00795120" w:rsidRPr="00727111" w14:paraId="500DAE11" w14:textId="77777777" w:rsidTr="00795120">
        <w:trPr>
          <w:trHeight w:val="180"/>
        </w:trPr>
        <w:tc>
          <w:tcPr>
            <w:tcW w:w="134" w:type="pct"/>
            <w:tcBorders>
              <w:top w:val="nil"/>
              <w:left w:val="single" w:sz="4" w:space="0" w:color="000000"/>
              <w:bottom w:val="single" w:sz="4" w:space="0" w:color="000000"/>
              <w:right w:val="single" w:sz="4" w:space="0" w:color="000000"/>
            </w:tcBorders>
            <w:shd w:val="clear" w:color="auto" w:fill="auto"/>
            <w:vAlign w:val="center"/>
            <w:hideMark/>
          </w:tcPr>
          <w:p w14:paraId="1C068A71" w14:textId="77777777" w:rsidR="00795120" w:rsidRPr="00727111" w:rsidRDefault="00795120" w:rsidP="00795120">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4</w:t>
            </w:r>
          </w:p>
        </w:tc>
        <w:tc>
          <w:tcPr>
            <w:tcW w:w="732" w:type="pct"/>
            <w:tcBorders>
              <w:top w:val="nil"/>
              <w:left w:val="nil"/>
              <w:bottom w:val="single" w:sz="4" w:space="0" w:color="000000"/>
              <w:right w:val="single" w:sz="4" w:space="0" w:color="000000"/>
            </w:tcBorders>
            <w:shd w:val="clear" w:color="auto" w:fill="auto"/>
            <w:vAlign w:val="center"/>
            <w:hideMark/>
          </w:tcPr>
          <w:p w14:paraId="41F9C606"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Për Ndërmarrjet Publike Vendore</w:t>
            </w:r>
          </w:p>
        </w:tc>
        <w:tc>
          <w:tcPr>
            <w:tcW w:w="309" w:type="pct"/>
            <w:tcBorders>
              <w:top w:val="nil"/>
              <w:left w:val="nil"/>
              <w:bottom w:val="single" w:sz="4" w:space="0" w:color="000000"/>
              <w:right w:val="single" w:sz="4" w:space="0" w:color="000000"/>
            </w:tcBorders>
            <w:shd w:val="clear" w:color="auto" w:fill="auto"/>
            <w:vAlign w:val="center"/>
            <w:hideMark/>
          </w:tcPr>
          <w:p w14:paraId="262EBE21"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Projektligj</w:t>
            </w:r>
          </w:p>
        </w:tc>
        <w:tc>
          <w:tcPr>
            <w:tcW w:w="361" w:type="pct"/>
            <w:tcBorders>
              <w:top w:val="nil"/>
              <w:left w:val="nil"/>
              <w:bottom w:val="single" w:sz="4" w:space="0" w:color="000000"/>
              <w:right w:val="single" w:sz="4" w:space="0" w:color="000000"/>
            </w:tcBorders>
            <w:shd w:val="clear" w:color="auto" w:fill="auto"/>
            <w:vAlign w:val="center"/>
            <w:hideMark/>
          </w:tcPr>
          <w:p w14:paraId="6A40CBAE"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Ministri i Shtetit për Pushtetin Vendor</w:t>
            </w:r>
          </w:p>
        </w:tc>
        <w:tc>
          <w:tcPr>
            <w:tcW w:w="276" w:type="pct"/>
            <w:tcBorders>
              <w:top w:val="nil"/>
              <w:left w:val="nil"/>
              <w:bottom w:val="single" w:sz="4" w:space="0" w:color="auto"/>
              <w:right w:val="single" w:sz="4" w:space="0" w:color="auto"/>
            </w:tcBorders>
            <w:shd w:val="clear" w:color="000000" w:fill="FFFFFF"/>
            <w:vAlign w:val="center"/>
            <w:hideMark/>
          </w:tcPr>
          <w:p w14:paraId="52D2CE4B"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Katër mujori i tretë</w:t>
            </w:r>
          </w:p>
        </w:tc>
        <w:tc>
          <w:tcPr>
            <w:tcW w:w="714" w:type="pct"/>
            <w:tcBorders>
              <w:top w:val="nil"/>
              <w:left w:val="nil"/>
              <w:bottom w:val="single" w:sz="4" w:space="0" w:color="000000"/>
              <w:right w:val="single" w:sz="4" w:space="0" w:color="000000"/>
            </w:tcBorders>
            <w:shd w:val="clear" w:color="auto" w:fill="auto"/>
            <w:vAlign w:val="center"/>
            <w:hideMark/>
          </w:tcPr>
          <w:p w14:paraId="7C40E54A"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Rijetësimi i aseteve të bashkive si mjet për të krijuar të ardhura të veta për bashkitë; Ndikim në zhvillimin ekonomik vendor</w:t>
            </w:r>
          </w:p>
        </w:tc>
        <w:tc>
          <w:tcPr>
            <w:tcW w:w="827" w:type="pct"/>
            <w:tcBorders>
              <w:top w:val="nil"/>
              <w:left w:val="nil"/>
              <w:bottom w:val="single" w:sz="4" w:space="0" w:color="000000"/>
              <w:right w:val="single" w:sz="4" w:space="0" w:color="000000"/>
            </w:tcBorders>
            <w:shd w:val="clear" w:color="auto" w:fill="auto"/>
            <w:vAlign w:val="center"/>
            <w:hideMark/>
          </w:tcPr>
          <w:p w14:paraId="60A9441D"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Rikonceptimin e organizimit dhe funksionimit të ndërmarrjeve shtetërore vendore; Përmirësimi i  mënyrës se si përdoren asetet e bashkive dhe nivelit të të ardhurave vendore; </w:t>
            </w:r>
          </w:p>
        </w:tc>
        <w:tc>
          <w:tcPr>
            <w:tcW w:w="286" w:type="pct"/>
            <w:tcBorders>
              <w:top w:val="nil"/>
              <w:left w:val="nil"/>
              <w:bottom w:val="single" w:sz="4" w:space="0" w:color="000000"/>
              <w:right w:val="single" w:sz="4" w:space="0" w:color="000000"/>
            </w:tcBorders>
            <w:shd w:val="clear" w:color="auto" w:fill="auto"/>
            <w:vAlign w:val="center"/>
            <w:hideMark/>
          </w:tcPr>
          <w:p w14:paraId="58A6ECAB"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382" w:type="pct"/>
            <w:tcBorders>
              <w:top w:val="nil"/>
              <w:left w:val="nil"/>
              <w:bottom w:val="single" w:sz="4" w:space="0" w:color="000000"/>
              <w:right w:val="single" w:sz="4" w:space="0" w:color="000000"/>
            </w:tcBorders>
            <w:shd w:val="clear" w:color="auto" w:fill="auto"/>
            <w:vAlign w:val="center"/>
            <w:hideMark/>
          </w:tcPr>
          <w:p w14:paraId="16D237B0"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Jo</w:t>
            </w:r>
          </w:p>
        </w:tc>
        <w:tc>
          <w:tcPr>
            <w:tcW w:w="480" w:type="pct"/>
            <w:tcBorders>
              <w:top w:val="nil"/>
              <w:left w:val="nil"/>
              <w:bottom w:val="single" w:sz="4" w:space="0" w:color="000000"/>
              <w:right w:val="single" w:sz="4" w:space="0" w:color="000000"/>
            </w:tcBorders>
            <w:shd w:val="clear" w:color="auto" w:fill="auto"/>
            <w:vAlign w:val="center"/>
            <w:hideMark/>
          </w:tcPr>
          <w:p w14:paraId="19AF0D11"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Projektakti lidhet me Strategjinë Kombëtare për Decentralizimin dhe Qeverisjen Vendore 2023-2030</w:t>
            </w:r>
          </w:p>
        </w:tc>
        <w:tc>
          <w:tcPr>
            <w:tcW w:w="499" w:type="pct"/>
            <w:tcBorders>
              <w:top w:val="nil"/>
              <w:left w:val="nil"/>
              <w:bottom w:val="single" w:sz="4" w:space="0" w:color="000000"/>
              <w:right w:val="single" w:sz="4" w:space="0" w:color="000000"/>
            </w:tcBorders>
            <w:shd w:val="clear" w:color="auto" w:fill="auto"/>
            <w:vAlign w:val="center"/>
            <w:hideMark/>
          </w:tcPr>
          <w:p w14:paraId="6B950C81" w14:textId="77777777" w:rsidR="00795120" w:rsidRPr="00727111" w:rsidRDefault="00795120" w:rsidP="00795120">
            <w:pPr>
              <w:jc w:val="center"/>
              <w:rPr>
                <w:rFonts w:ascii="Garamond" w:hAnsi="Garamond"/>
                <w:color w:val="000000"/>
                <w:sz w:val="12"/>
                <w:szCs w:val="12"/>
                <w:lang w:eastAsia="sq-AL"/>
              </w:rPr>
            </w:pPr>
            <w:r w:rsidRPr="00727111">
              <w:rPr>
                <w:rFonts w:ascii="Garamond" w:hAnsi="Garamond"/>
                <w:color w:val="000000"/>
                <w:sz w:val="12"/>
                <w:szCs w:val="12"/>
                <w:lang w:eastAsia="sq-AL"/>
              </w:rPr>
              <w:t xml:space="preserve">Rritja e të ardhurave për bashkitë që kanë performancë më të mirë; </w:t>
            </w:r>
          </w:p>
        </w:tc>
      </w:tr>
    </w:tbl>
    <w:p w14:paraId="13A128F6" w14:textId="680426BD" w:rsidR="005A5FDE" w:rsidRPr="00727111" w:rsidRDefault="005A5FDE" w:rsidP="00593BF4">
      <w:pPr>
        <w:ind w:firstLine="284"/>
        <w:jc w:val="both"/>
        <w:rPr>
          <w:rFonts w:ascii="Garamond" w:hAnsi="Garamond"/>
          <w:b/>
          <w:sz w:val="24"/>
        </w:rPr>
      </w:pPr>
    </w:p>
    <w:p w14:paraId="024F037F" w14:textId="2C45C2A7" w:rsidR="00795120" w:rsidRPr="00727111" w:rsidRDefault="00795120" w:rsidP="00593BF4">
      <w:pPr>
        <w:ind w:firstLine="284"/>
        <w:jc w:val="both"/>
        <w:rPr>
          <w:rFonts w:ascii="Garamond" w:hAnsi="Garamond"/>
          <w:b/>
          <w:sz w:val="24"/>
        </w:rPr>
      </w:pPr>
    </w:p>
    <w:p w14:paraId="0B495E42" w14:textId="18B1CF70" w:rsidR="00795120" w:rsidRPr="00727111" w:rsidRDefault="00795120" w:rsidP="00593BF4">
      <w:pPr>
        <w:ind w:firstLine="284"/>
        <w:jc w:val="both"/>
        <w:rPr>
          <w:rFonts w:ascii="Garamond" w:hAnsi="Garamond"/>
          <w:b/>
          <w:sz w:val="24"/>
        </w:rPr>
      </w:pPr>
    </w:p>
    <w:p w14:paraId="786FBDC5" w14:textId="71D036B5" w:rsidR="00795120" w:rsidRPr="00727111" w:rsidRDefault="00795120" w:rsidP="00593BF4">
      <w:pPr>
        <w:ind w:firstLine="284"/>
        <w:jc w:val="both"/>
        <w:rPr>
          <w:rFonts w:ascii="Garamond" w:hAnsi="Garamond"/>
          <w:b/>
          <w:sz w:val="24"/>
        </w:rPr>
      </w:pPr>
    </w:p>
    <w:p w14:paraId="5BCFBF9A" w14:textId="7D1F5421" w:rsidR="00795120" w:rsidRPr="00727111" w:rsidRDefault="00795120" w:rsidP="00593BF4">
      <w:pPr>
        <w:ind w:firstLine="284"/>
        <w:jc w:val="both"/>
        <w:rPr>
          <w:rFonts w:ascii="Garamond" w:hAnsi="Garamond"/>
          <w:b/>
          <w:sz w:val="24"/>
        </w:rPr>
      </w:pPr>
    </w:p>
    <w:p w14:paraId="35EB6B8D" w14:textId="2389D9EA" w:rsidR="00677099" w:rsidRPr="00727111" w:rsidRDefault="00677099" w:rsidP="00593BF4">
      <w:pPr>
        <w:ind w:firstLine="284"/>
        <w:jc w:val="both"/>
        <w:rPr>
          <w:rFonts w:ascii="Garamond" w:hAnsi="Garamond"/>
          <w:b/>
          <w:sz w:val="24"/>
        </w:rPr>
      </w:pPr>
    </w:p>
    <w:p w14:paraId="7A79A9BD" w14:textId="2871BFA8" w:rsidR="00677099" w:rsidRPr="00727111" w:rsidRDefault="00677099" w:rsidP="00593BF4">
      <w:pPr>
        <w:ind w:firstLine="284"/>
        <w:jc w:val="both"/>
        <w:rPr>
          <w:rFonts w:ascii="Garamond" w:hAnsi="Garamond"/>
          <w:b/>
          <w:sz w:val="24"/>
        </w:rPr>
      </w:pPr>
    </w:p>
    <w:p w14:paraId="2ED25D95" w14:textId="575CF6E4" w:rsidR="00677099" w:rsidRPr="00727111" w:rsidRDefault="00677099" w:rsidP="00593BF4">
      <w:pPr>
        <w:ind w:firstLine="284"/>
        <w:jc w:val="both"/>
        <w:rPr>
          <w:rFonts w:ascii="Garamond" w:hAnsi="Garamond"/>
          <w:b/>
          <w:sz w:val="24"/>
        </w:rPr>
      </w:pPr>
    </w:p>
    <w:p w14:paraId="247879E6" w14:textId="3CE923B4" w:rsidR="00677099" w:rsidRPr="00727111" w:rsidRDefault="00677099" w:rsidP="00593BF4">
      <w:pPr>
        <w:ind w:firstLine="284"/>
        <w:jc w:val="both"/>
        <w:rPr>
          <w:rFonts w:ascii="Garamond" w:hAnsi="Garamond"/>
          <w:b/>
          <w:sz w:val="24"/>
        </w:rPr>
      </w:pPr>
    </w:p>
    <w:p w14:paraId="570B7E3D" w14:textId="6EF6DFCC" w:rsidR="00677099" w:rsidRPr="00727111" w:rsidRDefault="00677099" w:rsidP="00593BF4">
      <w:pPr>
        <w:ind w:firstLine="284"/>
        <w:jc w:val="both"/>
        <w:rPr>
          <w:rFonts w:ascii="Garamond" w:hAnsi="Garamond"/>
          <w:b/>
          <w:sz w:val="24"/>
        </w:rPr>
      </w:pPr>
    </w:p>
    <w:p w14:paraId="0FF475B2" w14:textId="699A58B9" w:rsidR="00677099" w:rsidRPr="00727111" w:rsidRDefault="00677099" w:rsidP="00593BF4">
      <w:pPr>
        <w:ind w:firstLine="284"/>
        <w:jc w:val="both"/>
        <w:rPr>
          <w:rFonts w:ascii="Garamond" w:hAnsi="Garamond"/>
          <w:b/>
          <w:sz w:val="24"/>
        </w:rPr>
      </w:pPr>
    </w:p>
    <w:p w14:paraId="614AAEDC" w14:textId="77777777" w:rsidR="00677099" w:rsidRPr="00727111" w:rsidRDefault="00677099" w:rsidP="00593BF4">
      <w:pPr>
        <w:ind w:firstLine="284"/>
        <w:jc w:val="both"/>
        <w:rPr>
          <w:rFonts w:ascii="Garamond" w:hAnsi="Garamond"/>
          <w:b/>
          <w:sz w:val="24"/>
        </w:rPr>
      </w:pPr>
    </w:p>
    <w:p w14:paraId="1DBA2AB3" w14:textId="0A04DA7D" w:rsidR="00677099" w:rsidRPr="00727111" w:rsidRDefault="00677099" w:rsidP="00593BF4">
      <w:pPr>
        <w:ind w:firstLine="284"/>
        <w:jc w:val="both"/>
        <w:rPr>
          <w:rFonts w:ascii="Garamond" w:hAnsi="Garamond"/>
          <w:b/>
          <w:sz w:val="24"/>
        </w:rPr>
      </w:pPr>
    </w:p>
    <w:p w14:paraId="773EAF7E" w14:textId="3ADF7CEB" w:rsidR="00677099" w:rsidRPr="00727111" w:rsidRDefault="00677099" w:rsidP="00593BF4">
      <w:pPr>
        <w:ind w:firstLine="284"/>
        <w:jc w:val="both"/>
        <w:rPr>
          <w:rFonts w:ascii="Garamond" w:hAnsi="Garamond"/>
          <w:b/>
          <w:sz w:val="24"/>
        </w:rPr>
      </w:pPr>
    </w:p>
    <w:tbl>
      <w:tblPr>
        <w:tblW w:w="5000" w:type="pct"/>
        <w:jc w:val="center"/>
        <w:tblLook w:val="04A0" w:firstRow="1" w:lastRow="0" w:firstColumn="1" w:lastColumn="0" w:noHBand="0" w:noVBand="1"/>
      </w:tblPr>
      <w:tblGrid>
        <w:gridCol w:w="390"/>
        <w:gridCol w:w="2226"/>
        <w:gridCol w:w="901"/>
        <w:gridCol w:w="1110"/>
        <w:gridCol w:w="855"/>
        <w:gridCol w:w="1352"/>
        <w:gridCol w:w="1911"/>
        <w:gridCol w:w="855"/>
        <w:gridCol w:w="1172"/>
        <w:gridCol w:w="1468"/>
        <w:gridCol w:w="1719"/>
      </w:tblGrid>
      <w:tr w:rsidR="00677099" w:rsidRPr="00727111" w14:paraId="1C12FC49" w14:textId="77777777" w:rsidTr="00677099">
        <w:trPr>
          <w:trHeight w:val="180"/>
          <w:jc w:val="center"/>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0189BC8C" w14:textId="77777777" w:rsidR="00677099" w:rsidRPr="00727111" w:rsidRDefault="00677099" w:rsidP="00677099">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Programi i Përgjithshëm Analitik i Projektakteve për vitin 2025</w:t>
            </w:r>
          </w:p>
        </w:tc>
      </w:tr>
      <w:tr w:rsidR="00677099" w:rsidRPr="00727111" w14:paraId="0ADD650F" w14:textId="77777777" w:rsidTr="00677099">
        <w:trPr>
          <w:trHeight w:val="180"/>
          <w:jc w:val="center"/>
        </w:trPr>
        <w:tc>
          <w:tcPr>
            <w:tcW w:w="5000" w:type="pct"/>
            <w:gridSpan w:val="11"/>
            <w:tcBorders>
              <w:top w:val="single" w:sz="4" w:space="0" w:color="FFFFFF"/>
              <w:left w:val="nil"/>
              <w:bottom w:val="nil"/>
              <w:right w:val="nil"/>
            </w:tcBorders>
            <w:shd w:val="clear" w:color="000000" w:fill="F2F2F2"/>
            <w:vAlign w:val="center"/>
            <w:hideMark/>
          </w:tcPr>
          <w:p w14:paraId="1F65438E" w14:textId="77777777" w:rsidR="00677099" w:rsidRPr="00727111" w:rsidRDefault="00677099" w:rsidP="00677099">
            <w:pPr>
              <w:jc w:val="center"/>
              <w:rPr>
                <w:rFonts w:ascii="Garamond" w:hAnsi="Garamond" w:cs="Calibri"/>
                <w:b/>
                <w:bCs/>
                <w:color w:val="000000"/>
                <w:sz w:val="12"/>
                <w:szCs w:val="12"/>
                <w:lang w:eastAsia="sq-AL"/>
              </w:rPr>
            </w:pPr>
            <w:r w:rsidRPr="00727111">
              <w:rPr>
                <w:rFonts w:ascii="Garamond" w:hAnsi="Garamond" w:cs="Calibri"/>
                <w:b/>
                <w:bCs/>
                <w:color w:val="000000"/>
                <w:sz w:val="12"/>
                <w:szCs w:val="12"/>
                <w:lang w:eastAsia="sq-AL"/>
              </w:rPr>
              <w:t>Ministri i Shtetit për Sipërmarrjen dhe Klimën e Biznesit</w:t>
            </w:r>
          </w:p>
        </w:tc>
      </w:tr>
      <w:tr w:rsidR="00677099" w:rsidRPr="00727111" w14:paraId="27697A70" w14:textId="77777777" w:rsidTr="00677099">
        <w:trPr>
          <w:trHeight w:val="180"/>
          <w:jc w:val="center"/>
        </w:trPr>
        <w:tc>
          <w:tcPr>
            <w:tcW w:w="110" w:type="pct"/>
            <w:tcBorders>
              <w:top w:val="single" w:sz="4" w:space="0" w:color="8497B0"/>
              <w:left w:val="single" w:sz="4" w:space="0" w:color="8497B0"/>
              <w:bottom w:val="single" w:sz="4" w:space="0" w:color="8497B0"/>
              <w:right w:val="single" w:sz="4" w:space="0" w:color="8497B0"/>
            </w:tcBorders>
            <w:shd w:val="clear" w:color="000000" w:fill="C00000"/>
            <w:vAlign w:val="center"/>
            <w:hideMark/>
          </w:tcPr>
          <w:p w14:paraId="6A7AB0B3"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Nr.</w:t>
            </w:r>
          </w:p>
        </w:tc>
        <w:tc>
          <w:tcPr>
            <w:tcW w:w="801" w:type="pct"/>
            <w:tcBorders>
              <w:top w:val="single" w:sz="4" w:space="0" w:color="8497B0"/>
              <w:left w:val="nil"/>
              <w:bottom w:val="single" w:sz="4" w:space="0" w:color="8497B0"/>
              <w:right w:val="single" w:sz="4" w:space="0" w:color="8497B0"/>
            </w:tcBorders>
            <w:shd w:val="clear" w:color="000000" w:fill="C00000"/>
            <w:vAlign w:val="center"/>
            <w:hideMark/>
          </w:tcPr>
          <w:p w14:paraId="7FD9A6B7"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Titulli i projektaktit</w:t>
            </w:r>
          </w:p>
        </w:tc>
        <w:tc>
          <w:tcPr>
            <w:tcW w:w="321" w:type="pct"/>
            <w:tcBorders>
              <w:top w:val="single" w:sz="4" w:space="0" w:color="8497B0"/>
              <w:left w:val="nil"/>
              <w:bottom w:val="single" w:sz="4" w:space="0" w:color="8497B0"/>
              <w:right w:val="single" w:sz="4" w:space="0" w:color="8497B0"/>
            </w:tcBorders>
            <w:shd w:val="clear" w:color="000000" w:fill="C00000"/>
            <w:vAlign w:val="center"/>
            <w:hideMark/>
          </w:tcPr>
          <w:p w14:paraId="5BDDC15A"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Lloji i projektaktit</w:t>
            </w:r>
          </w:p>
        </w:tc>
        <w:tc>
          <w:tcPr>
            <w:tcW w:w="401" w:type="pct"/>
            <w:tcBorders>
              <w:top w:val="single" w:sz="4" w:space="0" w:color="8497B0"/>
              <w:left w:val="nil"/>
              <w:bottom w:val="single" w:sz="4" w:space="0" w:color="8497B0"/>
              <w:right w:val="single" w:sz="4" w:space="0" w:color="8497B0"/>
            </w:tcBorders>
            <w:shd w:val="clear" w:color="000000" w:fill="C00000"/>
            <w:vAlign w:val="center"/>
            <w:hideMark/>
          </w:tcPr>
          <w:p w14:paraId="654F71BC"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Ministri propozues</w:t>
            </w:r>
          </w:p>
        </w:tc>
        <w:tc>
          <w:tcPr>
            <w:tcW w:w="310" w:type="pct"/>
            <w:tcBorders>
              <w:top w:val="single" w:sz="4" w:space="0" w:color="8497B0"/>
              <w:left w:val="nil"/>
              <w:bottom w:val="single" w:sz="4" w:space="0" w:color="8497B0"/>
              <w:right w:val="single" w:sz="4" w:space="0" w:color="8497B0"/>
            </w:tcBorders>
            <w:shd w:val="clear" w:color="000000" w:fill="C00000"/>
            <w:vAlign w:val="center"/>
            <w:hideMark/>
          </w:tcPr>
          <w:p w14:paraId="33CB238C"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Katër mujori</w:t>
            </w:r>
          </w:p>
        </w:tc>
        <w:tc>
          <w:tcPr>
            <w:tcW w:w="488" w:type="pct"/>
            <w:tcBorders>
              <w:top w:val="single" w:sz="4" w:space="0" w:color="8497B0"/>
              <w:left w:val="nil"/>
              <w:bottom w:val="single" w:sz="4" w:space="0" w:color="8497B0"/>
              <w:right w:val="single" w:sz="4" w:space="0" w:color="8497B0"/>
            </w:tcBorders>
            <w:shd w:val="clear" w:color="000000" w:fill="C00000"/>
            <w:vAlign w:val="center"/>
            <w:hideMark/>
          </w:tcPr>
          <w:p w14:paraId="131F7B11"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Arsyet kryesore për propozimin e projektaktit</w:t>
            </w:r>
          </w:p>
        </w:tc>
        <w:tc>
          <w:tcPr>
            <w:tcW w:w="688" w:type="pct"/>
            <w:tcBorders>
              <w:top w:val="single" w:sz="4" w:space="0" w:color="8497B0"/>
              <w:left w:val="nil"/>
              <w:bottom w:val="single" w:sz="4" w:space="0" w:color="8497B0"/>
              <w:right w:val="single" w:sz="4" w:space="0" w:color="8497B0"/>
            </w:tcBorders>
            <w:shd w:val="clear" w:color="000000" w:fill="C00000"/>
            <w:vAlign w:val="center"/>
            <w:hideMark/>
          </w:tcPr>
          <w:p w14:paraId="39C10069"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 xml:space="preserve">Çështjet kryesore që parashikon të rregullojë projektakti </w:t>
            </w:r>
          </w:p>
        </w:tc>
        <w:tc>
          <w:tcPr>
            <w:tcW w:w="310" w:type="pct"/>
            <w:tcBorders>
              <w:top w:val="single" w:sz="4" w:space="0" w:color="8497B0"/>
              <w:left w:val="nil"/>
              <w:bottom w:val="single" w:sz="4" w:space="0" w:color="8497B0"/>
              <w:right w:val="single" w:sz="4" w:space="0" w:color="8497B0"/>
            </w:tcBorders>
            <w:shd w:val="clear" w:color="000000" w:fill="C00000"/>
            <w:vAlign w:val="center"/>
            <w:hideMark/>
          </w:tcPr>
          <w:p w14:paraId="3C398FB1"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A është parashikuar projektakti në PKIE?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po, të specifikohet kapitulli përkatës</w:t>
            </w:r>
          </w:p>
        </w:tc>
        <w:tc>
          <w:tcPr>
            <w:tcW w:w="423" w:type="pct"/>
            <w:tcBorders>
              <w:top w:val="single" w:sz="4" w:space="0" w:color="8497B0"/>
              <w:left w:val="nil"/>
              <w:bottom w:val="single" w:sz="4" w:space="0" w:color="8497B0"/>
              <w:right w:val="single" w:sz="4" w:space="0" w:color="8497B0"/>
            </w:tcBorders>
            <w:shd w:val="clear" w:color="000000" w:fill="C00000"/>
            <w:vAlign w:val="center"/>
            <w:hideMark/>
          </w:tcPr>
          <w:p w14:paraId="074A4116"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Përputhshmëria e projektaktit me programin politik qeverisës 2021-2025</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përputhet, të jepet  referenca e saktë në progam</w:t>
            </w:r>
          </w:p>
        </w:tc>
        <w:tc>
          <w:tcPr>
            <w:tcW w:w="529" w:type="pct"/>
            <w:tcBorders>
              <w:top w:val="single" w:sz="4" w:space="0" w:color="8497B0"/>
              <w:left w:val="nil"/>
              <w:bottom w:val="single" w:sz="4" w:space="0" w:color="8497B0"/>
              <w:right w:val="single" w:sz="4" w:space="0" w:color="8497B0"/>
            </w:tcBorders>
            <w:shd w:val="clear" w:color="000000" w:fill="C00000"/>
            <w:vAlign w:val="center"/>
            <w:hideMark/>
          </w:tcPr>
          <w:p w14:paraId="46AF9CEB"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Lidhja e projektaktit me strategjitë kombëtare dhe sektoriale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Nëse lidhet, të specifikohen strategjitë</w:t>
            </w:r>
          </w:p>
        </w:tc>
        <w:tc>
          <w:tcPr>
            <w:tcW w:w="620" w:type="pct"/>
            <w:tcBorders>
              <w:top w:val="single" w:sz="4" w:space="0" w:color="8497B0"/>
              <w:left w:val="nil"/>
              <w:bottom w:val="single" w:sz="4" w:space="0" w:color="8497B0"/>
              <w:right w:val="single" w:sz="4" w:space="0" w:color="8497B0"/>
            </w:tcBorders>
            <w:shd w:val="clear" w:color="000000" w:fill="C00000"/>
            <w:vAlign w:val="center"/>
            <w:hideMark/>
          </w:tcPr>
          <w:p w14:paraId="5A23B87D" w14:textId="77777777" w:rsidR="00677099" w:rsidRPr="00727111" w:rsidRDefault="00677099" w:rsidP="00677099">
            <w:pPr>
              <w:jc w:val="center"/>
              <w:rPr>
                <w:rFonts w:ascii="Garamond" w:hAnsi="Garamond" w:cs="Calibri"/>
                <w:b/>
                <w:bCs/>
                <w:color w:val="FFFFFF"/>
                <w:sz w:val="12"/>
                <w:szCs w:val="12"/>
                <w:lang w:eastAsia="sq-AL"/>
              </w:rPr>
            </w:pPr>
            <w:r w:rsidRPr="00727111">
              <w:rPr>
                <w:rFonts w:ascii="Garamond" w:hAnsi="Garamond" w:cs="Calibri"/>
                <w:b/>
                <w:bCs/>
                <w:color w:val="FFFFFF"/>
                <w:sz w:val="12"/>
                <w:szCs w:val="12"/>
                <w:lang w:eastAsia="sq-AL"/>
              </w:rPr>
              <w:t>Ndikimet e mundshme ekonomike, financiare, sociale dhe mjedisore</w:t>
            </w:r>
            <w:r w:rsidRPr="00727111">
              <w:rPr>
                <w:rFonts w:ascii="Garamond" w:hAnsi="Garamond" w:cs="Calibri"/>
                <w:b/>
                <w:bCs/>
                <w:color w:val="FFFFFF"/>
                <w:sz w:val="12"/>
                <w:szCs w:val="12"/>
                <w:lang w:eastAsia="sq-AL"/>
              </w:rPr>
              <w:br/>
            </w:r>
            <w:r w:rsidRPr="00727111">
              <w:rPr>
                <w:rFonts w:ascii="Garamond" w:hAnsi="Garamond" w:cs="Calibri"/>
                <w:b/>
                <w:bCs/>
                <w:color w:val="FFFFFF"/>
                <w:sz w:val="12"/>
                <w:szCs w:val="12"/>
                <w:lang w:eastAsia="sq-AL"/>
              </w:rPr>
              <w:br/>
              <w:t xml:space="preserve">Përgjigjuni me Po/Jo për ndikimet përkatëse </w:t>
            </w:r>
          </w:p>
        </w:tc>
      </w:tr>
      <w:tr w:rsidR="00677099" w:rsidRPr="00727111" w14:paraId="101BCB35"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148AEB2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1</w:t>
            </w:r>
          </w:p>
        </w:tc>
        <w:tc>
          <w:tcPr>
            <w:tcW w:w="801" w:type="pct"/>
            <w:tcBorders>
              <w:top w:val="nil"/>
              <w:left w:val="nil"/>
              <w:bottom w:val="single" w:sz="4" w:space="0" w:color="8497B0"/>
              <w:right w:val="single" w:sz="4" w:space="0" w:color="8497B0"/>
            </w:tcBorders>
            <w:shd w:val="clear" w:color="auto" w:fill="auto"/>
            <w:vAlign w:val="center"/>
            <w:hideMark/>
          </w:tcPr>
          <w:p w14:paraId="306C60E2"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përcaktimin e rregullave të organizimit dhe funksionimit të Inspektoratit të Përgjithshëm</w:t>
            </w:r>
          </w:p>
        </w:tc>
        <w:tc>
          <w:tcPr>
            <w:tcW w:w="321" w:type="pct"/>
            <w:tcBorders>
              <w:top w:val="nil"/>
              <w:left w:val="nil"/>
              <w:bottom w:val="single" w:sz="4" w:space="0" w:color="8497B0"/>
              <w:right w:val="single" w:sz="4" w:space="0" w:color="8497B0"/>
            </w:tcBorders>
            <w:shd w:val="clear" w:color="auto" w:fill="auto"/>
            <w:vAlign w:val="center"/>
            <w:hideMark/>
          </w:tcPr>
          <w:p w14:paraId="48CD818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0EEF50E5"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0DFF18C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dytë</w:t>
            </w:r>
          </w:p>
        </w:tc>
        <w:tc>
          <w:tcPr>
            <w:tcW w:w="488" w:type="pct"/>
            <w:tcBorders>
              <w:top w:val="nil"/>
              <w:left w:val="nil"/>
              <w:bottom w:val="single" w:sz="4" w:space="0" w:color="8497B0"/>
              <w:right w:val="single" w:sz="4" w:space="0" w:color="8497B0"/>
            </w:tcBorders>
            <w:shd w:val="clear" w:color="auto" w:fill="auto"/>
            <w:vAlign w:val="center"/>
            <w:hideMark/>
          </w:tcPr>
          <w:p w14:paraId="0E66CEAF"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Neni 12 dhe 16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1913C620"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Organizimi, funksionet dhe misioni i Inspektoratit të Përgjithshëm; Detyrat dhe përgjegjësitë e Inspektoratit të Përgjithshëm për inspektorate qendrore dhe ato vendore; Kriteret dhe procedura për përzgjedhjen dhe emërimin e inspektorit të Përgjithshëm dhe zëvendësit; Raportimi i veprimtarive inspektuese.</w:t>
            </w:r>
          </w:p>
        </w:tc>
        <w:tc>
          <w:tcPr>
            <w:tcW w:w="310" w:type="pct"/>
            <w:tcBorders>
              <w:top w:val="nil"/>
              <w:left w:val="nil"/>
              <w:bottom w:val="single" w:sz="4" w:space="0" w:color="8497B0"/>
              <w:right w:val="single" w:sz="4" w:space="0" w:color="8497B0"/>
            </w:tcBorders>
            <w:shd w:val="clear" w:color="auto" w:fill="auto"/>
            <w:vAlign w:val="center"/>
            <w:hideMark/>
          </w:tcPr>
          <w:p w14:paraId="26A4761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auto" w:fill="auto"/>
            <w:vAlign w:val="center"/>
            <w:hideMark/>
          </w:tcPr>
          <w:p w14:paraId="0E53409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 Modernizim për zhvillim</w:t>
            </w:r>
          </w:p>
        </w:tc>
        <w:tc>
          <w:tcPr>
            <w:tcW w:w="529" w:type="pct"/>
            <w:tcBorders>
              <w:top w:val="nil"/>
              <w:left w:val="nil"/>
              <w:bottom w:val="single" w:sz="4" w:space="0" w:color="8497B0"/>
              <w:right w:val="single" w:sz="4" w:space="0" w:color="8497B0"/>
            </w:tcBorders>
            <w:shd w:val="clear" w:color="auto" w:fill="auto"/>
            <w:vAlign w:val="center"/>
            <w:hideMark/>
          </w:tcPr>
          <w:p w14:paraId="2AE20B2B" w14:textId="77777777" w:rsidR="00677099" w:rsidRPr="00727111" w:rsidRDefault="00677099" w:rsidP="006770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të Biznesit dhe Investimeve, 2021-2027</w:t>
            </w:r>
          </w:p>
        </w:tc>
        <w:tc>
          <w:tcPr>
            <w:tcW w:w="620" w:type="pct"/>
            <w:tcBorders>
              <w:top w:val="nil"/>
              <w:left w:val="nil"/>
              <w:bottom w:val="single" w:sz="4" w:space="0" w:color="8497B0"/>
              <w:right w:val="single" w:sz="4" w:space="0" w:color="8497B0"/>
            </w:tcBorders>
            <w:shd w:val="clear" w:color="auto" w:fill="auto"/>
            <w:vAlign w:val="center"/>
            <w:hideMark/>
          </w:tcPr>
          <w:p w14:paraId="3CD34571"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 finaciare, ekonomike dhe sociale</w:t>
            </w:r>
          </w:p>
        </w:tc>
      </w:tr>
      <w:tr w:rsidR="00677099" w:rsidRPr="00727111" w14:paraId="4887DBD4"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154F6AD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2</w:t>
            </w:r>
          </w:p>
        </w:tc>
        <w:tc>
          <w:tcPr>
            <w:tcW w:w="801" w:type="pct"/>
            <w:tcBorders>
              <w:top w:val="nil"/>
              <w:left w:val="nil"/>
              <w:bottom w:val="single" w:sz="4" w:space="0" w:color="8497B0"/>
              <w:right w:val="single" w:sz="4" w:space="0" w:color="8497B0"/>
            </w:tcBorders>
            <w:shd w:val="clear" w:color="auto" w:fill="auto"/>
            <w:vAlign w:val="center"/>
            <w:hideMark/>
          </w:tcPr>
          <w:p w14:paraId="22C2E252"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përcaktimin e institucioneve/strukturave inspektuese që riorganizohen sipas ligjit për inspektimin në Republikën e Shqipërisë</w:t>
            </w:r>
          </w:p>
        </w:tc>
        <w:tc>
          <w:tcPr>
            <w:tcW w:w="321" w:type="pct"/>
            <w:tcBorders>
              <w:top w:val="nil"/>
              <w:left w:val="nil"/>
              <w:bottom w:val="single" w:sz="4" w:space="0" w:color="8497B0"/>
              <w:right w:val="single" w:sz="4" w:space="0" w:color="8497B0"/>
            </w:tcBorders>
            <w:shd w:val="clear" w:color="auto" w:fill="auto"/>
            <w:vAlign w:val="center"/>
            <w:hideMark/>
          </w:tcPr>
          <w:p w14:paraId="29713550"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77170983" w14:textId="77777777" w:rsidR="00677099" w:rsidRPr="00727111" w:rsidRDefault="00677099" w:rsidP="00677099">
            <w:pPr>
              <w:jc w:val="center"/>
              <w:rPr>
                <w:rFonts w:ascii="Garamond" w:hAnsi="Garamond" w:cs="Calibri"/>
                <w:sz w:val="12"/>
                <w:szCs w:val="12"/>
                <w:lang w:eastAsia="sq-AL"/>
              </w:rPr>
            </w:pPr>
            <w:r w:rsidRPr="00727111">
              <w:rPr>
                <w:rFonts w:ascii="Garamond" w:hAnsi="Garamond" w:cs="Calibri"/>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49D4E36C"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dytë</w:t>
            </w:r>
          </w:p>
        </w:tc>
        <w:tc>
          <w:tcPr>
            <w:tcW w:w="488" w:type="pct"/>
            <w:tcBorders>
              <w:top w:val="nil"/>
              <w:left w:val="nil"/>
              <w:bottom w:val="single" w:sz="4" w:space="0" w:color="8497B0"/>
              <w:right w:val="single" w:sz="4" w:space="0" w:color="8497B0"/>
            </w:tcBorders>
            <w:shd w:val="clear" w:color="auto" w:fill="auto"/>
            <w:vAlign w:val="center"/>
            <w:hideMark/>
          </w:tcPr>
          <w:p w14:paraId="07257164"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Neni 3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427BC3EC"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Riorganizimi i inspektorateve dhe strukturave që ushtrojnë funksione inspektuese bazuar në fushat e inspektimit, fushat e lidhura me risqet e ngjashme dhe sipas parimeve të ligjit për inspektimin.</w:t>
            </w:r>
          </w:p>
        </w:tc>
        <w:tc>
          <w:tcPr>
            <w:tcW w:w="310" w:type="pct"/>
            <w:tcBorders>
              <w:top w:val="nil"/>
              <w:left w:val="nil"/>
              <w:bottom w:val="single" w:sz="4" w:space="0" w:color="8497B0"/>
              <w:right w:val="single" w:sz="4" w:space="0" w:color="8497B0"/>
            </w:tcBorders>
            <w:shd w:val="clear" w:color="auto" w:fill="auto"/>
            <w:vAlign w:val="center"/>
            <w:hideMark/>
          </w:tcPr>
          <w:p w14:paraId="2118103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000000" w:fill="FFFFFF"/>
            <w:vAlign w:val="center"/>
            <w:hideMark/>
          </w:tcPr>
          <w:p w14:paraId="33332C3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29" w:type="pct"/>
            <w:tcBorders>
              <w:top w:val="nil"/>
              <w:left w:val="nil"/>
              <w:bottom w:val="single" w:sz="4" w:space="0" w:color="8497B0"/>
              <w:right w:val="single" w:sz="4" w:space="0" w:color="8497B0"/>
            </w:tcBorders>
            <w:shd w:val="clear" w:color="000000" w:fill="FFFFFF"/>
            <w:vAlign w:val="center"/>
            <w:hideMark/>
          </w:tcPr>
          <w:p w14:paraId="4D349EE3"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620" w:type="pct"/>
            <w:tcBorders>
              <w:top w:val="nil"/>
              <w:left w:val="nil"/>
              <w:bottom w:val="single" w:sz="4" w:space="0" w:color="8497B0"/>
              <w:right w:val="single" w:sz="4" w:space="0" w:color="8497B0"/>
            </w:tcBorders>
            <w:shd w:val="clear" w:color="auto" w:fill="auto"/>
            <w:vAlign w:val="center"/>
            <w:hideMark/>
          </w:tcPr>
          <w:p w14:paraId="76C040E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 ekonomike dhe mjedisore</w:t>
            </w:r>
          </w:p>
        </w:tc>
      </w:tr>
      <w:tr w:rsidR="00677099" w:rsidRPr="00727111" w14:paraId="15B8EE74"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1F09271D"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3</w:t>
            </w:r>
          </w:p>
        </w:tc>
        <w:tc>
          <w:tcPr>
            <w:tcW w:w="801" w:type="pct"/>
            <w:tcBorders>
              <w:top w:val="nil"/>
              <w:left w:val="nil"/>
              <w:bottom w:val="single" w:sz="4" w:space="0" w:color="8497B0"/>
              <w:right w:val="single" w:sz="4" w:space="0" w:color="8497B0"/>
            </w:tcBorders>
            <w:shd w:val="clear" w:color="auto" w:fill="auto"/>
            <w:vAlign w:val="center"/>
            <w:hideMark/>
          </w:tcPr>
          <w:p w14:paraId="3D2E47DF"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miratimin e Rregullores së Përgjithshme të metodologjisë së përcaktimit të dënimeve administrative në procesin e inspektimeve</w:t>
            </w:r>
          </w:p>
        </w:tc>
        <w:tc>
          <w:tcPr>
            <w:tcW w:w="321" w:type="pct"/>
            <w:tcBorders>
              <w:top w:val="nil"/>
              <w:left w:val="nil"/>
              <w:bottom w:val="single" w:sz="4" w:space="0" w:color="8497B0"/>
              <w:right w:val="single" w:sz="4" w:space="0" w:color="8497B0"/>
            </w:tcBorders>
            <w:shd w:val="clear" w:color="auto" w:fill="auto"/>
            <w:vAlign w:val="center"/>
            <w:hideMark/>
          </w:tcPr>
          <w:p w14:paraId="338802A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03DB06A2"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049A244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dytë</w:t>
            </w:r>
          </w:p>
        </w:tc>
        <w:tc>
          <w:tcPr>
            <w:tcW w:w="488" w:type="pct"/>
            <w:tcBorders>
              <w:top w:val="nil"/>
              <w:left w:val="nil"/>
              <w:bottom w:val="single" w:sz="4" w:space="0" w:color="8497B0"/>
              <w:right w:val="single" w:sz="4" w:space="0" w:color="8497B0"/>
            </w:tcBorders>
            <w:shd w:val="clear" w:color="auto" w:fill="auto"/>
            <w:vAlign w:val="center"/>
            <w:hideMark/>
          </w:tcPr>
          <w:p w14:paraId="286EB72C"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Neni 44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3A75E4B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Kategorizimi i dënimeve administrative, duke parashikuar dënimin administrativ kryesor “paralajmërim” në inspektimin e parë të trupës inspektuese; përcaktimin e një metodologjie të unifikuar, standardizimin dhe përcaktimin e faktorëve në marrjen e dënimit administrativ; klasifikimin dhe sistematizimin e faktorëve për secilin inspektorat përmes një sistemi pikëzimi; implementimin e metodologjisë së përcaktimit të dënimeve administrative në sistemin elektronik “e-Inspektimi”.</w:t>
            </w:r>
          </w:p>
        </w:tc>
        <w:tc>
          <w:tcPr>
            <w:tcW w:w="310" w:type="pct"/>
            <w:tcBorders>
              <w:top w:val="nil"/>
              <w:left w:val="nil"/>
              <w:bottom w:val="single" w:sz="4" w:space="0" w:color="8497B0"/>
              <w:right w:val="single" w:sz="4" w:space="0" w:color="8497B0"/>
            </w:tcBorders>
            <w:shd w:val="clear" w:color="auto" w:fill="auto"/>
            <w:vAlign w:val="center"/>
            <w:hideMark/>
          </w:tcPr>
          <w:p w14:paraId="57D4BA4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auto" w:fill="auto"/>
            <w:vAlign w:val="center"/>
            <w:hideMark/>
          </w:tcPr>
          <w:p w14:paraId="16FB995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 Modernizim për zhvillim</w:t>
            </w:r>
          </w:p>
        </w:tc>
        <w:tc>
          <w:tcPr>
            <w:tcW w:w="529" w:type="pct"/>
            <w:tcBorders>
              <w:top w:val="nil"/>
              <w:left w:val="nil"/>
              <w:bottom w:val="single" w:sz="4" w:space="0" w:color="8497B0"/>
              <w:right w:val="single" w:sz="4" w:space="0" w:color="8497B0"/>
            </w:tcBorders>
            <w:shd w:val="clear" w:color="auto" w:fill="auto"/>
            <w:vAlign w:val="center"/>
            <w:hideMark/>
          </w:tcPr>
          <w:p w14:paraId="4D36DDD2" w14:textId="77777777" w:rsidR="00677099" w:rsidRPr="00727111" w:rsidRDefault="00677099" w:rsidP="006770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të Biznesit dhe Investimeve, 2021-2027</w:t>
            </w:r>
          </w:p>
        </w:tc>
        <w:tc>
          <w:tcPr>
            <w:tcW w:w="620" w:type="pct"/>
            <w:tcBorders>
              <w:top w:val="nil"/>
              <w:left w:val="nil"/>
              <w:bottom w:val="single" w:sz="4" w:space="0" w:color="8497B0"/>
              <w:right w:val="single" w:sz="4" w:space="0" w:color="8497B0"/>
            </w:tcBorders>
            <w:shd w:val="clear" w:color="auto" w:fill="auto"/>
            <w:vAlign w:val="center"/>
            <w:hideMark/>
          </w:tcPr>
          <w:p w14:paraId="4CE8B01C"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677099" w:rsidRPr="00727111" w14:paraId="38A4287C"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72A0882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4</w:t>
            </w:r>
          </w:p>
        </w:tc>
        <w:tc>
          <w:tcPr>
            <w:tcW w:w="801" w:type="pct"/>
            <w:tcBorders>
              <w:top w:val="nil"/>
              <w:left w:val="nil"/>
              <w:bottom w:val="single" w:sz="4" w:space="0" w:color="8497B0"/>
              <w:right w:val="single" w:sz="4" w:space="0" w:color="8497B0"/>
            </w:tcBorders>
            <w:shd w:val="clear" w:color="auto" w:fill="auto"/>
            <w:vAlign w:val="center"/>
            <w:hideMark/>
          </w:tcPr>
          <w:p w14:paraId="1394C406"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klasifikimin e inspektorëve dhe përcaktimin e kritereve për përzgjedhjen, emërimin, lirimin dhe shkarkimin e kryeinspektorit dhe inspektorit të Inspektoratit të Përgjithshëm dhe inspektoratit qendror</w:t>
            </w:r>
          </w:p>
        </w:tc>
        <w:tc>
          <w:tcPr>
            <w:tcW w:w="321" w:type="pct"/>
            <w:tcBorders>
              <w:top w:val="nil"/>
              <w:left w:val="nil"/>
              <w:bottom w:val="single" w:sz="4" w:space="0" w:color="8497B0"/>
              <w:right w:val="single" w:sz="4" w:space="0" w:color="8497B0"/>
            </w:tcBorders>
            <w:shd w:val="clear" w:color="auto" w:fill="auto"/>
            <w:vAlign w:val="center"/>
            <w:hideMark/>
          </w:tcPr>
          <w:p w14:paraId="4D30CAF5"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63E6FC5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2F6C29B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dytë</w:t>
            </w:r>
          </w:p>
        </w:tc>
        <w:tc>
          <w:tcPr>
            <w:tcW w:w="488" w:type="pct"/>
            <w:tcBorders>
              <w:top w:val="nil"/>
              <w:left w:val="nil"/>
              <w:bottom w:val="single" w:sz="4" w:space="0" w:color="8497B0"/>
              <w:right w:val="single" w:sz="4" w:space="0" w:color="8497B0"/>
            </w:tcBorders>
            <w:shd w:val="clear" w:color="auto" w:fill="auto"/>
            <w:vAlign w:val="center"/>
            <w:hideMark/>
          </w:tcPr>
          <w:p w14:paraId="63893894"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Neni 20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224C8393"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Klasifikimi i niveleve të inspektorëve bazuar në kompetencat, përvojën dhe fushën e tyre të veprimit; standardizimi i kritereve të rekrutimit dhe karrierës; përcaktimi i strukturës, përbërjes dhe funksioneve të komisionit të rekrutimit dhe ecurisë në karrierë; përcaktimi i kritereve të përzgjedhjes së kandidatëve për inspektor dhe metodologjinë që do të ndiqet për vlerësimin e kandidatëve; përcaktimi i kritereve për ngritjen në detyrë.</w:t>
            </w:r>
          </w:p>
        </w:tc>
        <w:tc>
          <w:tcPr>
            <w:tcW w:w="310" w:type="pct"/>
            <w:tcBorders>
              <w:top w:val="nil"/>
              <w:left w:val="nil"/>
              <w:bottom w:val="single" w:sz="4" w:space="0" w:color="8497B0"/>
              <w:right w:val="single" w:sz="4" w:space="0" w:color="8497B0"/>
            </w:tcBorders>
            <w:shd w:val="clear" w:color="auto" w:fill="auto"/>
            <w:vAlign w:val="center"/>
            <w:hideMark/>
          </w:tcPr>
          <w:p w14:paraId="6C6050E7"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000000" w:fill="FFFFFF"/>
            <w:vAlign w:val="center"/>
            <w:hideMark/>
          </w:tcPr>
          <w:p w14:paraId="460C9817"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29" w:type="pct"/>
            <w:tcBorders>
              <w:top w:val="nil"/>
              <w:left w:val="nil"/>
              <w:bottom w:val="single" w:sz="4" w:space="0" w:color="8497B0"/>
              <w:right w:val="single" w:sz="4" w:space="0" w:color="8497B0"/>
            </w:tcBorders>
            <w:shd w:val="clear" w:color="000000" w:fill="FFFFFF"/>
            <w:vAlign w:val="center"/>
            <w:hideMark/>
          </w:tcPr>
          <w:p w14:paraId="6C339307"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620" w:type="pct"/>
            <w:tcBorders>
              <w:top w:val="nil"/>
              <w:left w:val="nil"/>
              <w:bottom w:val="single" w:sz="4" w:space="0" w:color="8497B0"/>
              <w:right w:val="single" w:sz="4" w:space="0" w:color="8497B0"/>
            </w:tcBorders>
            <w:shd w:val="clear" w:color="auto" w:fill="auto"/>
            <w:vAlign w:val="center"/>
            <w:hideMark/>
          </w:tcPr>
          <w:p w14:paraId="119C6A3C"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677099" w:rsidRPr="00727111" w14:paraId="7759E231"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0CB1E8B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5</w:t>
            </w:r>
          </w:p>
        </w:tc>
        <w:tc>
          <w:tcPr>
            <w:tcW w:w="801" w:type="pct"/>
            <w:tcBorders>
              <w:top w:val="nil"/>
              <w:left w:val="nil"/>
              <w:bottom w:val="single" w:sz="4" w:space="0" w:color="8497B0"/>
              <w:right w:val="single" w:sz="4" w:space="0" w:color="8497B0"/>
            </w:tcBorders>
            <w:shd w:val="clear" w:color="auto" w:fill="auto"/>
            <w:vAlign w:val="center"/>
            <w:hideMark/>
          </w:tcPr>
          <w:p w14:paraId="2039EC95"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miratimin e rregullave të hollësishme për funksionimin dhe organizimin e Komisionit të Shqyrtimit të Ankimit</w:t>
            </w:r>
          </w:p>
        </w:tc>
        <w:tc>
          <w:tcPr>
            <w:tcW w:w="321" w:type="pct"/>
            <w:tcBorders>
              <w:top w:val="nil"/>
              <w:left w:val="nil"/>
              <w:bottom w:val="single" w:sz="4" w:space="0" w:color="8497B0"/>
              <w:right w:val="single" w:sz="4" w:space="0" w:color="8497B0"/>
            </w:tcBorders>
            <w:shd w:val="clear" w:color="auto" w:fill="auto"/>
            <w:vAlign w:val="center"/>
            <w:hideMark/>
          </w:tcPr>
          <w:p w14:paraId="6935CEC4"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504A2FB6"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4915324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dytë</w:t>
            </w:r>
          </w:p>
        </w:tc>
        <w:tc>
          <w:tcPr>
            <w:tcW w:w="488" w:type="pct"/>
            <w:tcBorders>
              <w:top w:val="nil"/>
              <w:left w:val="nil"/>
              <w:bottom w:val="single" w:sz="4" w:space="0" w:color="8497B0"/>
              <w:right w:val="single" w:sz="4" w:space="0" w:color="8497B0"/>
            </w:tcBorders>
            <w:shd w:val="clear" w:color="auto" w:fill="auto"/>
            <w:vAlign w:val="center"/>
            <w:hideMark/>
          </w:tcPr>
          <w:p w14:paraId="4D36D3D7" w14:textId="77777777" w:rsidR="00677099" w:rsidRPr="00727111" w:rsidRDefault="00677099" w:rsidP="00677099">
            <w:pPr>
              <w:jc w:val="center"/>
              <w:rPr>
                <w:rFonts w:ascii="Garamond" w:hAnsi="Garamond" w:cs="Calibri"/>
                <w:sz w:val="12"/>
                <w:szCs w:val="12"/>
                <w:lang w:eastAsia="sq-AL"/>
              </w:rPr>
            </w:pPr>
            <w:r w:rsidRPr="00727111">
              <w:rPr>
                <w:rFonts w:ascii="Garamond" w:hAnsi="Garamond" w:cs="Calibri"/>
                <w:sz w:val="12"/>
                <w:szCs w:val="12"/>
                <w:lang w:eastAsia="sq-AL"/>
              </w:rPr>
              <w:t>Neni 55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4B69B73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Funksionimi efektiv dhe i drejtë i komisionit të shqyrtimit të ankimit, përbërja dhe përgjegjësitë e komisionit; procedura dhe afatet për shqyrtimin e ankimit; kriteret e pranueshmërisë së ankimit; transparenca dhe komunikimi i vendimeve; dokumentimi dhe arkivimi i vendimeve.</w:t>
            </w:r>
          </w:p>
        </w:tc>
        <w:tc>
          <w:tcPr>
            <w:tcW w:w="310" w:type="pct"/>
            <w:tcBorders>
              <w:top w:val="nil"/>
              <w:left w:val="nil"/>
              <w:bottom w:val="single" w:sz="4" w:space="0" w:color="8497B0"/>
              <w:right w:val="single" w:sz="4" w:space="0" w:color="8497B0"/>
            </w:tcBorders>
            <w:shd w:val="clear" w:color="auto" w:fill="auto"/>
            <w:vAlign w:val="center"/>
            <w:hideMark/>
          </w:tcPr>
          <w:p w14:paraId="31A6D090"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000000" w:fill="FFFFFF"/>
            <w:vAlign w:val="center"/>
            <w:hideMark/>
          </w:tcPr>
          <w:p w14:paraId="679BE965"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29" w:type="pct"/>
            <w:tcBorders>
              <w:top w:val="nil"/>
              <w:left w:val="nil"/>
              <w:bottom w:val="single" w:sz="4" w:space="0" w:color="8497B0"/>
              <w:right w:val="single" w:sz="4" w:space="0" w:color="8497B0"/>
            </w:tcBorders>
            <w:shd w:val="clear" w:color="000000" w:fill="FFFFFF"/>
            <w:vAlign w:val="center"/>
            <w:hideMark/>
          </w:tcPr>
          <w:p w14:paraId="6355B3A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Strategjia e Zhvillimit të Biznesit dhe Investimeve, 2021-2027</w:t>
            </w:r>
          </w:p>
        </w:tc>
        <w:tc>
          <w:tcPr>
            <w:tcW w:w="620" w:type="pct"/>
            <w:tcBorders>
              <w:top w:val="nil"/>
              <w:left w:val="nil"/>
              <w:bottom w:val="single" w:sz="4" w:space="0" w:color="8497B0"/>
              <w:right w:val="single" w:sz="4" w:space="0" w:color="8497B0"/>
            </w:tcBorders>
            <w:shd w:val="clear" w:color="auto" w:fill="auto"/>
            <w:vAlign w:val="center"/>
            <w:hideMark/>
          </w:tcPr>
          <w:p w14:paraId="69DA50C7"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 finaciare dhe ekonomike</w:t>
            </w:r>
          </w:p>
        </w:tc>
      </w:tr>
      <w:tr w:rsidR="00677099" w:rsidRPr="00727111" w14:paraId="5AE2B537"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4E477453"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6</w:t>
            </w:r>
          </w:p>
        </w:tc>
        <w:tc>
          <w:tcPr>
            <w:tcW w:w="801" w:type="pct"/>
            <w:tcBorders>
              <w:top w:val="nil"/>
              <w:left w:val="nil"/>
              <w:bottom w:val="single" w:sz="4" w:space="0" w:color="8497B0"/>
              <w:right w:val="single" w:sz="4" w:space="0" w:color="8497B0"/>
            </w:tcBorders>
            <w:shd w:val="clear" w:color="auto" w:fill="auto"/>
            <w:vAlign w:val="center"/>
            <w:hideMark/>
          </w:tcPr>
          <w:p w14:paraId="26467E2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miratimin e Rregullores "Për funksionimin, organizimin dhe përbërjen e Bordit të Inspektimeve</w:t>
            </w:r>
          </w:p>
        </w:tc>
        <w:tc>
          <w:tcPr>
            <w:tcW w:w="321" w:type="pct"/>
            <w:tcBorders>
              <w:top w:val="nil"/>
              <w:left w:val="nil"/>
              <w:bottom w:val="single" w:sz="4" w:space="0" w:color="8497B0"/>
              <w:right w:val="single" w:sz="4" w:space="0" w:color="8497B0"/>
            </w:tcBorders>
            <w:shd w:val="clear" w:color="auto" w:fill="auto"/>
            <w:vAlign w:val="center"/>
            <w:hideMark/>
          </w:tcPr>
          <w:p w14:paraId="79635F02"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7440C7AF"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74397D6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dytë</w:t>
            </w:r>
          </w:p>
        </w:tc>
        <w:tc>
          <w:tcPr>
            <w:tcW w:w="488" w:type="pct"/>
            <w:tcBorders>
              <w:top w:val="nil"/>
              <w:left w:val="nil"/>
              <w:bottom w:val="single" w:sz="4" w:space="0" w:color="8497B0"/>
              <w:right w:val="single" w:sz="4" w:space="0" w:color="8497B0"/>
            </w:tcBorders>
            <w:shd w:val="clear" w:color="auto" w:fill="auto"/>
            <w:vAlign w:val="center"/>
            <w:hideMark/>
          </w:tcPr>
          <w:p w14:paraId="5C8DE4B6" w14:textId="77777777" w:rsidR="00677099" w:rsidRPr="00727111" w:rsidRDefault="00677099" w:rsidP="00677099">
            <w:pPr>
              <w:jc w:val="center"/>
              <w:rPr>
                <w:rFonts w:ascii="Garamond" w:hAnsi="Garamond" w:cs="Calibri"/>
                <w:sz w:val="12"/>
                <w:szCs w:val="12"/>
                <w:lang w:eastAsia="sq-AL"/>
              </w:rPr>
            </w:pPr>
            <w:r w:rsidRPr="00727111">
              <w:rPr>
                <w:rFonts w:ascii="Garamond" w:hAnsi="Garamond" w:cs="Calibri"/>
                <w:sz w:val="12"/>
                <w:szCs w:val="12"/>
                <w:lang w:eastAsia="sq-AL"/>
              </w:rPr>
              <w:t>Neni 14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4A8C0EC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Mënyra e funksionimit dhe organizimit të Bordit të Inspektimeve, përbërja dhe emërimi i anëtarëve; kompetencat dhe detyrat e bordit; procedura e marrjes së vendimeve nga anëtarët e bordit; raportimi dhe dokumentimi i veprimtarive inspektuese përpara bordit.</w:t>
            </w:r>
          </w:p>
        </w:tc>
        <w:tc>
          <w:tcPr>
            <w:tcW w:w="310" w:type="pct"/>
            <w:tcBorders>
              <w:top w:val="nil"/>
              <w:left w:val="nil"/>
              <w:bottom w:val="single" w:sz="4" w:space="0" w:color="8497B0"/>
              <w:right w:val="single" w:sz="4" w:space="0" w:color="8497B0"/>
            </w:tcBorders>
            <w:shd w:val="clear" w:color="auto" w:fill="auto"/>
            <w:vAlign w:val="center"/>
            <w:hideMark/>
          </w:tcPr>
          <w:p w14:paraId="7A1FE160"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000000" w:fill="FFFFFF"/>
            <w:vAlign w:val="center"/>
            <w:hideMark/>
          </w:tcPr>
          <w:p w14:paraId="34160E1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29" w:type="pct"/>
            <w:tcBorders>
              <w:top w:val="nil"/>
              <w:left w:val="nil"/>
              <w:bottom w:val="single" w:sz="4" w:space="0" w:color="8497B0"/>
              <w:right w:val="single" w:sz="4" w:space="0" w:color="8497B0"/>
            </w:tcBorders>
            <w:shd w:val="clear" w:color="auto" w:fill="auto"/>
            <w:vAlign w:val="center"/>
            <w:hideMark/>
          </w:tcPr>
          <w:p w14:paraId="4D27900D" w14:textId="77777777" w:rsidR="00677099" w:rsidRPr="00727111" w:rsidRDefault="00677099" w:rsidP="006770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të Biznesit dhe Investimeve, 2021-2027</w:t>
            </w:r>
          </w:p>
        </w:tc>
        <w:tc>
          <w:tcPr>
            <w:tcW w:w="620" w:type="pct"/>
            <w:tcBorders>
              <w:top w:val="nil"/>
              <w:left w:val="nil"/>
              <w:bottom w:val="single" w:sz="4" w:space="0" w:color="8497B0"/>
              <w:right w:val="single" w:sz="4" w:space="0" w:color="8497B0"/>
            </w:tcBorders>
            <w:shd w:val="clear" w:color="auto" w:fill="auto"/>
            <w:vAlign w:val="center"/>
            <w:hideMark/>
          </w:tcPr>
          <w:p w14:paraId="01CE1AB1"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 financiare dhe ekonomike</w:t>
            </w:r>
          </w:p>
        </w:tc>
      </w:tr>
      <w:tr w:rsidR="00677099" w:rsidRPr="00727111" w14:paraId="2C9B330C"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464EF2AC"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7</w:t>
            </w:r>
          </w:p>
        </w:tc>
        <w:tc>
          <w:tcPr>
            <w:tcW w:w="801" w:type="pct"/>
            <w:tcBorders>
              <w:top w:val="nil"/>
              <w:left w:val="nil"/>
              <w:bottom w:val="single" w:sz="4" w:space="0" w:color="8497B0"/>
              <w:right w:val="single" w:sz="4" w:space="0" w:color="8497B0"/>
            </w:tcBorders>
            <w:shd w:val="clear" w:color="auto" w:fill="auto"/>
            <w:vAlign w:val="center"/>
            <w:hideMark/>
          </w:tcPr>
          <w:p w14:paraId="5DC08C5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mënyrën e bashkëpunimit, shkëmbimin e informacionit dhe rregullave e procedurave gjatë ushtrimit të veprimtarisë së inspektimit në fushën tatimore për verifikimin në terren</w:t>
            </w:r>
          </w:p>
        </w:tc>
        <w:tc>
          <w:tcPr>
            <w:tcW w:w="321" w:type="pct"/>
            <w:tcBorders>
              <w:top w:val="nil"/>
              <w:left w:val="nil"/>
              <w:bottom w:val="single" w:sz="4" w:space="0" w:color="8497B0"/>
              <w:right w:val="single" w:sz="4" w:space="0" w:color="8497B0"/>
            </w:tcBorders>
            <w:shd w:val="clear" w:color="auto" w:fill="auto"/>
            <w:vAlign w:val="center"/>
            <w:hideMark/>
          </w:tcPr>
          <w:p w14:paraId="3ED50055"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0C7A9A1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ministri i Shtetit për Sipërmarrjen dhe Klimën e Biznesit </w:t>
            </w:r>
          </w:p>
        </w:tc>
        <w:tc>
          <w:tcPr>
            <w:tcW w:w="310" w:type="pct"/>
            <w:tcBorders>
              <w:top w:val="nil"/>
              <w:left w:val="nil"/>
              <w:bottom w:val="single" w:sz="4" w:space="0" w:color="8497B0"/>
              <w:right w:val="single" w:sz="4" w:space="0" w:color="8497B0"/>
            </w:tcBorders>
            <w:shd w:val="clear" w:color="auto" w:fill="auto"/>
            <w:vAlign w:val="center"/>
            <w:hideMark/>
          </w:tcPr>
          <w:p w14:paraId="56763CB2"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tretë</w:t>
            </w:r>
          </w:p>
        </w:tc>
        <w:tc>
          <w:tcPr>
            <w:tcW w:w="488" w:type="pct"/>
            <w:tcBorders>
              <w:top w:val="nil"/>
              <w:left w:val="nil"/>
              <w:bottom w:val="single" w:sz="4" w:space="0" w:color="8497B0"/>
              <w:right w:val="single" w:sz="4" w:space="0" w:color="8497B0"/>
            </w:tcBorders>
            <w:shd w:val="clear" w:color="auto" w:fill="auto"/>
            <w:vAlign w:val="center"/>
            <w:hideMark/>
          </w:tcPr>
          <w:p w14:paraId="1103586D" w14:textId="77777777" w:rsidR="00677099" w:rsidRPr="00727111" w:rsidRDefault="00677099" w:rsidP="00677099">
            <w:pPr>
              <w:jc w:val="center"/>
              <w:rPr>
                <w:rFonts w:ascii="Garamond" w:hAnsi="Garamond" w:cs="Calibri"/>
                <w:sz w:val="12"/>
                <w:szCs w:val="12"/>
                <w:lang w:eastAsia="sq-AL"/>
              </w:rPr>
            </w:pPr>
            <w:r w:rsidRPr="00727111">
              <w:rPr>
                <w:rFonts w:ascii="Garamond" w:hAnsi="Garamond" w:cs="Calibri"/>
                <w:sz w:val="12"/>
                <w:szCs w:val="12"/>
                <w:lang w:eastAsia="sq-AL"/>
              </w:rPr>
              <w:t>Neni 3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48640651"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Unifikimi dhe standardizimi i procedurave inspektuese edhe nga inspektimi në fushën tatimore nga sektori i verifikimit në terren; parimet e veprimtarisë inspektuese tatimore në terren; mënyra e bashkëpunimit; shkëmbimi i informacionit; përcaktimi i rregullave dhe procedurave për inspektimin.</w:t>
            </w:r>
          </w:p>
        </w:tc>
        <w:tc>
          <w:tcPr>
            <w:tcW w:w="310" w:type="pct"/>
            <w:tcBorders>
              <w:top w:val="nil"/>
              <w:left w:val="nil"/>
              <w:bottom w:val="single" w:sz="4" w:space="0" w:color="8497B0"/>
              <w:right w:val="single" w:sz="4" w:space="0" w:color="8497B0"/>
            </w:tcBorders>
            <w:shd w:val="clear" w:color="auto" w:fill="auto"/>
            <w:vAlign w:val="center"/>
            <w:hideMark/>
          </w:tcPr>
          <w:p w14:paraId="40533E86"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000000" w:fill="FFFFFF"/>
            <w:vAlign w:val="center"/>
            <w:hideMark/>
          </w:tcPr>
          <w:p w14:paraId="54926023"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29" w:type="pct"/>
            <w:tcBorders>
              <w:top w:val="nil"/>
              <w:left w:val="nil"/>
              <w:bottom w:val="single" w:sz="4" w:space="0" w:color="8497B0"/>
              <w:right w:val="single" w:sz="4" w:space="0" w:color="8497B0"/>
            </w:tcBorders>
            <w:shd w:val="clear" w:color="auto" w:fill="auto"/>
            <w:vAlign w:val="center"/>
            <w:hideMark/>
          </w:tcPr>
          <w:p w14:paraId="0E7F072B" w14:textId="77777777" w:rsidR="00677099" w:rsidRPr="00727111" w:rsidRDefault="00677099" w:rsidP="006770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të Biznesit dhe Investimeve, 2021-2027</w:t>
            </w:r>
          </w:p>
        </w:tc>
        <w:tc>
          <w:tcPr>
            <w:tcW w:w="620" w:type="pct"/>
            <w:tcBorders>
              <w:top w:val="nil"/>
              <w:left w:val="nil"/>
              <w:bottom w:val="single" w:sz="4" w:space="0" w:color="8497B0"/>
              <w:right w:val="single" w:sz="4" w:space="0" w:color="8497B0"/>
            </w:tcBorders>
            <w:shd w:val="clear" w:color="auto" w:fill="auto"/>
            <w:vAlign w:val="center"/>
            <w:hideMark/>
          </w:tcPr>
          <w:p w14:paraId="3A42B80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677099" w:rsidRPr="00727111" w14:paraId="3305ADD0"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59021DE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8</w:t>
            </w:r>
          </w:p>
        </w:tc>
        <w:tc>
          <w:tcPr>
            <w:tcW w:w="801" w:type="pct"/>
            <w:tcBorders>
              <w:top w:val="nil"/>
              <w:left w:val="nil"/>
              <w:bottom w:val="single" w:sz="4" w:space="0" w:color="8497B0"/>
              <w:right w:val="single" w:sz="4" w:space="0" w:color="8497B0"/>
            </w:tcBorders>
            <w:shd w:val="clear" w:color="auto" w:fill="auto"/>
            <w:vAlign w:val="center"/>
            <w:hideMark/>
          </w:tcPr>
          <w:p w14:paraId="41426995"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përcaktimin e procedurave dhe rregullave për administrimin e sistemit elektronik "e-Inspektimi" nga Inspektorati i Përgjithshëm, mbikëqyrjen online dhe në terren dhe raportimin</w:t>
            </w:r>
          </w:p>
        </w:tc>
        <w:tc>
          <w:tcPr>
            <w:tcW w:w="321" w:type="pct"/>
            <w:tcBorders>
              <w:top w:val="nil"/>
              <w:left w:val="nil"/>
              <w:bottom w:val="single" w:sz="4" w:space="0" w:color="8497B0"/>
              <w:right w:val="single" w:sz="4" w:space="0" w:color="8497B0"/>
            </w:tcBorders>
            <w:shd w:val="clear" w:color="auto" w:fill="auto"/>
            <w:vAlign w:val="center"/>
            <w:hideMark/>
          </w:tcPr>
          <w:p w14:paraId="2BD94F3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4AC10C3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6AFF1B0F"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tretë</w:t>
            </w:r>
          </w:p>
        </w:tc>
        <w:tc>
          <w:tcPr>
            <w:tcW w:w="488" w:type="pct"/>
            <w:tcBorders>
              <w:top w:val="nil"/>
              <w:left w:val="nil"/>
              <w:bottom w:val="single" w:sz="4" w:space="0" w:color="8497B0"/>
              <w:right w:val="single" w:sz="4" w:space="0" w:color="8497B0"/>
            </w:tcBorders>
            <w:shd w:val="clear" w:color="auto" w:fill="auto"/>
            <w:vAlign w:val="center"/>
            <w:hideMark/>
          </w:tcPr>
          <w:p w14:paraId="57BDF04E" w14:textId="77777777" w:rsidR="00677099" w:rsidRPr="00727111" w:rsidRDefault="00677099" w:rsidP="00677099">
            <w:pPr>
              <w:jc w:val="center"/>
              <w:rPr>
                <w:rFonts w:ascii="Garamond" w:hAnsi="Garamond" w:cs="Calibri"/>
                <w:sz w:val="12"/>
                <w:szCs w:val="12"/>
                <w:lang w:eastAsia="sq-AL"/>
              </w:rPr>
            </w:pPr>
            <w:r w:rsidRPr="00727111">
              <w:rPr>
                <w:rFonts w:ascii="Garamond" w:hAnsi="Garamond" w:cs="Calibri"/>
                <w:sz w:val="12"/>
                <w:szCs w:val="12"/>
                <w:lang w:eastAsia="sq-AL"/>
              </w:rPr>
              <w:t>Neni 13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2CB8C2D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Procedurat e mbikëqyrjes së inspektimeve në sistemin elektronik “e-Inspektimi” dhe në terren;  rregullat për dokumentimin e veprimtarisë inspektuese; bashkërendimi dhe koordinimi i veprimtarive inspektuese; mbikëqyrja online dhe në terren, raportimi.</w:t>
            </w:r>
          </w:p>
        </w:tc>
        <w:tc>
          <w:tcPr>
            <w:tcW w:w="310" w:type="pct"/>
            <w:tcBorders>
              <w:top w:val="nil"/>
              <w:left w:val="nil"/>
              <w:bottom w:val="single" w:sz="4" w:space="0" w:color="8497B0"/>
              <w:right w:val="single" w:sz="4" w:space="0" w:color="8497B0"/>
            </w:tcBorders>
            <w:shd w:val="clear" w:color="auto" w:fill="auto"/>
            <w:vAlign w:val="center"/>
            <w:hideMark/>
          </w:tcPr>
          <w:p w14:paraId="47189305"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auto" w:fill="auto"/>
            <w:vAlign w:val="center"/>
            <w:hideMark/>
          </w:tcPr>
          <w:p w14:paraId="14CCEE87"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 Modernizim për zhvillim</w:t>
            </w:r>
          </w:p>
        </w:tc>
        <w:tc>
          <w:tcPr>
            <w:tcW w:w="529" w:type="pct"/>
            <w:tcBorders>
              <w:top w:val="nil"/>
              <w:left w:val="nil"/>
              <w:bottom w:val="single" w:sz="4" w:space="0" w:color="8497B0"/>
              <w:right w:val="single" w:sz="4" w:space="0" w:color="8497B0"/>
            </w:tcBorders>
            <w:shd w:val="clear" w:color="auto" w:fill="auto"/>
            <w:vAlign w:val="center"/>
            <w:hideMark/>
          </w:tcPr>
          <w:p w14:paraId="14E75E01" w14:textId="77777777" w:rsidR="00677099" w:rsidRPr="00727111" w:rsidRDefault="00677099" w:rsidP="006770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të Biznesit dhe Investimeve, 2021-2027</w:t>
            </w:r>
          </w:p>
        </w:tc>
        <w:tc>
          <w:tcPr>
            <w:tcW w:w="620" w:type="pct"/>
            <w:tcBorders>
              <w:top w:val="nil"/>
              <w:left w:val="nil"/>
              <w:bottom w:val="single" w:sz="4" w:space="0" w:color="8497B0"/>
              <w:right w:val="single" w:sz="4" w:space="0" w:color="8497B0"/>
            </w:tcBorders>
            <w:shd w:val="clear" w:color="auto" w:fill="auto"/>
            <w:vAlign w:val="center"/>
            <w:hideMark/>
          </w:tcPr>
          <w:p w14:paraId="0B0DFF3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Po, financiare </w:t>
            </w:r>
          </w:p>
        </w:tc>
      </w:tr>
      <w:tr w:rsidR="00677099" w:rsidRPr="00727111" w14:paraId="07FEE67F"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7BE9D88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9</w:t>
            </w:r>
          </w:p>
        </w:tc>
        <w:tc>
          <w:tcPr>
            <w:tcW w:w="801" w:type="pct"/>
            <w:tcBorders>
              <w:top w:val="nil"/>
              <w:left w:val="nil"/>
              <w:bottom w:val="single" w:sz="4" w:space="0" w:color="8497B0"/>
              <w:right w:val="single" w:sz="4" w:space="0" w:color="8497B0"/>
            </w:tcBorders>
            <w:shd w:val="clear" w:color="auto" w:fill="auto"/>
            <w:vAlign w:val="center"/>
            <w:hideMark/>
          </w:tcPr>
          <w:p w14:paraId="5525B12D"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vlerësimin e rezultateve në punë të inspektorit, si dhe përfitimin dhe përditësimin e njohurive shtesë</w:t>
            </w:r>
          </w:p>
        </w:tc>
        <w:tc>
          <w:tcPr>
            <w:tcW w:w="321" w:type="pct"/>
            <w:tcBorders>
              <w:top w:val="nil"/>
              <w:left w:val="nil"/>
              <w:bottom w:val="single" w:sz="4" w:space="0" w:color="8497B0"/>
              <w:right w:val="single" w:sz="4" w:space="0" w:color="8497B0"/>
            </w:tcBorders>
            <w:shd w:val="clear" w:color="auto" w:fill="auto"/>
            <w:vAlign w:val="center"/>
            <w:hideMark/>
          </w:tcPr>
          <w:p w14:paraId="220AF346"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19239BCC"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061CB303"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tretë</w:t>
            </w:r>
          </w:p>
        </w:tc>
        <w:tc>
          <w:tcPr>
            <w:tcW w:w="488" w:type="pct"/>
            <w:tcBorders>
              <w:top w:val="nil"/>
              <w:left w:val="nil"/>
              <w:bottom w:val="single" w:sz="4" w:space="0" w:color="8497B0"/>
              <w:right w:val="single" w:sz="4" w:space="0" w:color="8497B0"/>
            </w:tcBorders>
            <w:shd w:val="clear" w:color="auto" w:fill="auto"/>
            <w:vAlign w:val="center"/>
            <w:hideMark/>
          </w:tcPr>
          <w:p w14:paraId="160C1BA9" w14:textId="77777777" w:rsidR="00677099" w:rsidRPr="00727111" w:rsidRDefault="00677099" w:rsidP="00677099">
            <w:pPr>
              <w:jc w:val="center"/>
              <w:rPr>
                <w:rFonts w:ascii="Garamond" w:hAnsi="Garamond" w:cs="Calibri"/>
                <w:sz w:val="12"/>
                <w:szCs w:val="12"/>
                <w:lang w:eastAsia="sq-AL"/>
              </w:rPr>
            </w:pPr>
            <w:r w:rsidRPr="00727111">
              <w:rPr>
                <w:rFonts w:ascii="Garamond" w:hAnsi="Garamond" w:cs="Calibri"/>
                <w:sz w:val="12"/>
                <w:szCs w:val="12"/>
                <w:lang w:eastAsia="sq-AL"/>
              </w:rPr>
              <w:t>Neni 20, 21 dhe 23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698DE441"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Kriteret e vlerësimit të inspektorëve të Inspektoratit të Përgjithshëm dhe inspektorateve qendrore, metodologjia e vlerësimit; vlerësimi i bazuar në rezultate dhe objektiva; përcaktimi i nevojave për trajnim dhe zhvillim profesional; trajnimi, testimi dhe certifikimi i inspektorëve.</w:t>
            </w:r>
          </w:p>
        </w:tc>
        <w:tc>
          <w:tcPr>
            <w:tcW w:w="310" w:type="pct"/>
            <w:tcBorders>
              <w:top w:val="nil"/>
              <w:left w:val="nil"/>
              <w:bottom w:val="single" w:sz="4" w:space="0" w:color="8497B0"/>
              <w:right w:val="single" w:sz="4" w:space="0" w:color="8497B0"/>
            </w:tcBorders>
            <w:shd w:val="clear" w:color="auto" w:fill="auto"/>
            <w:vAlign w:val="center"/>
            <w:hideMark/>
          </w:tcPr>
          <w:p w14:paraId="037A84D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000000" w:fill="FFFFFF"/>
            <w:vAlign w:val="center"/>
            <w:hideMark/>
          </w:tcPr>
          <w:p w14:paraId="0E4786F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29" w:type="pct"/>
            <w:tcBorders>
              <w:top w:val="nil"/>
              <w:left w:val="nil"/>
              <w:bottom w:val="single" w:sz="4" w:space="0" w:color="8497B0"/>
              <w:right w:val="single" w:sz="4" w:space="0" w:color="8497B0"/>
            </w:tcBorders>
            <w:shd w:val="clear" w:color="000000" w:fill="FFFFFF"/>
            <w:vAlign w:val="center"/>
            <w:hideMark/>
          </w:tcPr>
          <w:p w14:paraId="6911C7E2"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620" w:type="pct"/>
            <w:tcBorders>
              <w:top w:val="nil"/>
              <w:left w:val="nil"/>
              <w:bottom w:val="single" w:sz="4" w:space="0" w:color="8497B0"/>
              <w:right w:val="single" w:sz="4" w:space="0" w:color="8497B0"/>
            </w:tcBorders>
            <w:shd w:val="clear" w:color="auto" w:fill="auto"/>
            <w:vAlign w:val="center"/>
            <w:hideMark/>
          </w:tcPr>
          <w:p w14:paraId="6A2E299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677099" w:rsidRPr="00727111" w14:paraId="30E30457"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58DD38AD"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10</w:t>
            </w:r>
          </w:p>
        </w:tc>
        <w:tc>
          <w:tcPr>
            <w:tcW w:w="801" w:type="pct"/>
            <w:tcBorders>
              <w:top w:val="nil"/>
              <w:left w:val="nil"/>
              <w:bottom w:val="single" w:sz="4" w:space="0" w:color="8497B0"/>
              <w:right w:val="single" w:sz="4" w:space="0" w:color="8497B0"/>
            </w:tcBorders>
            <w:shd w:val="clear" w:color="auto" w:fill="auto"/>
            <w:vAlign w:val="center"/>
            <w:hideMark/>
          </w:tcPr>
          <w:p w14:paraId="39D43AEF"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përcaktimin e llojeve dhe procedurave të masave disiplinore dhe të rregullave për ngritjen, përbërjen dhe vendimmarrjen e Komisionit Disiplinor për kryeinspektorin dhe inspektorin</w:t>
            </w:r>
          </w:p>
        </w:tc>
        <w:tc>
          <w:tcPr>
            <w:tcW w:w="321" w:type="pct"/>
            <w:tcBorders>
              <w:top w:val="nil"/>
              <w:left w:val="nil"/>
              <w:bottom w:val="single" w:sz="4" w:space="0" w:color="8497B0"/>
              <w:right w:val="single" w:sz="4" w:space="0" w:color="8497B0"/>
            </w:tcBorders>
            <w:shd w:val="clear" w:color="auto" w:fill="auto"/>
            <w:vAlign w:val="center"/>
            <w:hideMark/>
          </w:tcPr>
          <w:p w14:paraId="1DE5C6D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130A85D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15BD717C"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tretë</w:t>
            </w:r>
          </w:p>
        </w:tc>
        <w:tc>
          <w:tcPr>
            <w:tcW w:w="488" w:type="pct"/>
            <w:tcBorders>
              <w:top w:val="nil"/>
              <w:left w:val="nil"/>
              <w:bottom w:val="single" w:sz="4" w:space="0" w:color="8497B0"/>
              <w:right w:val="single" w:sz="4" w:space="0" w:color="8497B0"/>
            </w:tcBorders>
            <w:shd w:val="clear" w:color="auto" w:fill="auto"/>
            <w:vAlign w:val="center"/>
            <w:hideMark/>
          </w:tcPr>
          <w:p w14:paraId="1FB75680"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Neni 20 dhe 22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577E25A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 xml:space="preserve">Çështjet që lidhen me përgjegjësinë disiplinore, organet disiplinore, llojet dhe procedurat e masave disiplinore që mund të zbatohen ndaj kryeinspektorit, inspektorit qendror/rajonal dhe inspektorit të Inspektoratit të Përgjithshëm, parimet për vendosjen e masës disiplinore, duke vendosur theksin në parimin e proporcionalitetit, ankimi dhe afatet. </w:t>
            </w:r>
          </w:p>
        </w:tc>
        <w:tc>
          <w:tcPr>
            <w:tcW w:w="310" w:type="pct"/>
            <w:tcBorders>
              <w:top w:val="nil"/>
              <w:left w:val="nil"/>
              <w:bottom w:val="single" w:sz="4" w:space="0" w:color="8497B0"/>
              <w:right w:val="single" w:sz="4" w:space="0" w:color="8497B0"/>
            </w:tcBorders>
            <w:shd w:val="clear" w:color="auto" w:fill="auto"/>
            <w:vAlign w:val="center"/>
            <w:hideMark/>
          </w:tcPr>
          <w:p w14:paraId="1D7801A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000000" w:fill="FFFFFF"/>
            <w:vAlign w:val="center"/>
            <w:hideMark/>
          </w:tcPr>
          <w:p w14:paraId="1FE4A9DB"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29" w:type="pct"/>
            <w:tcBorders>
              <w:top w:val="nil"/>
              <w:left w:val="nil"/>
              <w:bottom w:val="single" w:sz="4" w:space="0" w:color="8497B0"/>
              <w:right w:val="single" w:sz="4" w:space="0" w:color="8497B0"/>
            </w:tcBorders>
            <w:shd w:val="clear" w:color="000000" w:fill="FFFFFF"/>
            <w:vAlign w:val="center"/>
            <w:hideMark/>
          </w:tcPr>
          <w:p w14:paraId="2254FAE5"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620" w:type="pct"/>
            <w:tcBorders>
              <w:top w:val="nil"/>
              <w:left w:val="nil"/>
              <w:bottom w:val="single" w:sz="4" w:space="0" w:color="8497B0"/>
              <w:right w:val="single" w:sz="4" w:space="0" w:color="8497B0"/>
            </w:tcBorders>
            <w:shd w:val="clear" w:color="auto" w:fill="auto"/>
            <w:vAlign w:val="center"/>
            <w:hideMark/>
          </w:tcPr>
          <w:p w14:paraId="3129EFD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677099" w:rsidRPr="00727111" w14:paraId="085E1FA5"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102A5367"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11</w:t>
            </w:r>
          </w:p>
        </w:tc>
        <w:tc>
          <w:tcPr>
            <w:tcW w:w="801" w:type="pct"/>
            <w:tcBorders>
              <w:top w:val="nil"/>
              <w:left w:val="nil"/>
              <w:bottom w:val="single" w:sz="4" w:space="0" w:color="8497B0"/>
              <w:right w:val="single" w:sz="4" w:space="0" w:color="8497B0"/>
            </w:tcBorders>
            <w:shd w:val="clear" w:color="auto" w:fill="auto"/>
            <w:vAlign w:val="center"/>
            <w:hideMark/>
          </w:tcPr>
          <w:p w14:paraId="42CE4912"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programimin e inspektimeve dhe metodologjinë e vlerësimit të riskut</w:t>
            </w:r>
          </w:p>
        </w:tc>
        <w:tc>
          <w:tcPr>
            <w:tcW w:w="321" w:type="pct"/>
            <w:tcBorders>
              <w:top w:val="nil"/>
              <w:left w:val="nil"/>
              <w:bottom w:val="single" w:sz="4" w:space="0" w:color="8497B0"/>
              <w:right w:val="single" w:sz="4" w:space="0" w:color="8497B0"/>
            </w:tcBorders>
            <w:shd w:val="clear" w:color="auto" w:fill="auto"/>
            <w:vAlign w:val="center"/>
            <w:hideMark/>
          </w:tcPr>
          <w:p w14:paraId="7ED60948"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742F15E0"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4D6722F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tretë</w:t>
            </w:r>
          </w:p>
        </w:tc>
        <w:tc>
          <w:tcPr>
            <w:tcW w:w="488" w:type="pct"/>
            <w:tcBorders>
              <w:top w:val="nil"/>
              <w:left w:val="nil"/>
              <w:bottom w:val="single" w:sz="4" w:space="0" w:color="8497B0"/>
              <w:right w:val="single" w:sz="4" w:space="0" w:color="8497B0"/>
            </w:tcBorders>
            <w:shd w:val="clear" w:color="auto" w:fill="auto"/>
            <w:vAlign w:val="center"/>
            <w:hideMark/>
          </w:tcPr>
          <w:p w14:paraId="08B6446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Neni 32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536B5DB0"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Programimi i inspektimeve; përcaktimi i treguesve dhe faktorëve për klasifikimin e subjekteve në kategori risku të ndryshme; metodologjia e vlerësimit të riskut; standardizimi i procedurave; përcaktimi i rolit dhe përgjegjësive të inspektorateve ; sistemi elektronik “e-Inspektimi” mbi bazën e vlerësimit të riskut.</w:t>
            </w:r>
          </w:p>
        </w:tc>
        <w:tc>
          <w:tcPr>
            <w:tcW w:w="310" w:type="pct"/>
            <w:tcBorders>
              <w:top w:val="nil"/>
              <w:left w:val="nil"/>
              <w:bottom w:val="single" w:sz="4" w:space="0" w:color="8497B0"/>
              <w:right w:val="single" w:sz="4" w:space="0" w:color="8497B0"/>
            </w:tcBorders>
            <w:shd w:val="clear" w:color="auto" w:fill="auto"/>
            <w:vAlign w:val="center"/>
            <w:hideMark/>
          </w:tcPr>
          <w:p w14:paraId="58F61834"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auto" w:fill="auto"/>
            <w:vAlign w:val="center"/>
            <w:hideMark/>
          </w:tcPr>
          <w:p w14:paraId="740B78FA"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 Modernizim për zhvillim</w:t>
            </w:r>
          </w:p>
        </w:tc>
        <w:tc>
          <w:tcPr>
            <w:tcW w:w="529" w:type="pct"/>
            <w:tcBorders>
              <w:top w:val="nil"/>
              <w:left w:val="nil"/>
              <w:bottom w:val="single" w:sz="4" w:space="0" w:color="8497B0"/>
              <w:right w:val="single" w:sz="4" w:space="0" w:color="8497B0"/>
            </w:tcBorders>
            <w:shd w:val="clear" w:color="auto" w:fill="auto"/>
            <w:vAlign w:val="center"/>
            <w:hideMark/>
          </w:tcPr>
          <w:p w14:paraId="772CF2D9" w14:textId="77777777" w:rsidR="00677099" w:rsidRPr="00727111" w:rsidRDefault="00677099" w:rsidP="006770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të Biznesit dhe Investimeve, 2021-2027</w:t>
            </w:r>
          </w:p>
        </w:tc>
        <w:tc>
          <w:tcPr>
            <w:tcW w:w="620" w:type="pct"/>
            <w:tcBorders>
              <w:top w:val="nil"/>
              <w:left w:val="nil"/>
              <w:bottom w:val="single" w:sz="4" w:space="0" w:color="8497B0"/>
              <w:right w:val="single" w:sz="4" w:space="0" w:color="8497B0"/>
            </w:tcBorders>
            <w:shd w:val="clear" w:color="auto" w:fill="auto"/>
            <w:vAlign w:val="center"/>
            <w:hideMark/>
          </w:tcPr>
          <w:p w14:paraId="126D5B8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677099" w:rsidRPr="00727111" w14:paraId="71E266DD"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1DF0B43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12</w:t>
            </w:r>
          </w:p>
        </w:tc>
        <w:tc>
          <w:tcPr>
            <w:tcW w:w="801" w:type="pct"/>
            <w:tcBorders>
              <w:top w:val="nil"/>
              <w:left w:val="nil"/>
              <w:bottom w:val="single" w:sz="4" w:space="0" w:color="8497B0"/>
              <w:right w:val="single" w:sz="4" w:space="0" w:color="8497B0"/>
            </w:tcBorders>
            <w:shd w:val="clear" w:color="auto" w:fill="auto"/>
            <w:vAlign w:val="center"/>
            <w:hideMark/>
          </w:tcPr>
          <w:p w14:paraId="363F63F3"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përcaktimin e periudhës maksimale të inspektimeve vjetore dhe mënyrën e llogaritjes</w:t>
            </w:r>
          </w:p>
        </w:tc>
        <w:tc>
          <w:tcPr>
            <w:tcW w:w="321" w:type="pct"/>
            <w:tcBorders>
              <w:top w:val="nil"/>
              <w:left w:val="nil"/>
              <w:bottom w:val="single" w:sz="4" w:space="0" w:color="8497B0"/>
              <w:right w:val="single" w:sz="4" w:space="0" w:color="8497B0"/>
            </w:tcBorders>
            <w:shd w:val="clear" w:color="auto" w:fill="auto"/>
            <w:vAlign w:val="center"/>
            <w:hideMark/>
          </w:tcPr>
          <w:p w14:paraId="38EA284F"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0A19400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05BA4AE0"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tretë</w:t>
            </w:r>
          </w:p>
        </w:tc>
        <w:tc>
          <w:tcPr>
            <w:tcW w:w="488" w:type="pct"/>
            <w:tcBorders>
              <w:top w:val="nil"/>
              <w:left w:val="nil"/>
              <w:bottom w:val="single" w:sz="4" w:space="0" w:color="8497B0"/>
              <w:right w:val="single" w:sz="4" w:space="0" w:color="8497B0"/>
            </w:tcBorders>
            <w:shd w:val="clear" w:color="auto" w:fill="auto"/>
            <w:vAlign w:val="center"/>
            <w:hideMark/>
          </w:tcPr>
          <w:p w14:paraId="56D7304A" w14:textId="77777777" w:rsidR="00677099" w:rsidRPr="00727111" w:rsidRDefault="00677099" w:rsidP="00677099">
            <w:pPr>
              <w:jc w:val="center"/>
              <w:rPr>
                <w:rFonts w:ascii="Garamond" w:hAnsi="Garamond" w:cs="Calibri"/>
                <w:sz w:val="12"/>
                <w:szCs w:val="12"/>
                <w:lang w:eastAsia="sq-AL"/>
              </w:rPr>
            </w:pPr>
            <w:r w:rsidRPr="00727111">
              <w:rPr>
                <w:rFonts w:ascii="Garamond" w:hAnsi="Garamond" w:cs="Calibri"/>
                <w:sz w:val="12"/>
                <w:szCs w:val="12"/>
                <w:lang w:eastAsia="sq-AL"/>
              </w:rPr>
              <w:t>Neni 34 dhe 35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18647A93"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Periudha maksimale e lejuar e inspektimeve vjetore; frekuenca e inspektimeve; kategorizimi i subjekteve në sistemin elektronik të inspektimeve; përcaktimi i faktorëve dhe kritereve për inspektimin e subjektit; standardizimi i inspektimeve.</w:t>
            </w:r>
          </w:p>
        </w:tc>
        <w:tc>
          <w:tcPr>
            <w:tcW w:w="310" w:type="pct"/>
            <w:tcBorders>
              <w:top w:val="nil"/>
              <w:left w:val="nil"/>
              <w:bottom w:val="single" w:sz="4" w:space="0" w:color="8497B0"/>
              <w:right w:val="single" w:sz="4" w:space="0" w:color="8497B0"/>
            </w:tcBorders>
            <w:shd w:val="clear" w:color="auto" w:fill="auto"/>
            <w:vAlign w:val="center"/>
            <w:hideMark/>
          </w:tcPr>
          <w:p w14:paraId="61BF1E42"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auto" w:fill="auto"/>
            <w:vAlign w:val="center"/>
            <w:hideMark/>
          </w:tcPr>
          <w:p w14:paraId="7BF8C767"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Po, Modernizim për zhvillim</w:t>
            </w:r>
          </w:p>
        </w:tc>
        <w:tc>
          <w:tcPr>
            <w:tcW w:w="529" w:type="pct"/>
            <w:tcBorders>
              <w:top w:val="nil"/>
              <w:left w:val="nil"/>
              <w:bottom w:val="single" w:sz="4" w:space="0" w:color="8497B0"/>
              <w:right w:val="single" w:sz="4" w:space="0" w:color="8497B0"/>
            </w:tcBorders>
            <w:shd w:val="clear" w:color="auto" w:fill="auto"/>
            <w:vAlign w:val="center"/>
            <w:hideMark/>
          </w:tcPr>
          <w:p w14:paraId="1206BD2C" w14:textId="77777777" w:rsidR="00677099" w:rsidRPr="00727111" w:rsidRDefault="00677099" w:rsidP="00677099">
            <w:pPr>
              <w:jc w:val="center"/>
              <w:rPr>
                <w:rFonts w:ascii="Garamond" w:hAnsi="Garamond"/>
                <w:color w:val="000000"/>
                <w:sz w:val="12"/>
                <w:szCs w:val="12"/>
                <w:lang w:eastAsia="sq-AL"/>
              </w:rPr>
            </w:pPr>
            <w:r w:rsidRPr="00727111">
              <w:rPr>
                <w:rFonts w:ascii="Garamond" w:hAnsi="Garamond"/>
                <w:color w:val="000000"/>
                <w:sz w:val="12"/>
                <w:szCs w:val="12"/>
                <w:lang w:eastAsia="sq-AL"/>
              </w:rPr>
              <w:t>Strategjia e Zhvillimit të Biznesit dhe Investimeve, 2021-2027</w:t>
            </w:r>
          </w:p>
        </w:tc>
        <w:tc>
          <w:tcPr>
            <w:tcW w:w="620" w:type="pct"/>
            <w:tcBorders>
              <w:top w:val="nil"/>
              <w:left w:val="nil"/>
              <w:bottom w:val="single" w:sz="4" w:space="0" w:color="8497B0"/>
              <w:right w:val="single" w:sz="4" w:space="0" w:color="8497B0"/>
            </w:tcBorders>
            <w:shd w:val="clear" w:color="auto" w:fill="auto"/>
            <w:vAlign w:val="center"/>
            <w:hideMark/>
          </w:tcPr>
          <w:p w14:paraId="2793F31D"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r w:rsidR="00677099" w:rsidRPr="00727111" w14:paraId="3FC0FC42" w14:textId="77777777" w:rsidTr="00677099">
        <w:trPr>
          <w:trHeight w:val="180"/>
          <w:jc w:val="center"/>
        </w:trPr>
        <w:tc>
          <w:tcPr>
            <w:tcW w:w="110" w:type="pct"/>
            <w:tcBorders>
              <w:top w:val="nil"/>
              <w:left w:val="single" w:sz="4" w:space="0" w:color="8497B0"/>
              <w:bottom w:val="single" w:sz="4" w:space="0" w:color="8497B0"/>
              <w:right w:val="single" w:sz="4" w:space="0" w:color="8497B0"/>
            </w:tcBorders>
            <w:shd w:val="clear" w:color="auto" w:fill="auto"/>
            <w:vAlign w:val="center"/>
            <w:hideMark/>
          </w:tcPr>
          <w:p w14:paraId="1591297E"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13</w:t>
            </w:r>
          </w:p>
        </w:tc>
        <w:tc>
          <w:tcPr>
            <w:tcW w:w="801" w:type="pct"/>
            <w:tcBorders>
              <w:top w:val="nil"/>
              <w:left w:val="nil"/>
              <w:bottom w:val="single" w:sz="4" w:space="0" w:color="8497B0"/>
              <w:right w:val="single" w:sz="4" w:space="0" w:color="8497B0"/>
            </w:tcBorders>
            <w:shd w:val="clear" w:color="auto" w:fill="auto"/>
            <w:vAlign w:val="center"/>
            <w:hideMark/>
          </w:tcPr>
          <w:p w14:paraId="7CF18E54"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Për përcaktimin e procedurave të hollësishme për marrjen, trajtimin e mostrave dhe kryerjen e ekspertizave, si dhe miratimin e metodologjisë së llogaritjes së shpenzimeve në këto procedura</w:t>
            </w:r>
          </w:p>
        </w:tc>
        <w:tc>
          <w:tcPr>
            <w:tcW w:w="321" w:type="pct"/>
            <w:tcBorders>
              <w:top w:val="nil"/>
              <w:left w:val="nil"/>
              <w:bottom w:val="single" w:sz="4" w:space="0" w:color="8497B0"/>
              <w:right w:val="single" w:sz="4" w:space="0" w:color="8497B0"/>
            </w:tcBorders>
            <w:shd w:val="clear" w:color="auto" w:fill="auto"/>
            <w:vAlign w:val="center"/>
            <w:hideMark/>
          </w:tcPr>
          <w:p w14:paraId="59EE1843"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Projektvendim</w:t>
            </w:r>
          </w:p>
        </w:tc>
        <w:tc>
          <w:tcPr>
            <w:tcW w:w="401" w:type="pct"/>
            <w:tcBorders>
              <w:top w:val="nil"/>
              <w:left w:val="nil"/>
              <w:bottom w:val="single" w:sz="4" w:space="0" w:color="8497B0"/>
              <w:right w:val="single" w:sz="4" w:space="0" w:color="8497B0"/>
            </w:tcBorders>
            <w:shd w:val="clear" w:color="auto" w:fill="auto"/>
            <w:vAlign w:val="center"/>
            <w:hideMark/>
          </w:tcPr>
          <w:p w14:paraId="1E25A3F9"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ministri i Shtetit për Sipërmarrjen dhe Klimën e Biznesit</w:t>
            </w:r>
          </w:p>
        </w:tc>
        <w:tc>
          <w:tcPr>
            <w:tcW w:w="310" w:type="pct"/>
            <w:tcBorders>
              <w:top w:val="nil"/>
              <w:left w:val="nil"/>
              <w:bottom w:val="single" w:sz="4" w:space="0" w:color="8497B0"/>
              <w:right w:val="single" w:sz="4" w:space="0" w:color="8497B0"/>
            </w:tcBorders>
            <w:shd w:val="clear" w:color="auto" w:fill="auto"/>
            <w:vAlign w:val="center"/>
            <w:hideMark/>
          </w:tcPr>
          <w:p w14:paraId="251054EF"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Katër mujori i tretë</w:t>
            </w:r>
          </w:p>
        </w:tc>
        <w:tc>
          <w:tcPr>
            <w:tcW w:w="488" w:type="pct"/>
            <w:tcBorders>
              <w:top w:val="nil"/>
              <w:left w:val="nil"/>
              <w:bottom w:val="single" w:sz="4" w:space="0" w:color="8497B0"/>
              <w:right w:val="single" w:sz="4" w:space="0" w:color="8497B0"/>
            </w:tcBorders>
            <w:shd w:val="clear" w:color="auto" w:fill="auto"/>
            <w:vAlign w:val="center"/>
            <w:hideMark/>
          </w:tcPr>
          <w:p w14:paraId="7E97279E" w14:textId="77777777" w:rsidR="00677099" w:rsidRPr="00727111" w:rsidRDefault="00677099" w:rsidP="00677099">
            <w:pPr>
              <w:jc w:val="center"/>
              <w:rPr>
                <w:rFonts w:ascii="Garamond" w:hAnsi="Garamond" w:cs="Calibri"/>
                <w:sz w:val="12"/>
                <w:szCs w:val="12"/>
                <w:lang w:eastAsia="sq-AL"/>
              </w:rPr>
            </w:pPr>
            <w:r w:rsidRPr="00727111">
              <w:rPr>
                <w:rFonts w:ascii="Garamond" w:hAnsi="Garamond" w:cs="Calibri"/>
                <w:sz w:val="12"/>
                <w:szCs w:val="12"/>
                <w:lang w:eastAsia="sq-AL"/>
              </w:rPr>
              <w:t>Neni 51 i ligjit nr. 99/2024, "Për inspektimin në Republikën e Shqipërisë"</w:t>
            </w:r>
          </w:p>
        </w:tc>
        <w:tc>
          <w:tcPr>
            <w:tcW w:w="688" w:type="pct"/>
            <w:tcBorders>
              <w:top w:val="nil"/>
              <w:left w:val="nil"/>
              <w:bottom w:val="single" w:sz="4" w:space="0" w:color="8497B0"/>
              <w:right w:val="single" w:sz="4" w:space="0" w:color="8497B0"/>
            </w:tcBorders>
            <w:shd w:val="clear" w:color="auto" w:fill="auto"/>
            <w:vAlign w:val="center"/>
            <w:hideMark/>
          </w:tcPr>
          <w:p w14:paraId="07D7CD97"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Procedura e marrjes së mostrave për analizë; kriteret për përzgjedhjen e mostrave; trajtimi i mostrave për analizë; standardet e ruajtjes dhe transportit të mostrave; marrja dhe dorëzimi i mostrave dhe dokumentimi; procedura për kryerjen e analizës laboratorike; metodologjia e llogaritjes së shpenzimeve në këto procedura.</w:t>
            </w:r>
          </w:p>
        </w:tc>
        <w:tc>
          <w:tcPr>
            <w:tcW w:w="310" w:type="pct"/>
            <w:tcBorders>
              <w:top w:val="nil"/>
              <w:left w:val="nil"/>
              <w:bottom w:val="single" w:sz="4" w:space="0" w:color="8497B0"/>
              <w:right w:val="single" w:sz="4" w:space="0" w:color="8497B0"/>
            </w:tcBorders>
            <w:shd w:val="clear" w:color="auto" w:fill="auto"/>
            <w:vAlign w:val="center"/>
            <w:hideMark/>
          </w:tcPr>
          <w:p w14:paraId="7CF6D0A0"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423" w:type="pct"/>
            <w:tcBorders>
              <w:top w:val="nil"/>
              <w:left w:val="nil"/>
              <w:bottom w:val="single" w:sz="4" w:space="0" w:color="8497B0"/>
              <w:right w:val="single" w:sz="4" w:space="0" w:color="8497B0"/>
            </w:tcBorders>
            <w:shd w:val="clear" w:color="000000" w:fill="FFFFFF"/>
            <w:vAlign w:val="center"/>
            <w:hideMark/>
          </w:tcPr>
          <w:p w14:paraId="23AE81DD"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529" w:type="pct"/>
            <w:tcBorders>
              <w:top w:val="nil"/>
              <w:left w:val="nil"/>
              <w:bottom w:val="single" w:sz="4" w:space="0" w:color="8497B0"/>
              <w:right w:val="single" w:sz="4" w:space="0" w:color="8497B0"/>
            </w:tcBorders>
            <w:shd w:val="clear" w:color="000000" w:fill="FFFFFF"/>
            <w:vAlign w:val="center"/>
            <w:hideMark/>
          </w:tcPr>
          <w:p w14:paraId="78B8B8F3"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c>
          <w:tcPr>
            <w:tcW w:w="620" w:type="pct"/>
            <w:tcBorders>
              <w:top w:val="nil"/>
              <w:left w:val="nil"/>
              <w:bottom w:val="single" w:sz="4" w:space="0" w:color="8497B0"/>
              <w:right w:val="single" w:sz="4" w:space="0" w:color="8497B0"/>
            </w:tcBorders>
            <w:shd w:val="clear" w:color="auto" w:fill="auto"/>
            <w:vAlign w:val="center"/>
            <w:hideMark/>
          </w:tcPr>
          <w:p w14:paraId="619C2EEC" w14:textId="77777777" w:rsidR="00677099" w:rsidRPr="00727111" w:rsidRDefault="00677099" w:rsidP="00677099">
            <w:pPr>
              <w:jc w:val="center"/>
              <w:rPr>
                <w:rFonts w:ascii="Garamond" w:hAnsi="Garamond" w:cs="Calibri"/>
                <w:color w:val="000000"/>
                <w:sz w:val="12"/>
                <w:szCs w:val="12"/>
                <w:lang w:eastAsia="sq-AL"/>
              </w:rPr>
            </w:pPr>
            <w:r w:rsidRPr="00727111">
              <w:rPr>
                <w:rFonts w:ascii="Garamond" w:hAnsi="Garamond" w:cs="Calibri"/>
                <w:color w:val="000000"/>
                <w:sz w:val="12"/>
                <w:szCs w:val="12"/>
                <w:lang w:eastAsia="sq-AL"/>
              </w:rPr>
              <w:t>Jo</w:t>
            </w:r>
          </w:p>
        </w:tc>
      </w:tr>
    </w:tbl>
    <w:p w14:paraId="2AC81EDC" w14:textId="77777777" w:rsidR="00677099" w:rsidRPr="00727111" w:rsidRDefault="00677099" w:rsidP="00593BF4">
      <w:pPr>
        <w:ind w:firstLine="284"/>
        <w:jc w:val="both"/>
        <w:rPr>
          <w:rFonts w:ascii="Garamond" w:hAnsi="Garamond"/>
          <w:b/>
          <w:sz w:val="24"/>
        </w:rPr>
      </w:pPr>
    </w:p>
    <w:sectPr w:rsidR="00677099" w:rsidRPr="00727111" w:rsidSect="00272915">
      <w:pgSz w:w="16839"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EAA"/>
    <w:rsid w:val="00023B20"/>
    <w:rsid w:val="000A7DFC"/>
    <w:rsid w:val="00100F96"/>
    <w:rsid w:val="00122E49"/>
    <w:rsid w:val="0013030D"/>
    <w:rsid w:val="0014463C"/>
    <w:rsid w:val="00156859"/>
    <w:rsid w:val="00172EEF"/>
    <w:rsid w:val="001B04BF"/>
    <w:rsid w:val="0021326A"/>
    <w:rsid w:val="00272915"/>
    <w:rsid w:val="00281D1F"/>
    <w:rsid w:val="00294057"/>
    <w:rsid w:val="002B2085"/>
    <w:rsid w:val="002E1AE3"/>
    <w:rsid w:val="002E2DA5"/>
    <w:rsid w:val="003067FC"/>
    <w:rsid w:val="00336EFF"/>
    <w:rsid w:val="0035606A"/>
    <w:rsid w:val="00364A5B"/>
    <w:rsid w:val="0037305E"/>
    <w:rsid w:val="00373419"/>
    <w:rsid w:val="0039211A"/>
    <w:rsid w:val="003928CF"/>
    <w:rsid w:val="003A4BDE"/>
    <w:rsid w:val="0043345F"/>
    <w:rsid w:val="00456A99"/>
    <w:rsid w:val="00463D5F"/>
    <w:rsid w:val="0046489C"/>
    <w:rsid w:val="004B1D1B"/>
    <w:rsid w:val="005207CF"/>
    <w:rsid w:val="00521B0A"/>
    <w:rsid w:val="005237CE"/>
    <w:rsid w:val="00537788"/>
    <w:rsid w:val="005672E6"/>
    <w:rsid w:val="00593BF4"/>
    <w:rsid w:val="005A5FDE"/>
    <w:rsid w:val="005D216E"/>
    <w:rsid w:val="00622842"/>
    <w:rsid w:val="00660F04"/>
    <w:rsid w:val="00667D44"/>
    <w:rsid w:val="00677099"/>
    <w:rsid w:val="00687E30"/>
    <w:rsid w:val="006A60CD"/>
    <w:rsid w:val="006F53A2"/>
    <w:rsid w:val="0071508E"/>
    <w:rsid w:val="00727111"/>
    <w:rsid w:val="00732066"/>
    <w:rsid w:val="0074303F"/>
    <w:rsid w:val="00745E85"/>
    <w:rsid w:val="007649E8"/>
    <w:rsid w:val="00793CE7"/>
    <w:rsid w:val="00795120"/>
    <w:rsid w:val="00795AB3"/>
    <w:rsid w:val="007D445A"/>
    <w:rsid w:val="0082404E"/>
    <w:rsid w:val="008B0ACF"/>
    <w:rsid w:val="008E0890"/>
    <w:rsid w:val="00951B07"/>
    <w:rsid w:val="00982693"/>
    <w:rsid w:val="0099474B"/>
    <w:rsid w:val="009A1EAA"/>
    <w:rsid w:val="00AD070E"/>
    <w:rsid w:val="00AE247B"/>
    <w:rsid w:val="00AE3D7C"/>
    <w:rsid w:val="00B03CE4"/>
    <w:rsid w:val="00B238B7"/>
    <w:rsid w:val="00B31423"/>
    <w:rsid w:val="00B90AA2"/>
    <w:rsid w:val="00BF705D"/>
    <w:rsid w:val="00C34C2F"/>
    <w:rsid w:val="00C640CD"/>
    <w:rsid w:val="00C660C1"/>
    <w:rsid w:val="00CB6516"/>
    <w:rsid w:val="00CD12DA"/>
    <w:rsid w:val="00CE1BA4"/>
    <w:rsid w:val="00D05F14"/>
    <w:rsid w:val="00D41B39"/>
    <w:rsid w:val="00D5243A"/>
    <w:rsid w:val="00D60A47"/>
    <w:rsid w:val="00D627C8"/>
    <w:rsid w:val="00DD001F"/>
    <w:rsid w:val="00DD543F"/>
    <w:rsid w:val="00E501EA"/>
    <w:rsid w:val="00E935C9"/>
    <w:rsid w:val="00ED5F70"/>
    <w:rsid w:val="00EF0780"/>
    <w:rsid w:val="00F009A8"/>
    <w:rsid w:val="00F16F82"/>
    <w:rsid w:val="00F2164C"/>
    <w:rsid w:val="00FA18CD"/>
    <w:rsid w:val="00FD1B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66B32"/>
  <w15:chartTrackingRefBased/>
  <w15:docId w15:val="{4B476638-8C88-450A-A1B4-52A5453E7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1EAA"/>
    <w:rPr>
      <w:rFonts w:ascii="Times New Roman" w:eastAsia="Times New Roman" w:hAnsi="Times New Roman"/>
      <w:lang w:val="sq-AL" w:eastAsia="en-US"/>
    </w:rPr>
  </w:style>
  <w:style w:type="paragraph" w:styleId="Heading1">
    <w:name w:val="heading 1"/>
    <w:basedOn w:val="Normal"/>
    <w:next w:val="Normal"/>
    <w:link w:val="Heading1Char"/>
    <w:uiPriority w:val="9"/>
    <w:qFormat/>
    <w:rsid w:val="00CE1BA4"/>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semiHidden/>
    <w:unhideWhenUsed/>
    <w:qFormat/>
    <w:rsid w:val="009A1EAA"/>
    <w:pPr>
      <w:keepNext/>
      <w:outlineLvl w:val="3"/>
    </w:pPr>
    <w:rPr>
      <w:b/>
      <w:sz w:val="28"/>
    </w:rPr>
  </w:style>
  <w:style w:type="paragraph" w:styleId="Heading5">
    <w:name w:val="heading 5"/>
    <w:basedOn w:val="Normal"/>
    <w:next w:val="Normal"/>
    <w:link w:val="Heading5Char"/>
    <w:semiHidden/>
    <w:unhideWhenUsed/>
    <w:qFormat/>
    <w:rsid w:val="009A1EAA"/>
    <w:pPr>
      <w:keepNext/>
      <w:jc w:val="center"/>
      <w:outlineLvl w:val="4"/>
    </w:pPr>
    <w:rPr>
      <w:b/>
      <w:bCs/>
      <w:sz w:val="28"/>
    </w:rPr>
  </w:style>
  <w:style w:type="paragraph" w:styleId="Heading6">
    <w:name w:val="heading 6"/>
    <w:basedOn w:val="Normal"/>
    <w:next w:val="Normal"/>
    <w:link w:val="Heading6Char"/>
    <w:semiHidden/>
    <w:unhideWhenUsed/>
    <w:qFormat/>
    <w:rsid w:val="009A1EAA"/>
    <w:pPr>
      <w:keepNext/>
      <w:ind w:left="-567"/>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semiHidden/>
    <w:rsid w:val="009A1EAA"/>
    <w:rPr>
      <w:rFonts w:ascii="Times New Roman" w:eastAsia="Times New Roman" w:hAnsi="Times New Roman" w:cs="Times New Roman"/>
      <w:b/>
      <w:sz w:val="28"/>
      <w:szCs w:val="20"/>
      <w:lang w:val="en-GB"/>
    </w:rPr>
  </w:style>
  <w:style w:type="character" w:customStyle="1" w:styleId="Heading5Char">
    <w:name w:val="Heading 5 Char"/>
    <w:link w:val="Heading5"/>
    <w:semiHidden/>
    <w:rsid w:val="009A1EAA"/>
    <w:rPr>
      <w:rFonts w:ascii="Times New Roman" w:eastAsia="Times New Roman" w:hAnsi="Times New Roman" w:cs="Times New Roman"/>
      <w:b/>
      <w:bCs/>
      <w:sz w:val="28"/>
      <w:szCs w:val="20"/>
      <w:lang w:val="en-GB"/>
    </w:rPr>
  </w:style>
  <w:style w:type="character" w:customStyle="1" w:styleId="Heading6Char">
    <w:name w:val="Heading 6 Char"/>
    <w:link w:val="Heading6"/>
    <w:semiHidden/>
    <w:rsid w:val="009A1EAA"/>
    <w:rPr>
      <w:rFonts w:ascii="Times New Roman" w:eastAsia="Times New Roman" w:hAnsi="Times New Roman" w:cs="Times New Roman"/>
      <w:sz w:val="24"/>
      <w:szCs w:val="20"/>
      <w:lang w:val="en-GB"/>
    </w:rPr>
  </w:style>
  <w:style w:type="paragraph" w:styleId="BodyText">
    <w:name w:val="Body Text"/>
    <w:basedOn w:val="Normal"/>
    <w:link w:val="BodyTextChar"/>
    <w:unhideWhenUsed/>
    <w:rsid w:val="009A1EAA"/>
    <w:pPr>
      <w:jc w:val="both"/>
    </w:pPr>
    <w:rPr>
      <w:sz w:val="28"/>
    </w:rPr>
  </w:style>
  <w:style w:type="character" w:customStyle="1" w:styleId="BodyTextChar">
    <w:name w:val="Body Text Char"/>
    <w:link w:val="BodyText"/>
    <w:rsid w:val="009A1EAA"/>
    <w:rPr>
      <w:rFonts w:ascii="Times New Roman" w:eastAsia="Times New Roman" w:hAnsi="Times New Roman" w:cs="Times New Roman"/>
      <w:sz w:val="28"/>
      <w:szCs w:val="20"/>
      <w:lang w:val="en-GB"/>
    </w:rPr>
  </w:style>
  <w:style w:type="paragraph" w:styleId="BalloonText">
    <w:name w:val="Balloon Text"/>
    <w:basedOn w:val="Normal"/>
    <w:link w:val="BalloonTextChar"/>
    <w:uiPriority w:val="99"/>
    <w:semiHidden/>
    <w:unhideWhenUsed/>
    <w:rsid w:val="009A1EAA"/>
    <w:rPr>
      <w:rFonts w:ascii="Tahoma" w:hAnsi="Tahoma" w:cs="Tahoma"/>
      <w:sz w:val="16"/>
      <w:szCs w:val="16"/>
    </w:rPr>
  </w:style>
  <w:style w:type="character" w:customStyle="1" w:styleId="BalloonTextChar">
    <w:name w:val="Balloon Text Char"/>
    <w:link w:val="BalloonText"/>
    <w:uiPriority w:val="99"/>
    <w:semiHidden/>
    <w:rsid w:val="009A1EAA"/>
    <w:rPr>
      <w:rFonts w:ascii="Tahoma" w:eastAsia="Times New Roman" w:hAnsi="Tahoma" w:cs="Tahoma"/>
      <w:sz w:val="16"/>
      <w:szCs w:val="16"/>
      <w:lang w:val="en-GB"/>
    </w:rPr>
  </w:style>
  <w:style w:type="character" w:customStyle="1" w:styleId="Heading1Char">
    <w:name w:val="Heading 1 Char"/>
    <w:basedOn w:val="DefaultParagraphFont"/>
    <w:link w:val="Heading1"/>
    <w:uiPriority w:val="9"/>
    <w:rsid w:val="00CE1BA4"/>
    <w:rPr>
      <w:rFonts w:ascii="Calibri Light" w:eastAsia="Times New Roman" w:hAnsi="Calibri Light"/>
      <w:b/>
      <w:bCs/>
      <w:kern w:val="32"/>
      <w:sz w:val="32"/>
      <w:szCs w:val="32"/>
      <w:lang w:val="sq-AL" w:eastAsia="en-US"/>
    </w:rPr>
  </w:style>
  <w:style w:type="paragraph" w:styleId="Header">
    <w:name w:val="header"/>
    <w:basedOn w:val="Normal"/>
    <w:link w:val="HeaderChar"/>
    <w:uiPriority w:val="99"/>
    <w:unhideWhenUsed/>
    <w:rsid w:val="005207CF"/>
    <w:pPr>
      <w:tabs>
        <w:tab w:val="center" w:pos="4320"/>
        <w:tab w:val="right" w:pos="8640"/>
      </w:tabs>
    </w:pPr>
    <w:rPr>
      <w:sz w:val="24"/>
      <w:szCs w:val="24"/>
      <w:lang w:val="en-US"/>
    </w:rPr>
  </w:style>
  <w:style w:type="character" w:customStyle="1" w:styleId="HeaderChar">
    <w:name w:val="Header Char"/>
    <w:basedOn w:val="DefaultParagraphFont"/>
    <w:link w:val="Header"/>
    <w:uiPriority w:val="99"/>
    <w:rsid w:val="005207CF"/>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89755">
      <w:bodyDiv w:val="1"/>
      <w:marLeft w:val="0"/>
      <w:marRight w:val="0"/>
      <w:marTop w:val="0"/>
      <w:marBottom w:val="0"/>
      <w:divBdr>
        <w:top w:val="none" w:sz="0" w:space="0" w:color="auto"/>
        <w:left w:val="none" w:sz="0" w:space="0" w:color="auto"/>
        <w:bottom w:val="none" w:sz="0" w:space="0" w:color="auto"/>
        <w:right w:val="none" w:sz="0" w:space="0" w:color="auto"/>
      </w:divBdr>
    </w:div>
    <w:div w:id="135992532">
      <w:bodyDiv w:val="1"/>
      <w:marLeft w:val="0"/>
      <w:marRight w:val="0"/>
      <w:marTop w:val="0"/>
      <w:marBottom w:val="0"/>
      <w:divBdr>
        <w:top w:val="none" w:sz="0" w:space="0" w:color="auto"/>
        <w:left w:val="none" w:sz="0" w:space="0" w:color="auto"/>
        <w:bottom w:val="none" w:sz="0" w:space="0" w:color="auto"/>
        <w:right w:val="none" w:sz="0" w:space="0" w:color="auto"/>
      </w:divBdr>
    </w:div>
    <w:div w:id="314529833">
      <w:bodyDiv w:val="1"/>
      <w:marLeft w:val="0"/>
      <w:marRight w:val="0"/>
      <w:marTop w:val="0"/>
      <w:marBottom w:val="0"/>
      <w:divBdr>
        <w:top w:val="none" w:sz="0" w:space="0" w:color="auto"/>
        <w:left w:val="none" w:sz="0" w:space="0" w:color="auto"/>
        <w:bottom w:val="none" w:sz="0" w:space="0" w:color="auto"/>
        <w:right w:val="none" w:sz="0" w:space="0" w:color="auto"/>
      </w:divBdr>
    </w:div>
    <w:div w:id="566115321">
      <w:bodyDiv w:val="1"/>
      <w:marLeft w:val="0"/>
      <w:marRight w:val="0"/>
      <w:marTop w:val="0"/>
      <w:marBottom w:val="0"/>
      <w:divBdr>
        <w:top w:val="none" w:sz="0" w:space="0" w:color="auto"/>
        <w:left w:val="none" w:sz="0" w:space="0" w:color="auto"/>
        <w:bottom w:val="none" w:sz="0" w:space="0" w:color="auto"/>
        <w:right w:val="none" w:sz="0" w:space="0" w:color="auto"/>
      </w:divBdr>
    </w:div>
    <w:div w:id="574509737">
      <w:bodyDiv w:val="1"/>
      <w:marLeft w:val="0"/>
      <w:marRight w:val="0"/>
      <w:marTop w:val="0"/>
      <w:marBottom w:val="0"/>
      <w:divBdr>
        <w:top w:val="none" w:sz="0" w:space="0" w:color="auto"/>
        <w:left w:val="none" w:sz="0" w:space="0" w:color="auto"/>
        <w:bottom w:val="none" w:sz="0" w:space="0" w:color="auto"/>
        <w:right w:val="none" w:sz="0" w:space="0" w:color="auto"/>
      </w:divBdr>
    </w:div>
    <w:div w:id="616376818">
      <w:bodyDiv w:val="1"/>
      <w:marLeft w:val="0"/>
      <w:marRight w:val="0"/>
      <w:marTop w:val="0"/>
      <w:marBottom w:val="0"/>
      <w:divBdr>
        <w:top w:val="none" w:sz="0" w:space="0" w:color="auto"/>
        <w:left w:val="none" w:sz="0" w:space="0" w:color="auto"/>
        <w:bottom w:val="none" w:sz="0" w:space="0" w:color="auto"/>
        <w:right w:val="none" w:sz="0" w:space="0" w:color="auto"/>
      </w:divBdr>
    </w:div>
    <w:div w:id="801577253">
      <w:bodyDiv w:val="1"/>
      <w:marLeft w:val="0"/>
      <w:marRight w:val="0"/>
      <w:marTop w:val="0"/>
      <w:marBottom w:val="0"/>
      <w:divBdr>
        <w:top w:val="none" w:sz="0" w:space="0" w:color="auto"/>
        <w:left w:val="none" w:sz="0" w:space="0" w:color="auto"/>
        <w:bottom w:val="none" w:sz="0" w:space="0" w:color="auto"/>
        <w:right w:val="none" w:sz="0" w:space="0" w:color="auto"/>
      </w:divBdr>
    </w:div>
    <w:div w:id="919295578">
      <w:bodyDiv w:val="1"/>
      <w:marLeft w:val="0"/>
      <w:marRight w:val="0"/>
      <w:marTop w:val="0"/>
      <w:marBottom w:val="0"/>
      <w:divBdr>
        <w:top w:val="none" w:sz="0" w:space="0" w:color="auto"/>
        <w:left w:val="none" w:sz="0" w:space="0" w:color="auto"/>
        <w:bottom w:val="none" w:sz="0" w:space="0" w:color="auto"/>
        <w:right w:val="none" w:sz="0" w:space="0" w:color="auto"/>
      </w:divBdr>
    </w:div>
    <w:div w:id="1104182682">
      <w:bodyDiv w:val="1"/>
      <w:marLeft w:val="0"/>
      <w:marRight w:val="0"/>
      <w:marTop w:val="0"/>
      <w:marBottom w:val="0"/>
      <w:divBdr>
        <w:top w:val="none" w:sz="0" w:space="0" w:color="auto"/>
        <w:left w:val="none" w:sz="0" w:space="0" w:color="auto"/>
        <w:bottom w:val="none" w:sz="0" w:space="0" w:color="auto"/>
        <w:right w:val="none" w:sz="0" w:space="0" w:color="auto"/>
      </w:divBdr>
    </w:div>
    <w:div w:id="1170297266">
      <w:bodyDiv w:val="1"/>
      <w:marLeft w:val="0"/>
      <w:marRight w:val="0"/>
      <w:marTop w:val="0"/>
      <w:marBottom w:val="0"/>
      <w:divBdr>
        <w:top w:val="none" w:sz="0" w:space="0" w:color="auto"/>
        <w:left w:val="none" w:sz="0" w:space="0" w:color="auto"/>
        <w:bottom w:val="none" w:sz="0" w:space="0" w:color="auto"/>
        <w:right w:val="none" w:sz="0" w:space="0" w:color="auto"/>
      </w:divBdr>
    </w:div>
    <w:div w:id="1405840676">
      <w:bodyDiv w:val="1"/>
      <w:marLeft w:val="0"/>
      <w:marRight w:val="0"/>
      <w:marTop w:val="0"/>
      <w:marBottom w:val="0"/>
      <w:divBdr>
        <w:top w:val="none" w:sz="0" w:space="0" w:color="auto"/>
        <w:left w:val="none" w:sz="0" w:space="0" w:color="auto"/>
        <w:bottom w:val="none" w:sz="0" w:space="0" w:color="auto"/>
        <w:right w:val="none" w:sz="0" w:space="0" w:color="auto"/>
      </w:divBdr>
    </w:div>
    <w:div w:id="1434865649">
      <w:bodyDiv w:val="1"/>
      <w:marLeft w:val="0"/>
      <w:marRight w:val="0"/>
      <w:marTop w:val="0"/>
      <w:marBottom w:val="0"/>
      <w:divBdr>
        <w:top w:val="none" w:sz="0" w:space="0" w:color="auto"/>
        <w:left w:val="none" w:sz="0" w:space="0" w:color="auto"/>
        <w:bottom w:val="none" w:sz="0" w:space="0" w:color="auto"/>
        <w:right w:val="none" w:sz="0" w:space="0" w:color="auto"/>
      </w:divBdr>
    </w:div>
    <w:div w:id="1441532228">
      <w:bodyDiv w:val="1"/>
      <w:marLeft w:val="0"/>
      <w:marRight w:val="0"/>
      <w:marTop w:val="0"/>
      <w:marBottom w:val="0"/>
      <w:divBdr>
        <w:top w:val="none" w:sz="0" w:space="0" w:color="auto"/>
        <w:left w:val="none" w:sz="0" w:space="0" w:color="auto"/>
        <w:bottom w:val="none" w:sz="0" w:space="0" w:color="auto"/>
        <w:right w:val="none" w:sz="0" w:space="0" w:color="auto"/>
      </w:divBdr>
    </w:div>
    <w:div w:id="1543976116">
      <w:bodyDiv w:val="1"/>
      <w:marLeft w:val="0"/>
      <w:marRight w:val="0"/>
      <w:marTop w:val="0"/>
      <w:marBottom w:val="0"/>
      <w:divBdr>
        <w:top w:val="none" w:sz="0" w:space="0" w:color="auto"/>
        <w:left w:val="none" w:sz="0" w:space="0" w:color="auto"/>
        <w:bottom w:val="none" w:sz="0" w:space="0" w:color="auto"/>
        <w:right w:val="none" w:sz="0" w:space="0" w:color="auto"/>
      </w:divBdr>
    </w:div>
    <w:div w:id="1900826210">
      <w:bodyDiv w:val="1"/>
      <w:marLeft w:val="0"/>
      <w:marRight w:val="0"/>
      <w:marTop w:val="0"/>
      <w:marBottom w:val="0"/>
      <w:divBdr>
        <w:top w:val="none" w:sz="0" w:space="0" w:color="auto"/>
        <w:left w:val="none" w:sz="0" w:space="0" w:color="auto"/>
        <w:bottom w:val="none" w:sz="0" w:space="0" w:color="auto"/>
        <w:right w:val="none" w:sz="0" w:space="0" w:color="auto"/>
      </w:divBdr>
    </w:div>
    <w:div w:id="193030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23B6215391842D882F02B482A9147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818</Nr_x002e__x0020_akti>
    <Data_x0020_e_x0020_Krijimit xmlns="0e656187-b300-4fb0-8bf4-3a50f872073c">2024-12-30T09:18:34Z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2024-12-27T00:00:00Z</Date_x0020_protokolli>
    <Titulli xmlns="0e656187-b300-4fb0-8bf4-3a50f872073c">Për miratimin e programit të përgjithshëm analitik të projektakteve që do të paraqiten për shqyrtim në Këshillin e Ministrave gjatë vitit 2025</Titulli>
    <Modifikuesi xmlns="0e656187-b300-4fb0-8bf4-3a50f872073c">ermira.bukaci</Modifikuesi>
    <Nr_x002e__x0020_prot_x0020_QBZ xmlns="0e656187-b300-4fb0-8bf4-3a50f872073c">2238</Nr_x002e__x0020_prot_x0020_QBZ>
    <Data_x0020_e_x0020_Modifikimit xmlns="0e656187-b300-4fb0-8bf4-3a50f872073c">2024-12-30T11:00:55Z</Data_x0020_e_x0020_Modifikimit>
    <Dekretuar xmlns="0e656187-b300-4fb0-8bf4-3a50f872073c">false</Dekretuar>
    <Data xmlns="0e656187-b300-4fb0-8bf4-3a50f872073c">2024-12-26T00:00:00Z</Data>
    <Nr_x002e__x0020_protokolli_x0020_i_x0020_aktit xmlns="0e656187-b300-4fb0-8bf4-3a50f872073c">7024/1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223B6215391842D882F02B482A9147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28B6728-AF48-4A59-8235-DDF9423AB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94BAD97-C995-4B8C-8ECD-1A2D22B70F7C}">
  <ds:schemaRefs>
    <ds:schemaRef ds:uri="http://schemas.microsoft.com/office/2006/metadata/longProperties"/>
  </ds:schemaRefs>
</ds:datastoreItem>
</file>

<file path=customXml/itemProps3.xml><?xml version="1.0" encoding="utf-8"?>
<ds:datastoreItem xmlns:ds="http://schemas.openxmlformats.org/officeDocument/2006/customXml" ds:itemID="{09B7EDC9-A3E4-4289-A504-D8136DCF5C1F}">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0e656187-b300-4fb0-8bf4-3a50f872073c"/>
    <ds:schemaRef ds:uri="http://www.w3.org/XML/1998/namespace"/>
    <ds:schemaRef ds:uri="http://purl.org/dc/dcmitype/"/>
  </ds:schemaRefs>
</ds:datastoreItem>
</file>

<file path=customXml/itemProps4.xml><?xml version="1.0" encoding="utf-8"?>
<ds:datastoreItem xmlns:ds="http://schemas.openxmlformats.org/officeDocument/2006/customXml" ds:itemID="{5B669609-2C8E-4BBD-A9AF-7331AFD3829A}">
  <ds:schemaRefs>
    <ds:schemaRef ds:uri="http://schemas.microsoft.com/sharepoint/v3/contenttype/forms"/>
  </ds:schemaRefs>
</ds:datastoreItem>
</file>

<file path=customXml/itemProps5.xml><?xml version="1.0" encoding="utf-8"?>
<ds:datastoreItem xmlns:ds="http://schemas.openxmlformats.org/officeDocument/2006/customXml" ds:itemID="{8FFDE571-BD51-47ED-A2FD-86046DB0D988}">
  <ds:schemaRefs>
    <ds:schemaRef ds:uri="http://schemas.microsoft.com/sharepoint/v3/contenttype/forms"/>
  </ds:schemaRefs>
</ds:datastoreItem>
</file>

<file path=customXml/itemProps6.xml><?xml version="1.0" encoding="utf-8"?>
<ds:datastoreItem xmlns:ds="http://schemas.openxmlformats.org/officeDocument/2006/customXml" ds:itemID="{B9C583D7-F604-4B3E-9840-4E7F1A179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39047</Words>
  <Characters>222574</Characters>
  <Application>Microsoft Office Word</Application>
  <DocSecurity>0</DocSecurity>
  <Lines>1854</Lines>
  <Paragraphs>522</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261099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Rezar Veseli</dc:creator>
  <cp:lastModifiedBy>Fjora Cahani</cp:lastModifiedBy>
  <cp:revision>3</cp:revision>
  <cp:lastPrinted>2024-12-25T16:42:00Z</cp:lastPrinted>
  <dcterms:created xsi:type="dcterms:W3CDTF">2024-12-30T10:04:00Z</dcterms:created>
  <dcterms:modified xsi:type="dcterms:W3CDTF">2024-12-30T10:07:00Z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y fmtid="{D5CDD505-2E9C-101B-9397-08002B2CF9AE}" pid="3" name="DocumentTypeId">
    <vt:lpwstr>1</vt:lpwstr>
  </property>
  <property fmtid="{D5CDD505-2E9C-101B-9397-08002B2CF9AE}" pid="4" name="TemplateUrl">
    <vt:lpwstr/>
  </property>
  <property fmtid="{D5CDD505-2E9C-101B-9397-08002B2CF9AE}" pid="5" name="xd_ProgID">
    <vt:lpwstr/>
  </property>
  <property fmtid="{D5CDD505-2E9C-101B-9397-08002B2CF9AE}" pid="6" name="Order">
    <vt:lpwstr>100.000000000000</vt:lpwstr>
  </property>
  <property fmtid="{D5CDD505-2E9C-101B-9397-08002B2CF9AE}" pid="7" name="MetaInfo">
    <vt:lpwstr/>
  </property>
  <property fmtid="{D5CDD505-2E9C-101B-9397-08002B2CF9AE}" pid="8" name="display_urn:schemas-microsoft-com:office:office#Editor">
    <vt:lpwstr>Zenaida Agastra</vt:lpwstr>
  </property>
  <property fmtid="{D5CDD505-2E9C-101B-9397-08002B2CF9AE}" pid="9" name="xd_Signature">
    <vt:lpwstr/>
  </property>
  <property fmtid="{D5CDD505-2E9C-101B-9397-08002B2CF9AE}" pid="10" name="display_urn:schemas-microsoft-com:office:office#Author">
    <vt:lpwstr>Rezar Veseli</vt:lpwstr>
  </property>
  <property fmtid="{D5CDD505-2E9C-101B-9397-08002B2CF9AE}" pid="11" name="ContentTypeId">
    <vt:lpwstr>0x0034C474506880F841804D04E6D40709A6</vt:lpwstr>
  </property>
  <property fmtid="{D5CDD505-2E9C-101B-9397-08002B2CF9AE}" pid="12" name="ProtocolNumberOut">
    <vt:lpwstr>6566</vt:lpwstr>
  </property>
  <property fmtid="{D5CDD505-2E9C-101B-9397-08002B2CF9AE}" pid="13" name="ProtocolNumberIn">
    <vt:lpwstr/>
  </property>
</Properties>
</file>